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29D5" w14:textId="7CF4C917" w:rsidR="003E6557" w:rsidRPr="003E6557" w:rsidRDefault="003E6557" w:rsidP="003E6557">
      <w:pPr>
        <w:pStyle w:val="Heading1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003E6557">
        <w:rPr>
          <w:rFonts w:ascii="Arial" w:eastAsiaTheme="minorEastAsia" w:hAnsi="Arial" w:cs="Arial"/>
          <w:color w:val="000000" w:themeColor="text1"/>
          <w:sz w:val="22"/>
          <w:szCs w:val="22"/>
        </w:rPr>
        <w:t>Aim 1: Target Engagement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(Analyzed as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>single-group</w:t>
      </w:r>
      <w:proofErr w:type="gramEnd"/>
      <w:r>
        <w:rPr>
          <w:rFonts w:ascii="Arial" w:eastAsiaTheme="minorEastAsia" w:hAnsi="Arial" w:cs="Arial"/>
          <w:color w:val="000000" w:themeColor="text1"/>
          <w:sz w:val="22"/>
          <w:szCs w:val="22"/>
        </w:rPr>
        <w:t>)</w:t>
      </w:r>
    </w:p>
    <w:p w14:paraId="139D5969" w14:textId="27682BDC" w:rsidR="003E6557" w:rsidRPr="00443907" w:rsidRDefault="003E6557" w:rsidP="003E6557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dmn_connectivity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∼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age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fd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∼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m:t xml:space="preserve">, </m:t>
                </m:r>
                <m:r>
                  <m:rPr>
                    <m:nor/>
                  </m:rPr>
                  <w:rPr>
                    <w:rFonts w:ascii="Arial" w:hAnsi="Arial" w:cs="Arial"/>
                    <w:b w:val="0"/>
                    <w:bCs w:val="0"/>
                    <w:color w:val="000000" w:themeColor="text1"/>
                    <w:sz w:val="22"/>
                    <w:szCs w:val="22"/>
                  </w:rPr>
                  <m:t>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b w:val="0"/>
                    <w:bCs w:val="0"/>
                    <w:color w:val="000000" w:themeColor="text1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575709D4" w14:textId="258E6FD7" w:rsidR="00443907" w:rsidRPr="00443907" w:rsidRDefault="00443907" w:rsidP="003E655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</m:t>
            </m:r>
          </m:sub>
        </m:sSub>
      </m:oMath>
    </w:p>
    <w:p w14:paraId="0B2B5DB9" w14:textId="77777777" w:rsidR="00443907" w:rsidRDefault="0044390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67BD568" w14:textId="7F5ABECF" w:rsidR="003E6557" w:rsidRPr="003E6557" w:rsidRDefault="003E655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Aim 2: Dosing Impact on Target Engagement (Analyzed as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parallel-group</w:t>
      </w:r>
      <w:proofErr w:type="gramEnd"/>
      <w:r>
        <w:rPr>
          <w:rFonts w:ascii="Arial" w:hAnsi="Arial" w:cs="Arial"/>
          <w:b/>
          <w:bCs/>
          <w:sz w:val="22"/>
          <w:szCs w:val="22"/>
        </w:rPr>
        <w:t>)</w:t>
      </w:r>
    </w:p>
    <w:p w14:paraId="27B6BC77" w14:textId="155E06F1" w:rsidR="003E6557" w:rsidRPr="003E6557" w:rsidRDefault="003E6557" w:rsidP="003E6557">
      <w:pPr>
        <w:pStyle w:val="BodyText"/>
        <w:rPr>
          <w:rFonts w:ascii="Arial" w:hAnsi="Arial" w:cs="Arial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dmn_connectivity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age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fd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dose×time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 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47F84041" w14:textId="68B0C749" w:rsidR="00443907" w:rsidRPr="003E6557" w:rsidRDefault="00443907" w:rsidP="003E655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5</m:t>
            </m:r>
          </m:sub>
        </m:sSub>
      </m:oMath>
    </w:p>
    <w:p w14:paraId="6D5A8714" w14:textId="30C381BB" w:rsidR="003E6557" w:rsidRPr="003E6557" w:rsidRDefault="003E655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Secondary Analyses: Clinical Outcomes (Analyzed as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single-group</w:t>
      </w:r>
      <w:proofErr w:type="gramEnd"/>
      <w:r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FCF291" w14:textId="2166F78E" w:rsidR="003E6557" w:rsidRDefault="003E6557" w:rsidP="003E6557">
      <w:pPr>
        <w:pStyle w:val="BodyText"/>
        <w:rPr>
          <w:rFonts w:ascii="Arial" w:hAnsi="Arial" w:cs="Arial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clinical_measure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age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 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2D7D0D8A" w14:textId="29444F65" w:rsidR="00443907" w:rsidRPr="003E6557" w:rsidRDefault="00443907" w:rsidP="0044390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</m:t>
            </m:r>
          </m:sub>
        </m:sSub>
      </m:oMath>
    </w:p>
    <w:p w14:paraId="4D7AE973" w14:textId="77777777" w:rsidR="00443907" w:rsidRDefault="0044390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5CB8A27D" w14:textId="3CF2E654" w:rsidR="003E6557" w:rsidRPr="003E6557" w:rsidRDefault="003E655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Secondary Analyses: </w:t>
      </w:r>
      <w:r>
        <w:rPr>
          <w:rFonts w:ascii="Arial" w:hAnsi="Arial" w:cs="Arial"/>
          <w:b/>
          <w:bCs/>
          <w:sz w:val="22"/>
          <w:szCs w:val="22"/>
        </w:rPr>
        <w:t xml:space="preserve">Dosing Impact </w:t>
      </w:r>
      <w:r>
        <w:rPr>
          <w:rFonts w:ascii="Arial" w:hAnsi="Arial" w:cs="Arial"/>
          <w:b/>
          <w:bCs/>
          <w:sz w:val="22"/>
          <w:szCs w:val="22"/>
        </w:rPr>
        <w:t xml:space="preserve">Clinical Outcomes (Analyzed as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parallel</w:t>
      </w:r>
      <w:r>
        <w:rPr>
          <w:rFonts w:ascii="Arial" w:hAnsi="Arial" w:cs="Arial"/>
          <w:b/>
          <w:bCs/>
          <w:sz w:val="22"/>
          <w:szCs w:val="22"/>
        </w:rPr>
        <w:t>-group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5A03DA52" w14:textId="3F8D7C3B" w:rsidR="00C3726E" w:rsidRPr="00443907" w:rsidRDefault="003E6557">
      <w:pPr>
        <w:rPr>
          <w:rFonts w:eastAsiaTheme="minorEastAsia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clinical_measure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age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dose×time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 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507415D5" w14:textId="77777777" w:rsidR="00443907" w:rsidRDefault="00443907">
      <w:pPr>
        <w:rPr>
          <w:rFonts w:eastAsiaTheme="minorEastAsia"/>
          <w:sz w:val="22"/>
          <w:szCs w:val="22"/>
        </w:rPr>
      </w:pPr>
    </w:p>
    <w:p w14:paraId="26CC57DE" w14:textId="0A8D754C" w:rsidR="00443907" w:rsidRPr="003E6557" w:rsidRDefault="00443907" w:rsidP="0044390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4</m:t>
            </m:r>
          </m:sub>
        </m:sSub>
      </m:oMath>
    </w:p>
    <w:p w14:paraId="2B318BC9" w14:textId="77777777" w:rsidR="00443907" w:rsidRDefault="00443907"/>
    <w:sectPr w:rsidR="0044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57"/>
    <w:rsid w:val="003E6557"/>
    <w:rsid w:val="00443907"/>
    <w:rsid w:val="00C3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C7800"/>
  <w15:chartTrackingRefBased/>
  <w15:docId w15:val="{95BD7D5F-BA69-7249-99CB-40ACD775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E65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5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qFormat/>
    <w:rsid w:val="003E6557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3E655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Bloom</dc:creator>
  <cp:keywords/>
  <dc:description/>
  <cp:lastModifiedBy>Paul Bloom</cp:lastModifiedBy>
  <cp:revision>3</cp:revision>
  <dcterms:created xsi:type="dcterms:W3CDTF">2023-08-31T20:18:00Z</dcterms:created>
  <dcterms:modified xsi:type="dcterms:W3CDTF">2023-08-31T20:27:00Z</dcterms:modified>
</cp:coreProperties>
</file>