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Psicometría y Gestión Pedagógica para el Desarrollo de Plataformas de Ensayos SIMCE en Línea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digitalización de los procesos de evaluación estandarizada a gran escala representa uno de los desafíos más formidables en la intersección de la política pública, la psicometría matemática y la ingeniería de software. El diseño, desarrollo y despliegue de una plataforma en línea orientada a la simulación y preparación del Sistema de Medición de la Calidad de la Educación (SIMCE) en el contexto chileno requiere una orquestación meticulosa de múltiples dimensiones técnicas y pedagógicas. La transición de instrumentos basados en papel y lápiz hacia ecosistemas digitales no consiste en una simple migración de formato; exige la concepción de una arquitectura integral capaz de capturar datos granulares, operar bajo infraestructuras tecnológicas de altísima concurrencia, respetar marcos normativos estrictos sobre la privacidad de datos de menores y, de manera fundamental, proveer información analítica que detone procesos de instrucción basada en datos.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presente informe detalla exhaustivamente los elementos y requerimientos clave necesarios para desarrollar una plataforma de ensayos SIMCE de nivel experto. El análisis profundiza en los fundamentos curriculares delineados por la Agencia de Calidad de la Educación, desglosa los modelos matemáticos de la Teoría de Respuesta al Ítem (TRI) para la calibración paramétrica de los bancos de preguntas, y especifica los requerimientos de arquitectura </w:t>
      </w:r>
      <w:r w:rsidDel="00000000" w:rsidR="00000000" w:rsidRPr="00000000">
        <w:rPr>
          <w:rFonts w:ascii="Arial" w:cs="Arial" w:eastAsia="Arial" w:hAnsi="Arial"/>
          <w:i w:val="1"/>
          <w:iCs w:val="1"/>
          <w:color w:val="1f1f1f"/>
          <w:rtl w:val="0"/>
        </w:rPr>
        <w:t xml:space="preserve">cloud-native</w:t>
      </w:r>
      <w:r w:rsidDel="00000000" w:rsidR="00000000" w:rsidRPr="00000000">
        <w:rPr>
          <w:rFonts w:ascii="Arial" w:cs="Arial" w:eastAsia="Arial" w:hAnsi="Arial"/>
          <w:color w:val="1f1f1f"/>
          <w:rtl w:val="0"/>
        </w:rPr>
        <w:t xml:space="preserve">, estrategias de resiliencia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1f1f1f"/>
          <w:rtl w:val="0"/>
        </w:rPr>
        <w:t xml:space="preserve">, estándares globales de interoperabilidad, y las directrices de accesibilidad universal para garantizar la equidad en la medición.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Fundamentos Curriculares y Marcos de Evaluación Nacional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núcleo operativo de cualquier plataforma de evaluación estandarizada en Chile debe estar estrictamente subordinado a los Objetivos de Aprendizaje (OA) de las Bases Curriculares vigentes dictadas por el Ministerio de Educación y evaluadas por la Agencia de Calidad de la Educación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plataforma debe reflejar la estructura taxonómica y la progresión cognitiva que el Estado chileno utiliza para medir el desempeño de los establecimientos educativos.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Estructura de las Evaluaciones y Habilidades Cognitivas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ecosistema SIMCE evalúa disciplinas fundamentales—principalmente Comprensión de Lectura, Matemática, Ciencias Naturales e Historia, Geografía y Ciencias Sociales—en hitos críticos de la trayectoria escolar, que de manera censal o muestral abarcan típicamente los niveles de 4° básico, 6° básico, 8° básico y II medio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Los instrumentos de evaluación se componen en su gran mayoría de ítems de selección múltiple (con tres o cuatro alternativas de respuesta) y preguntas de desarrollo abiertas, las cuales exigen un espacio para que el estudiante articule un texto argumentativo o desarrolle un procedimiento de cálculo matemático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la base de datos y la interfaz de la plataforma debe categorizar rigurosamente cada ítem según su eje temático y la habilidad cognitiva específica que demanda, replicando las tablas de especificaciones oficiales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asignatura de Lenguaje y Comunicación (Comprensión de Lectura), las habilidades a parametrizar incluyen la localización de información explícita (que en niveles elementales implica ubicar datos destacados, y en niveles complejos exige sortear información competidora o sintaxis compleja), la capacidad de interpretar y relacionar información implícita (para establecer propósitos, inferir sentimientos de personajes o secuenciar acciones), y la habilidad de reflexionar sobre el texto, emitiendo juicios críticos fundamentados sobre la forma y el contenido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Matemática, los ítems suelen estar contextualizados mediante imágenes, gráficos o ilustraciones, abarcando ejes estructurales como Medición, Números y Operaciones, Geometría, y Datos y Probabilidades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Las preguntas exigen al estudiante resolver problemas, representar realidades matemáticas y modelar situaciones, siendo imperativo que la plataforma soporte la inserción de gráficos estadísticos, pictogramas y fórmulas matemáticas complejas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Adicionalmente, las recientes innovaciones en el sistema nacional, como la prueba censal "Impulso Lector" orientada a estudiantes de 2° básico, imponen requerimientos técnicos específicos para la evaluación de habilidades precursoras de la lectura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Estas habilidades—que incluyen la conciencia fonológica, el principio alfabético, el vocabulario y, de manera crítica, la fluidez lectora—no pueden ser evaluadas enteramente mediante instrumentos tradicionales de selección múltiple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La evaluación de la fluidez exige ineludiblemente la grabación de audio individual del estudiante leyendo en voz alta para su posterior análisis y corrección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Por consiguiente, una plataforma completa debe incorporar módulos de captura de medios ricos (micrófono y procesamiento de audio) con manejo asíncrono de archivos para permitir la codificación de la fluidez lectora.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Estándares de Aprendizaje y Mecanismos de Clasificación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chileno ha transitado desde la mera entrega de puntajes brutos hacia una categorización cualitativa del desempeño mediante los Estándares de Aprendizaje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La plataforma de ensayos debe replicar estos modelos de clasificación para dotar de significado pedagógico a los resultados obtenidos por los estudiantes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Estándares de Aprendizaje se subdividen en tres niveles de logro, cada uno delimitado por un puntaje de corte específico (escalado métricamente) que varía según el grado y la asignatura. La arquitectura de cálculo de la plataforma debe procesar los resultados individuales y mapearlos contra estos umbrales para emitir reportes institucionales.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Aprendizaje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Definición Curricular y Demanda Cognitiva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Ejemplo: Puntaje de Corte (Lectura 4° Básico)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Ejemplo: Puntaje de Corte (Lectura 8° Básico)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Adecuado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estudiante demuestra un logro satisfactorio de las exigencias del currículum. Ha consolidado habilidades y conocimientos fundamentales que actúan como prerrequisito para transitar hacia aprendizajes más complejos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284 puntos o más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292 puntos o más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Elemental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estudiante evidencia un logro parcial del currículum. Ha adquirido únicamente los conocimientos y procedimientos de menor demanda cognitiva o nivel de abstracción, respondiendo a tareas que han tenido reiteradas oportunidades de aprendizaje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Entre 241 y 283 puntos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Entre 244 y 291 puntos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Insuficiente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estudiante no logra demostrar consistentemente la adquisición de los conocimientos más elementales. Sus aciertos dependen de rutinas altamente practicadas y requieren mediación o apoyo constante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Menos de 241 puntos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Menos de 244 puntos</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Indicadores de Desarrollo Personal y Social (IDPS)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sistema de medición educativo de excelencia comprende que el desarrollo cognitivo es inseparable del entorno socioafectivo e institucional. La Agencia de Calidad complementa las pruebas estandarizadas con cuestionarios de contexto aplicados a estudiantes, docentes, directores, padres, madres y apoderados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Estos cuestionarios miden los denominados Otros Indicadores de Calidad (OIC) o Indicadores de Desarrollo Personal y Social (IDPS), los cuales influyen de manera sustancial en la categorización final de los establecimientos educativos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plataforma de ensayos en línea debe integrar un módulo robusto de encuestas paramétricas que permita a los colegios aplicar simulaciones de los cuestionarios IDPS. Las métricas a capturar y tabular incluyen el clima de convivencia escolar, la autoestima académica y motivación escolar, la participación y formación ciudadana, y los hábitos de vida saludable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correlación estadística entre los puntajes cognitivos arrojados por el motor de evaluación y los resultados de los IDPS permitirá a los equipos directivos modelar algorítmicamente su probable Categoría de Desempeño (Alto, Medio, Medio-Bajo, Insuficiente), la cual determina la asignación de recursos, asistencia técnica, e incentivos docentes bajo sistemas como el Sistema Nacional de Evaluación de Desempeño (SNED) o la Ley de Subvención Escolar Preferencial (SEP)</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Analítica Psicométrica Avanzada y Calibración de Ítems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validez de las inferencias extraídas de una plataforma de simulación SIMCE depende intrínsecamente de la solidez de su andamiaje psicométrico. Las plataformas de primera generación suelen limitarse a la Teoría Clásica de los Tests (TCT), calculando el porcentaje de respuestas correctas (índice de dificultad clásico) y la correlación punto-biserial (índice de discriminación)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Sin embargo, la TCT presenta una limitación metodológica insalvable: los parámetros de los ítems dependen completamente de la muestra de estudiantes que rinde la prueba, y la estimación de la habilidad del estudiante depende de la dificultad específica del test administrado</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alcanzar un estándar profesional y homologable a los procesos de la Agencia de Calidad, la plataforma debe fundamentar su motor analítico en la Teoría de Respuesta al Ítem (TRI) o </w:t>
      </w:r>
      <w:r w:rsidDel="00000000" w:rsidR="00000000" w:rsidRPr="00000000">
        <w:rPr>
          <w:rFonts w:ascii="Arial" w:cs="Arial" w:eastAsia="Arial" w:hAnsi="Arial"/>
          <w:i w:val="1"/>
          <w:iCs w:val="1"/>
          <w:color w:val="1f1f1f"/>
          <w:rtl w:val="0"/>
        </w:rPr>
        <w:t xml:space="preserve">Item Response Theory</w:t>
      </w:r>
      <w:r w:rsidDel="00000000" w:rsidR="00000000" w:rsidRPr="00000000">
        <w:rPr>
          <w:rFonts w:ascii="Arial" w:cs="Arial" w:eastAsia="Arial" w:hAnsi="Arial"/>
          <w:color w:val="1f1f1f"/>
          <w:rtl w:val="0"/>
        </w:rPr>
        <w:t xml:space="preserve"> (IRT)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Modelos de la Teoría de Respuesta al Ítem (TRI)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TRI permite posicionar tanto la dificultad de los ítems como la habilidad latente de los estudiantes (representada matemáticamente por la letra griega </w:t>
      </w:r>
      <w:r w:rsidDel="00000000" w:rsidR="00000000" w:rsidRPr="00000000">
        <w:rPr>
          <w:rFonts w:ascii="Arial" w:cs="Arial" w:eastAsia="Arial" w:hAnsi="Arial"/>
          <w:color w:val="1f1f1f"/>
        </w:rPr>
        <w:drawing>
          <wp:inline distB="19050" distT="19050" distL="19050" distR="19050">
            <wp:extent cx="97334" cy="253069"/>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en una misma escala continua, garantizando invarianza poblacional y paramétrica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La arquitectura de software debe incorporar librerías estadísticas especializadas en el </w:t>
      </w:r>
      <w:r w:rsidDel="00000000" w:rsidR="00000000" w:rsidRPr="00000000">
        <w:rPr>
          <w:rFonts w:ascii="Arial" w:cs="Arial" w:eastAsia="Arial" w:hAnsi="Arial"/>
          <w:i w:val="1"/>
          <w:iCs w:val="1"/>
          <w:color w:val="1f1f1f"/>
          <w:rtl w:val="0"/>
        </w:rPr>
        <w:t xml:space="preserve">backend</w:t>
      </w:r>
      <w:r w:rsidDel="00000000" w:rsidR="00000000" w:rsidRPr="00000000">
        <w:rPr>
          <w:rFonts w:ascii="Arial" w:cs="Arial" w:eastAsia="Arial" w:hAnsi="Arial"/>
          <w:color w:val="1f1f1f"/>
          <w:rtl w:val="0"/>
        </w:rPr>
        <w:t xml:space="preserve"> (típicamente utilizando integraciones con lenguajes como R y paquetes como mirt, o bibliotecas equivalentes en Python) para realizar la estimación paramétrica mediante algoritmos de Máxima Verosimilitud (MLE) o Cuadratura de Gauss-Hermite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ser capaz de modelar los datos utilizando variaciones logísticas, siendo el Modelo Logístico de 3 Parámetros (3PL) el más adecuado para instrumentos de selección múltiple sujetos a adivinación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La función matemática que el sistema debe computar para trazar la Curva Característica del Ítem (ICC) se define como: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817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motor psicométrico debe almacenar y procesar continuamente tres parámetros fundamentales para cada assessmentItem en la base de datos: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Parámetro TRI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Conceptual y Operativa en la Plataforma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Dificultad (</w:t>
            </w:r>
            <w:r w:rsidDel="00000000" w:rsidR="00000000" w:rsidRPr="00000000">
              <w:rPr>
                <w:rFonts w:ascii="Arial" w:cs="Arial" w:eastAsia="Arial" w:hAnsi="Arial"/>
                <w:b w:val="1"/>
                <w:bCs w:val="1"/>
                <w:color w:val="1f1f1f"/>
              </w:rPr>
              <w:drawing>
                <wp:inline distB="19050" distT="19050" distL="19050" distR="19050">
                  <wp:extent cx="124718" cy="22065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4718" cy="220656"/>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Ubica el punto de inflexión de la curva en el eje de la habilidad (</w:t>
            </w:r>
            <w:r w:rsidDel="00000000" w:rsidR="00000000" w:rsidRPr="00000000">
              <w:rPr>
                <w:rFonts w:ascii="Arial" w:cs="Arial" w:eastAsia="Arial" w:hAnsi="Arial"/>
                <w:color w:val="1f1f1f"/>
              </w:rPr>
              <w:drawing>
                <wp:inline distB="19050" distT="19050" distL="19050" distR="19050">
                  <wp:extent cx="97334" cy="253069"/>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Representa el nivel de habilidad requerido para tener un 50% de probabilidad de responder correctamente (ajustado por la adivinación). Un ítem con </w:t>
            </w:r>
            <w:r w:rsidDel="00000000" w:rsidR="00000000" w:rsidRPr="00000000">
              <w:rPr>
                <w:rFonts w:ascii="Arial" w:cs="Arial" w:eastAsia="Arial" w:hAnsi="Arial"/>
                <w:color w:val="1f1f1f"/>
              </w:rPr>
              <w:drawing>
                <wp:inline distB="19050" distT="19050" distL="19050" distR="19050">
                  <wp:extent cx="74265" cy="213513"/>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4265" cy="213513"/>
                          </a:xfrm>
                          <a:prstGeom prst="rect"/>
                          <a:ln/>
                        </pic:spPr>
                      </pic:pic>
                    </a:graphicData>
                  </a:graphic>
                </wp:inline>
              </w:drawing>
            </w:r>
            <w:r w:rsidDel="00000000" w:rsidR="00000000" w:rsidRPr="00000000">
              <w:rPr>
                <w:rFonts w:ascii="Arial" w:cs="Arial" w:eastAsia="Arial" w:hAnsi="Arial"/>
                <w:color w:val="1f1f1f"/>
                <w:rtl w:val="0"/>
              </w:rPr>
              <w:t xml:space="preserve"> alto será presentado por el algoritmo solo a estudiantes de desempeño superior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Discriminación (</w:t>
            </w:r>
            <w:r w:rsidDel="00000000" w:rsidR="00000000" w:rsidRPr="00000000">
              <w:rPr>
                <w:rFonts w:ascii="Arial" w:cs="Arial" w:eastAsia="Arial" w:hAnsi="Arial"/>
                <w:b w:val="1"/>
                <w:bCs w:val="1"/>
                <w:color w:val="1f1f1f"/>
              </w:rPr>
              <w:drawing>
                <wp:inline distB="19050" distT="19050" distL="19050" distR="19050">
                  <wp:extent cx="141982" cy="21770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1982" cy="21770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Determina la pendiente de la curva. Un valor alto indica que el ítem es excepcionalmente preciso para diferenciar entre un estudiante que posee un nivel de habilidad marginalmente inferior al umbral y uno que lo supera. Ítems con baja discriminación deben ser marcados por el sistema para revisión editorial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Pseudo-azar (</w:t>
            </w:r>
            <w:r w:rsidDel="00000000" w:rsidR="00000000" w:rsidRPr="00000000">
              <w:rPr>
                <w:rFonts w:ascii="Arial" w:cs="Arial" w:eastAsia="Arial" w:hAnsi="Arial"/>
                <w:b w:val="1"/>
                <w:bCs w:val="1"/>
                <w:color w:val="1f1f1f"/>
              </w:rPr>
              <w:drawing>
                <wp:inline distB="19050" distT="19050" distL="19050" distR="19050">
                  <wp:extent cx="125313" cy="221707"/>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5313" cy="22170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Modela la asíntota inferior de la curva. Reconoce que en pruebas SIMCE de selección múltiple, estudiantes con un </w:t>
            </w:r>
            <w:r w:rsidDel="00000000" w:rsidR="00000000" w:rsidRPr="00000000">
              <w:rPr>
                <w:rFonts w:ascii="Arial" w:cs="Arial" w:eastAsia="Arial" w:hAnsi="Arial"/>
                <w:color w:val="1f1f1f"/>
              </w:rPr>
              <w:drawing>
                <wp:inline distB="19050" distT="19050" distL="19050" distR="19050">
                  <wp:extent cx="97334" cy="253069"/>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muy bajo tienen una probabilidad basal de acertar adivinando (usualmente cercana a 0.25 en ítems de cuatro alternativas). Previene la sobreestimación espuria de la habilidad de estudiantes con déficit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implementación de modelos TRI no solo incrementa la precisión diagnóstica, sino que establece la infraestructura habilitante para el desarrollo futuro de Pruebas Adaptativas Informatizadas (CAT). En un entorno CAT, el algoritmo selecciona dinámicamente la siguiente pregunta del banco de ítems basándose en la respuesta inmediata anterior del estudiante, convergiendo rápidamente hacia su verdadero nivel </w:t>
      </w:r>
      <w:r w:rsidDel="00000000" w:rsidR="00000000" w:rsidRPr="00000000">
        <w:rPr>
          <w:rFonts w:ascii="Arial" w:cs="Arial" w:eastAsia="Arial" w:hAnsi="Arial"/>
          <w:color w:val="1f1f1f"/>
        </w:rPr>
        <w:drawing>
          <wp:inline distB="19050" distT="19050" distL="19050" distR="19050">
            <wp:extent cx="97334" cy="253069"/>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y reduciendo drásticamente la fatiga cognitiva al evitar preguntas excesivamente fáciles o inútilmente difíciles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Patrones de Error y Análisis de Distractores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evaluación estandarizada orientada al aprendizaje, el error no es un evento aleatorio, sino un indicador diagnóstico de incomprensiones sistemáticas. La arquitectura de datos de la plataforma debe capturar con granularidad la opción específica seleccionada por el estudiante, no limitándose a un registro binario de acierto/fallo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psicométrico debe incorporar rutinas para evaluar el comportamiento diferencial de los distractores. Por ejemplo, en una pregunta de medición para 4° básico que requiere transformar 400 centímetros a metros, la respuesta correcta es 4. Si el sistema detecta una alta densidad poblacional escogiendo el distractor "40", el motor analítico debe inferir que existe un error procedimental donde los estudiantes dividen por 10 en lugar de 100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Si seleccionan "4000", se evidencia una confusión en la dirección de la conversión métrica (multiplicación en lugar de división)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 clasificar semánticamente cada opción incorrecta en la base de datos, la plataforma puede ejecutar estrategias pedagógicas reconocidas por el Ministerio de Educación, como la técnica "Mi error favorito"</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El </w:t>
      </w:r>
      <w:r w:rsidDel="00000000" w:rsidR="00000000" w:rsidRPr="00000000">
        <w:rPr>
          <w:rFonts w:ascii="Arial" w:cs="Arial" w:eastAsia="Arial" w:hAnsi="Arial"/>
          <w:i w:val="1"/>
          <w:iCs w:val="1"/>
          <w:color w:val="1f1f1f"/>
          <w:rtl w:val="0"/>
        </w:rPr>
        <w:t xml:space="preserve">dashboard</w:t>
      </w:r>
      <w:r w:rsidDel="00000000" w:rsidR="00000000" w:rsidRPr="00000000">
        <w:rPr>
          <w:rFonts w:ascii="Arial" w:cs="Arial" w:eastAsia="Arial" w:hAnsi="Arial"/>
          <w:color w:val="1f1f1f"/>
          <w:rtl w:val="0"/>
        </w:rPr>
        <w:t xml:space="preserve"> docente no solo alertará que el 60% del curso falló el ítem de geometría, sino que informará que la inmensa mayoría cometió el mismo sesgo procedimental, permitiendo al profesor diseñar una clase remedial quirúrgicamente precisa.</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Gestión Pedagógica e Instrucción Basada en Datos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recolección masiva de métricas y la aplicación de algoritmos psicométricos carecen de utilidad práctica si no se insertan dentro de un ciclo institucional enfocado en la mejora continua. La plataforma debe ser diseñada bajo la filosofía de la "Instrucción Basada en Datos", un marco conceptual popularizado por expertos como Paul Bambrick-Santoyo y organizaciones de asistencia técnica educativa como Aptus Chile, cuyo enfoque radica en transformar los datos fríos en cambios palpables en la dinámica del aula</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Agencia de Calidad establece una guía metodológica estructurada para el uso de datos pedagógicos, la cual contempla un ciclo interativo que la plataforma debe facilitar tecnológica y visualmente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Identificación de Desafíos:</w:t>
      </w:r>
      <w:r w:rsidDel="00000000" w:rsidR="00000000" w:rsidRPr="00000000">
        <w:rPr>
          <w:rFonts w:ascii="Arial" w:cs="Arial" w:eastAsia="Arial" w:hAnsi="Arial"/>
          <w:color w:val="1f1f1f"/>
          <w:rtl w:val="0"/>
        </w:rPr>
        <w:t xml:space="preserve"> El sistema alerta sobre caídas de rendimiento en habilidades específicas, aislando problemas estructurales (e.g., déficit crónico en la inferencia de información implícita en textos informativos).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Recopilación y Transformación de Datos:</w:t>
      </w:r>
      <w:r w:rsidDel="00000000" w:rsidR="00000000" w:rsidRPr="00000000">
        <w:rPr>
          <w:rFonts w:ascii="Arial" w:cs="Arial" w:eastAsia="Arial" w:hAnsi="Arial"/>
          <w:color w:val="1f1f1f"/>
          <w:rtl w:val="0"/>
        </w:rPr>
        <w:t xml:space="preserve"> La plataforma fusiona los resultados del ensayo SIMCE con métricas internas (como el promedio de notas o la asistencia de los estudiantes) para proporcionar una visión holística</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Toma de Decisiones y Retroalimentación:</w:t>
      </w:r>
      <w:r w:rsidDel="00000000" w:rsidR="00000000" w:rsidRPr="00000000">
        <w:rPr>
          <w:rFonts w:ascii="Arial" w:cs="Arial" w:eastAsia="Arial" w:hAnsi="Arial"/>
          <w:color w:val="1f1f1f"/>
          <w:rtl w:val="0"/>
        </w:rPr>
        <w:t xml:space="preserve"> A través de módulos de planificación, los equipos directivos y Unidades Técnico-Pedagógicas (UTP) registran las medidas remediales y las estrategias a implementar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Evaluación de Impacto:</w:t>
      </w:r>
      <w:r w:rsidDel="00000000" w:rsidR="00000000" w:rsidRPr="00000000">
        <w:rPr>
          <w:rFonts w:ascii="Arial" w:cs="Arial" w:eastAsia="Arial" w:hAnsi="Arial"/>
          <w:color w:val="1f1f1f"/>
          <w:rtl w:val="0"/>
        </w:rPr>
        <w:t xml:space="preserve"> En el siguiente ensayo transversal, la plataforma calcula el "Progreso SIMCE", un indicador que evidencia si las intervenciones metodológicas lograron movilizar a la cohorte hacia niveles de desempeño superiores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Diseño de </w:t>
      </w:r>
      <w:r w:rsidDel="00000000" w:rsidR="00000000" w:rsidRPr="00000000">
        <w:rPr>
          <w:rFonts w:ascii="Arial" w:cs="Arial" w:eastAsia="Arial" w:hAnsi="Arial"/>
          <w:b w:val="1"/>
          <w:bCs w:val="1"/>
          <w:i w:val="1"/>
          <w:iCs w:val="1"/>
          <w:color w:val="1f1f1f"/>
          <w:sz w:val="28"/>
          <w:szCs w:val="28"/>
          <w:rtl w:val="0"/>
        </w:rPr>
        <w:t xml:space="preserve">Dashboards</w:t>
      </w:r>
      <w:r w:rsidDel="00000000" w:rsidR="00000000" w:rsidRPr="00000000">
        <w:rPr>
          <w:rFonts w:ascii="Arial" w:cs="Arial" w:eastAsia="Arial" w:hAnsi="Arial"/>
          <w:color w:val="1f1f1f"/>
          <w:rtl w:val="0"/>
        </w:rPr>
        <w:t xml:space="preserve"> Jerárquicos y Actionables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interfaz analítica (</w:t>
      </w:r>
      <w:r w:rsidDel="00000000" w:rsidR="00000000" w:rsidRPr="00000000">
        <w:rPr>
          <w:rFonts w:ascii="Arial" w:cs="Arial" w:eastAsia="Arial" w:hAnsi="Arial"/>
          <w:i w:val="1"/>
          <w:iCs w:val="1"/>
          <w:color w:val="1f1f1f"/>
          <w:rtl w:val="0"/>
        </w:rPr>
        <w:t xml:space="preserve">frontend</w:t>
      </w:r>
      <w:r w:rsidDel="00000000" w:rsidR="00000000" w:rsidRPr="00000000">
        <w:rPr>
          <w:rFonts w:ascii="Arial" w:cs="Arial" w:eastAsia="Arial" w:hAnsi="Arial"/>
          <w:color w:val="1f1f1f"/>
          <w:rtl w:val="0"/>
        </w:rPr>
        <w:t xml:space="preserve">) de la plataforma no puede ser monolítica; debe presentar distintos niveles de abstracción y agregación de datos dependiendo del perfil del usuario (Role-Based Access Control).</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Sostenedores y Administradores de Red:</w:t>
      </w:r>
      <w:r w:rsidDel="00000000" w:rsidR="00000000" w:rsidRPr="00000000">
        <w:rPr>
          <w:rFonts w:ascii="Arial" w:cs="Arial" w:eastAsia="Arial" w:hAnsi="Arial"/>
          <w:color w:val="1f1f1f"/>
          <w:rtl w:val="0"/>
        </w:rPr>
        <w:t xml:space="preserve"> Requieren una visión macroscópica y longitudinal que permita comparar el desempeño entre distintos colegios de su red. El sistema debe evidenciar brechas de equidad y permitir la asignación estratégica de recursos hacia los establecimientos en riesgo de caer en la Categoría de Desempeño Insuficiente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Directores y Jefes de UTP:</w:t>
      </w:r>
      <w:r w:rsidDel="00000000" w:rsidR="00000000" w:rsidRPr="00000000">
        <w:rPr>
          <w:rFonts w:ascii="Arial" w:cs="Arial" w:eastAsia="Arial" w:hAnsi="Arial"/>
          <w:color w:val="1f1f1f"/>
          <w:rtl w:val="0"/>
        </w:rPr>
        <w:t xml:space="preserve"> Necesitan módulos de análisis transversal de cohortes, visualizando la distribución porcentual de los estudiantes en los niveles Adecuado, Elemental e Insuficiente, y monitoreando el cumplimiento de los objetivos declarados en el Plan de Mejoramiento Educativo (PME) institucional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Docentes de Aula:</w:t>
      </w:r>
      <w:r w:rsidDel="00000000" w:rsidR="00000000" w:rsidRPr="00000000">
        <w:rPr>
          <w:rFonts w:ascii="Arial" w:cs="Arial" w:eastAsia="Arial" w:hAnsi="Arial"/>
          <w:color w:val="1f1f1f"/>
          <w:rtl w:val="0"/>
        </w:rPr>
        <w:t xml:space="preserve"> Constituyen los usuarios más críticos. El </w:t>
      </w:r>
      <w:r w:rsidDel="00000000" w:rsidR="00000000" w:rsidRPr="00000000">
        <w:rPr>
          <w:rFonts w:ascii="Arial" w:cs="Arial" w:eastAsia="Arial" w:hAnsi="Arial"/>
          <w:i w:val="1"/>
          <w:iCs w:val="1"/>
          <w:color w:val="1f1f1f"/>
          <w:rtl w:val="0"/>
        </w:rPr>
        <w:t xml:space="preserve">dashboard</w:t>
      </w:r>
      <w:r w:rsidDel="00000000" w:rsidR="00000000" w:rsidRPr="00000000">
        <w:rPr>
          <w:rFonts w:ascii="Arial" w:cs="Arial" w:eastAsia="Arial" w:hAnsi="Arial"/>
          <w:color w:val="1f1f1f"/>
          <w:rtl w:val="0"/>
        </w:rPr>
        <w:t xml:space="preserve"> docente debe desplegar matrices de especificaciones interactivas, utilizando mapas de calor donde las intersecciones entre estudiantes y habilidades evaluadas revelen instantáneamente las zonas de fragilidad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 panel debe sugerir agrupaciones dinámicas de estudiantes para el trabajo diferenciado en el aula, aislando a aquellos que requieren nivelación de los que necesitan actividades de enriquecimiento.</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Estudiantes y Familias:</w:t>
      </w:r>
      <w:r w:rsidDel="00000000" w:rsidR="00000000" w:rsidRPr="00000000">
        <w:rPr>
          <w:rFonts w:ascii="Arial" w:cs="Arial" w:eastAsia="Arial" w:hAnsi="Arial"/>
          <w:color w:val="1f1f1f"/>
          <w:rtl w:val="0"/>
        </w:rPr>
        <w:t xml:space="preserve"> La entrega de resultados al usuario final debe realizarse con extrema sensibilidad pedagógica. En lugar de utilizar jerga psicométrica estigmatizante, el sistema debe presentar reportes formativos que destaquen el avance del estudiante contra sí mismo, visualizando las habilidades precursoras consolidadas y las metas próximas de desarrollo, fomentando la motivación intrínseca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b w:val="1"/>
          <w:bCs w:val="1"/>
          <w:i w:val="1"/>
          <w:iCs w:val="1"/>
          <w:color w:val="1f1f1f"/>
          <w:sz w:val="36"/>
          <w:szCs w:val="36"/>
        </w:rPr>
      </w:pPr>
      <w:r w:rsidDel="00000000" w:rsidR="00000000" w:rsidRPr="00000000">
        <w:rPr>
          <w:rFonts w:ascii="Arial" w:cs="Arial" w:eastAsia="Arial" w:hAnsi="Arial"/>
          <w:color w:val="1f1f1f"/>
          <w:rtl w:val="0"/>
        </w:rPr>
        <w:t xml:space="preserve">Arquitectura de Software y Soluciones </w:t>
      </w:r>
      <w:r w:rsidDel="00000000" w:rsidR="00000000" w:rsidRPr="00000000">
        <w:rPr>
          <w:rFonts w:ascii="Arial" w:cs="Arial" w:eastAsia="Arial" w:hAnsi="Arial"/>
          <w:b w:val="1"/>
          <w:bCs w:val="1"/>
          <w:i w:val="1"/>
          <w:iCs w:val="1"/>
          <w:color w:val="1f1f1f"/>
          <w:sz w:val="36"/>
          <w:szCs w:val="36"/>
          <w:rtl w:val="0"/>
        </w:rPr>
        <w:t xml:space="preserve">Cloud-Native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un sistema de evaluación nacional impone desafíos de infraestructura draconianos. A diferencia de las plataformas de aprendizaje asíncrono, los ensayos SIMCE se caracterizan por patrones de tráfico violentamente asimétricos: las escuelas programan sus ensayos simultáneamente en horarios matutinos, generando picos masivos de miles de conexiones concurrentes que exigen una respuesta de latencia sub-segundo, para luego experimentar una inactividad casi total durante las tardes y fines de semana.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resolver esta variabilidad sin incurrir en costos exorbitantes de servidores inactivos, la arquitectura debe sustentarse en un paradigma </w:t>
      </w:r>
      <w:r w:rsidDel="00000000" w:rsidR="00000000" w:rsidRPr="00000000">
        <w:rPr>
          <w:rFonts w:ascii="Arial" w:cs="Arial" w:eastAsia="Arial" w:hAnsi="Arial"/>
          <w:i w:val="1"/>
          <w:iCs w:val="1"/>
          <w:color w:val="1f1f1f"/>
          <w:rtl w:val="0"/>
        </w:rPr>
        <w:t xml:space="preserve">Cloud-Native Serverless</w:t>
      </w:r>
      <w:r w:rsidDel="00000000" w:rsidR="00000000" w:rsidRPr="00000000">
        <w:rPr>
          <w:rFonts w:ascii="Arial" w:cs="Arial" w:eastAsia="Arial" w:hAnsi="Arial"/>
          <w:color w:val="1f1f1f"/>
          <w:rtl w:val="0"/>
        </w:rPr>
        <w:t xml:space="preserve"> (sin servidor), apalancando la infraestructura de proveedores globales como Amazon Web Services (AWS), Google Cloud Platform (GCP) o Microsoft Azure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Orquestación de Cómputo y Escalabilidad Dinámica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Tomando como marco de referencia los patrones arquitectónicos de AWS, el flujo de procesamiento debe desacoplar radicalmente la capa de presentación de la capa de ejecución de negocios.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entrega de las pruebas (Test Delivery Engine) debe contenerizarse. Utilizando herramientas como Docker, las aplicaciones pueden ser orquestadas por Amazon Elastic Container Service (ECS) ejecutándose sobre AWS Fargate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Fargate es un motor de cómputo </w:t>
      </w:r>
      <w:r w:rsidDel="00000000" w:rsidR="00000000" w:rsidRPr="00000000">
        <w:rPr>
          <w:rFonts w:ascii="Arial" w:cs="Arial" w:eastAsia="Arial" w:hAnsi="Arial"/>
          <w:i w:val="1"/>
          <w:iCs w:val="1"/>
          <w:color w:val="1f1f1f"/>
          <w:rtl w:val="0"/>
        </w:rPr>
        <w:t xml:space="preserve">serverless</w:t>
      </w:r>
      <w:r w:rsidDel="00000000" w:rsidR="00000000" w:rsidRPr="00000000">
        <w:rPr>
          <w:rFonts w:ascii="Arial" w:cs="Arial" w:eastAsia="Arial" w:hAnsi="Arial"/>
          <w:color w:val="1f1f1f"/>
          <w:rtl w:val="0"/>
        </w:rPr>
        <w:t xml:space="preserve"> que permite ejecutar contenedores sin la necesidad de aprovisionar, configurar o escalar clústeres de máquinas virtuales (como EC2)</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ECS evaluará continuamente la carga de CPU y memoria, lanzando nuevas réplicas del contenedor de evaluación en milisegundos a medida que ingresan miles de estudiantes simultáneamente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la calificación automatizada, la generación de reportes psicométricos pesados y la emisión de notificaciones, la arquitectura orientada a eventos (</w:t>
      </w:r>
      <w:r w:rsidDel="00000000" w:rsidR="00000000" w:rsidRPr="00000000">
        <w:rPr>
          <w:rFonts w:ascii="Arial" w:cs="Arial" w:eastAsia="Arial" w:hAnsi="Arial"/>
          <w:i w:val="1"/>
          <w:iCs w:val="1"/>
          <w:color w:val="1f1f1f"/>
          <w:rtl w:val="0"/>
        </w:rPr>
        <w:t xml:space="preserve">Event-Driven Architecture</w:t>
      </w:r>
      <w:r w:rsidDel="00000000" w:rsidR="00000000" w:rsidRPr="00000000">
        <w:rPr>
          <w:rFonts w:ascii="Arial" w:cs="Arial" w:eastAsia="Arial" w:hAnsi="Arial"/>
          <w:color w:val="1f1f1f"/>
          <w:rtl w:val="0"/>
        </w:rPr>
        <w:t xml:space="preserve">) es mandatoria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El envío de las respuestas de un estudiante debe publicarse en un bus de mensajería (como Amazon EventBridge o SNS/SQS), desencadenando funciones efímeras de Amazon Lambda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Es crítico configurar adecuadamente las políticas de concurrencia de AWS Lambda. Si bien existe un límite predeterminado de 1,000 ejecuciones concurrentes por cuenta y región, los desarrolladores deben utilizar la "concurrencia aprovisionada" (</w:t>
      </w:r>
      <w:r w:rsidDel="00000000" w:rsidR="00000000" w:rsidRPr="00000000">
        <w:rPr>
          <w:rFonts w:ascii="Arial" w:cs="Arial" w:eastAsia="Arial" w:hAnsi="Arial"/>
          <w:i w:val="1"/>
          <w:iCs w:val="1"/>
          <w:color w:val="1f1f1f"/>
          <w:rtl w:val="0"/>
        </w:rPr>
        <w:t xml:space="preserve">provisioned concurrency</w:t>
      </w:r>
      <w:r w:rsidDel="00000000" w:rsidR="00000000" w:rsidRPr="00000000">
        <w:rPr>
          <w:rFonts w:ascii="Arial" w:cs="Arial" w:eastAsia="Arial" w:hAnsi="Arial"/>
          <w:color w:val="1f1f1f"/>
          <w:rtl w:val="0"/>
        </w:rPr>
        <w:t xml:space="preserve">) para las funciones críticas del ensayo. Esto pre-inicializa los entornos de ejecución, eliminando la latencia de los arranques en frío (</w:t>
      </w:r>
      <w:r w:rsidDel="00000000" w:rsidR="00000000" w:rsidRPr="00000000">
        <w:rPr>
          <w:rFonts w:ascii="Arial" w:cs="Arial" w:eastAsia="Arial" w:hAnsi="Arial"/>
          <w:i w:val="1"/>
          <w:iCs w:val="1"/>
          <w:color w:val="1f1f1f"/>
          <w:rtl w:val="0"/>
        </w:rPr>
        <w:t xml:space="preserve">cold starts</w:t>
      </w:r>
      <w:r w:rsidDel="00000000" w:rsidR="00000000" w:rsidRPr="00000000">
        <w:rPr>
          <w:rFonts w:ascii="Arial" w:cs="Arial" w:eastAsia="Arial" w:hAnsi="Arial"/>
          <w:color w:val="1f1f1f"/>
          <w:rtl w:val="0"/>
        </w:rPr>
        <w:t xml:space="preserve">) y garantizando que los picos repentinos de tráfico de miles de respuestas por segundo (calculados mediante la fórmula </w:t>
      </w:r>
      <w:r w:rsidDel="00000000" w:rsidR="00000000" w:rsidRPr="00000000">
        <w:rPr>
          <w:rFonts w:ascii="Arial" w:cs="Arial" w:eastAsia="Arial" w:hAnsi="Arial"/>
          <w:color w:val="1f1f1f"/>
        </w:rPr>
        <w:drawing>
          <wp:inline distB="19050" distT="19050" distL="19050" distR="19050">
            <wp:extent cx="4267791" cy="247684"/>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67791" cy="247684"/>
                    </a:xfrm>
                    <a:prstGeom prst="rect"/>
                    <a:ln/>
                  </pic:spPr>
                </pic:pic>
              </a:graphicData>
            </a:graphic>
          </wp:inline>
        </w:drawing>
      </w:r>
      <w:r w:rsidDel="00000000" w:rsidR="00000000" w:rsidRPr="00000000">
        <w:rPr>
          <w:rFonts w:ascii="Arial" w:cs="Arial" w:eastAsia="Arial" w:hAnsi="Arial"/>
          <w:color w:val="1f1f1f"/>
          <w:rtl w:val="0"/>
        </w:rPr>
        <w:t xml:space="preserve">) no saturen el sistema ni ralenticen la experiencia del usuario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Modelo de Datos Relacional y NoSQL (ERD)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persistencia de datos en una plataforma de ensayos masivos requiere un enfoque de base de datos políglota, combinando la flexibilidad extrema del NoSQL para la captura en tiempo real, con la consistencia e integridad del SQL para el análisis posterior.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almacenamiento transaccional de los clics y el avance del estudiante (milisegundo a milisegundo) debe dirigirse a una base de datos NoSQL de clave-valor altamente escalable, como Amazon DynamoDB</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Esto garantiza que ninguna latencia de disco impida el guardado automático de la prueba.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finalizado el ensayo, los datos estructurados deben consolidarse en una base de datos relacional (como PostgreSQL administrado vía Amazon Aurora RDS) para permitir consultas analíticas complejas mediante uniones (JOINs)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El diseño del esquema de la base de datos o Diagrama de Entidad-Relación (ERD) debe concebirse con extrema rigurosidad para asegurar la normalización, evitar redundancias y facilitar la trazabilidad</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tablas y relaciones de cardinalidad debe incluir las siguientes entidades fundamentales, vinculadas mediante claves primarias y foráneas (UUIDs preferentemente para entornos distribuidos)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Entidad (Tabla)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y Relaciones (Cardinalidad en el ERD)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Institution /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Almacena los metadatos del colegio (RBD, nombre, ubicación). Mantiene una relación de </w:t>
            </w:r>
            <w:r w:rsidDel="00000000" w:rsidR="00000000" w:rsidRPr="00000000">
              <w:rPr>
                <w:rFonts w:ascii="Arial" w:cs="Arial" w:eastAsia="Arial" w:hAnsi="Arial"/>
                <w:i w:val="1"/>
                <w:iCs w:val="1"/>
                <w:color w:val="1f1f1f"/>
                <w:rtl w:val="0"/>
              </w:rPr>
              <w:t xml:space="preserve">uno a muchos</w:t>
            </w:r>
            <w:r w:rsidDel="00000000" w:rsidR="00000000" w:rsidRPr="00000000">
              <w:rPr>
                <w:rFonts w:ascii="Arial" w:cs="Arial" w:eastAsia="Arial" w:hAnsi="Arial"/>
                <w:color w:val="1f1f1f"/>
                <w:rtl w:val="0"/>
              </w:rPr>
              <w:t xml:space="preserve"> (1:N) con las entidades User (estudiantes, docentes) y Cohort (cursos)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Repositorio central de identidades. Almacena roles, credenciales encriptadas y datos demográficos. Una relación N:M con Cohort permite que un docente supervise múltiples cursos y un estudiante pertenezca a diversas clases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ItemBank (AssessmentItem)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banco maestro de preguntas. Mantiene relaciones complejas con las tablas de taxonomía curricular (Objetivos de Aprendizaje, Ejes, Habilidades) y almacena los parámetros psicométricos precalculados de la TRI (</w:t>
            </w:r>
            <w:r w:rsidDel="00000000" w:rsidR="00000000" w:rsidRPr="00000000">
              <w:rPr>
                <w:rFonts w:ascii="Arial" w:cs="Arial" w:eastAsia="Arial" w:hAnsi="Arial"/>
                <w:color w:val="1f1f1f"/>
              </w:rPr>
              <w:drawing>
                <wp:inline distB="19050" distT="19050" distL="19050" distR="19050">
                  <wp:extent cx="545603" cy="220156"/>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5603" cy="22015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ItemOption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Representa las alternativas de selección múltiple u opciones de desarrollo. Relacionada mediante dependencia estricta (</w:t>
            </w:r>
            <w:r w:rsidDel="00000000" w:rsidR="00000000" w:rsidRPr="00000000">
              <w:rPr>
                <w:rFonts w:ascii="Arial" w:cs="Arial" w:eastAsia="Arial" w:hAnsi="Arial"/>
                <w:i w:val="1"/>
                <w:iCs w:val="1"/>
                <w:color w:val="1f1f1f"/>
                <w:rtl w:val="0"/>
              </w:rPr>
              <w:t xml:space="preserve">muchos a uno</w:t>
            </w:r>
            <w:r w:rsidDel="00000000" w:rsidR="00000000" w:rsidRPr="00000000">
              <w:rPr>
                <w:rFonts w:ascii="Arial" w:cs="Arial" w:eastAsia="Arial" w:hAnsi="Arial"/>
                <w:color w:val="1f1f1f"/>
                <w:rtl w:val="0"/>
              </w:rPr>
              <w:t xml:space="preserve">) con ItemBank. Incorpora un flag booleano de respuesta correcta y metadatos de clasificación del distractor (e.g., error procedimental)</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AssessmentPrototype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Define la plantilla estructural del ensayo (ej. "Ensayo Censal Matemática 8° Básico - Noviembre"). Funciona como un contenedor lógico que agrupa, mediante una tabla intermedia de mapeo, un subconjunto específico de AssessmentItem</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AssessmentInstance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Representa el evento transaccional único de un estudiante rindiendo un ensayo. Vincula la entidad User con AssessmentPrototype. Almacena marcas temporales de inicio, fin, y el estado general de progresión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ItemResponse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tabla más voluminosa del sistema. Almacena la respuesta específica seleccionada por el estudiante para cada pregunta. Contiene claves foráneas hacia AssessmentInstance, ItemBank e ItemOption. Almacena métricas conductuales críticas como el tiempo de latencia para responder (en milisegundos) y la secuencia de cambios de decisión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garantizar la seguridad de la topología de red, todos los microservicios, bases de datos e instancias de caché deben estar desplegados dentro de una Nube Privada Virtual (VPC) con subredes privadas, utilizando NAT Gateways o VPC Endpoints para permitir que funciones como AWS Lambda accedan de forma segura a bases de datos como DynamoDB sin exponer el tráfico a la internet pública</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Resiliencia Operacional: </w:t>
      </w:r>
      <w:r w:rsidDel="00000000" w:rsidR="00000000" w:rsidRPr="00000000">
        <w:rPr>
          <w:rFonts w:ascii="Arial" w:cs="Arial" w:eastAsia="Arial" w:hAnsi="Arial"/>
          <w:b w:val="1"/>
          <w:bCs w:val="1"/>
          <w:i w:val="1"/>
          <w:iCs w:val="1"/>
          <w:color w:val="1f1f1f"/>
          <w:sz w:val="36"/>
          <w:szCs w:val="36"/>
          <w:rtl w:val="0"/>
        </w:rPr>
        <w:t xml:space="preserve">Offline-First</w:t>
      </w:r>
      <w:r w:rsidDel="00000000" w:rsidR="00000000" w:rsidRPr="00000000">
        <w:rPr>
          <w:rFonts w:ascii="Arial" w:cs="Arial" w:eastAsia="Arial" w:hAnsi="Arial"/>
          <w:color w:val="1f1f1f"/>
          <w:rtl w:val="0"/>
        </w:rPr>
        <w:t xml:space="preserve"> y Progressive Web Apps (PWA)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un sistema de software que asume conectividad perfecta está destinado al fracaso en el contexto educacional latinoamericano. Las brechas de infraestructura digital en Chile implican que un número significativo de establecimientos (particularmente rurales o en zonas de alta vulnerabilidad) sufren intermitencias severas en su conexión a internet. Que un estudiante pierda el progreso de su ensayo de 90 minutos debido a una micro-caída de red no solo genera frustración extrema, sino que contamina los datos psicométricos, introduciendo varianza de constructo irrelevante.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plataforma debe concebirse arquitectónicamente como una Aplicación Web Progresiva (PWA) utilizando un paradigma radical de desarrollo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Este enfoque invierte el modelo tradicional: la aplicación asume que la red es intrínsecamente poco fiable y utiliza el navegador del cliente como servidor principal y almacén primario de datos, utilizando la red únicamente para sincronización asíncrona</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viabilidad técnica de una PWA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1f1f1f"/>
          <w:rtl w:val="0"/>
        </w:rPr>
        <w:t xml:space="preserve"> para evaluaciones se asienta en tres tecnologías fundamentales de los navegadores modernos: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Service Workers y la API de Caché:</w:t>
      </w:r>
      <w:r w:rsidDel="00000000" w:rsidR="00000000" w:rsidRPr="00000000">
        <w:rPr>
          <w:rFonts w:ascii="Arial" w:cs="Arial" w:eastAsia="Arial" w:hAnsi="Arial"/>
          <w:color w:val="1f1f1f"/>
          <w:rtl w:val="0"/>
        </w:rPr>
        <w:t xml:space="preserve"> El Service Worker es un script en JavaScript que el navegador ejecuta en un hilo secundario, separado de la interfaz de usuario, actuando como un servidor proxy interceptor de peticiones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Durante la carga inicial de la plataforma, el evento install del Service Worker pre-cachea (almacena localmente) toda la "App Shell" o caparazón de la aplicación: los archivos HTML, hojas de estilo CSS, lógica JavaScript, tipografías y, fundamentalmente, todas las imágenes y recursos multimedia de las preguntas que componen el ensayo</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A partir de este momento, ante cualquier navegación, el Service Worker aplica una estrategia de "Cache First": sirve la aplicación instantáneamente desde el disco local, permitiendo que la plataforma cargue y funcione con latencia cero incluso si el router de la escuela pierde su conexión a internet</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IndexedDB como Motor de Persistencia Local:</w:t>
      </w:r>
      <w:r w:rsidDel="00000000" w:rsidR="00000000" w:rsidRPr="00000000">
        <w:rPr>
          <w:rFonts w:ascii="Arial" w:cs="Arial" w:eastAsia="Arial" w:hAnsi="Arial"/>
          <w:color w:val="1f1f1f"/>
          <w:rtl w:val="0"/>
        </w:rPr>
        <w:t xml:space="preserve"> Las respuestas del estudiante no pueden almacenarse en el tradicional localStorage debido a sus limitaciones de capacidad (5MB) y su naturaleza síncrona que bloquea el hilo principal de la interfaz, congelando la pantalla</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La plataforma debe utilizar IndexedDB, una base de datos NoSQL transaccional, asíncrona y estructurada que reside directamente en el navegador del usuario y permite almacenar gigabytes de datos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Cada vez que el estudiante selecciona una alternativa, la plataforma ejecuta una "escritura optimista" (</w:t>
      </w:r>
      <w:r w:rsidDel="00000000" w:rsidR="00000000" w:rsidRPr="00000000">
        <w:rPr>
          <w:rFonts w:ascii="Arial" w:cs="Arial" w:eastAsia="Arial" w:hAnsi="Arial"/>
          <w:i w:val="1"/>
          <w:iCs w:val="1"/>
          <w:color w:val="1f1f1f"/>
          <w:rtl w:val="0"/>
        </w:rPr>
        <w:t xml:space="preserve">optimistic write</w:t>
      </w:r>
      <w:r w:rsidDel="00000000" w:rsidR="00000000" w:rsidRPr="00000000">
        <w:rPr>
          <w:rFonts w:ascii="Arial" w:cs="Arial" w:eastAsia="Arial" w:hAnsi="Arial"/>
          <w:color w:val="1f1f1f"/>
          <w:rtl w:val="0"/>
        </w:rPr>
        <w:t xml:space="preserve">), guardando la respuesta inmediatamente en IndexedDB, proporcionando </w:t>
      </w:r>
      <w:r w:rsidDel="00000000" w:rsidR="00000000" w:rsidRPr="00000000">
        <w:rPr>
          <w:rFonts w:ascii="Arial" w:cs="Arial" w:eastAsia="Arial" w:hAnsi="Arial"/>
          <w:i w:val="1"/>
          <w:iCs w:val="1"/>
          <w:color w:val="1f1f1f"/>
          <w:rtl w:val="0"/>
        </w:rPr>
        <w:t xml:space="preserve">feedback</w:t>
      </w:r>
      <w:r w:rsidDel="00000000" w:rsidR="00000000" w:rsidRPr="00000000">
        <w:rPr>
          <w:rFonts w:ascii="Arial" w:cs="Arial" w:eastAsia="Arial" w:hAnsi="Arial"/>
          <w:color w:val="1f1f1f"/>
          <w:rtl w:val="0"/>
        </w:rPr>
        <w:t xml:space="preserve"> visual de guardado exitoso sin importar el estado de la conexión a internet</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Background Sync API y Resolución de Sincronización:</w:t>
      </w:r>
      <w:r w:rsidDel="00000000" w:rsidR="00000000" w:rsidRPr="00000000">
        <w:rPr>
          <w:rFonts w:ascii="Arial" w:cs="Arial" w:eastAsia="Arial" w:hAnsi="Arial"/>
          <w:color w:val="1f1f1f"/>
          <w:rtl w:val="0"/>
        </w:rPr>
        <w:t xml:space="preserve"> Una vez que el dato está seguro en IndexedDB local, se añade un registro de mutación a una cola de sincronización (utilizando el patrón arquitectónico </w:t>
      </w:r>
      <w:r w:rsidDel="00000000" w:rsidR="00000000" w:rsidRPr="00000000">
        <w:rPr>
          <w:rFonts w:ascii="Arial" w:cs="Arial" w:eastAsia="Arial" w:hAnsi="Arial"/>
          <w:i w:val="1"/>
          <w:iCs w:val="1"/>
          <w:color w:val="1f1f1f"/>
          <w:rtl w:val="0"/>
        </w:rPr>
        <w:t xml:space="preserve">outbox</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Si el dispositivo está </w:t>
      </w:r>
      <w:r w:rsidDel="00000000" w:rsidR="00000000" w:rsidRPr="00000000">
        <w:rPr>
          <w:rFonts w:ascii="Arial" w:cs="Arial" w:eastAsia="Arial" w:hAnsi="Arial"/>
          <w:i w:val="1"/>
          <w:iCs w:val="1"/>
          <w:color w:val="1f1f1f"/>
          <w:rtl w:val="0"/>
        </w:rPr>
        <w:t xml:space="preserve">offline</w:t>
      </w:r>
      <w:r w:rsidDel="00000000" w:rsidR="00000000" w:rsidRPr="00000000">
        <w:rPr>
          <w:rFonts w:ascii="Arial" w:cs="Arial" w:eastAsia="Arial" w:hAnsi="Arial"/>
          <w:color w:val="1f1f1f"/>
          <w:rtl w:val="0"/>
        </w:rPr>
        <w:t xml:space="preserve">, el sistema simplemente acumula estas transacciones. La plataforma registra un evento en la Background Sync API del navegador. En el instante exacto en que el sistema operativo detecta la restauración de la conectividad de red, el Service Worker despierta en segundo plano y despacha la cola acumulada hacia los servidores de AWS en orden secuencial (FIFO)</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Para evitar colisiones y registros duplicados en caso de reintentos fallidos, la plataforma debe emplear llaves de idempotencia generadas en el cliente (UUIDs), garantizando que el </w:t>
      </w:r>
      <w:r w:rsidDel="00000000" w:rsidR="00000000" w:rsidRPr="00000000">
        <w:rPr>
          <w:rFonts w:ascii="Arial" w:cs="Arial" w:eastAsia="Arial" w:hAnsi="Arial"/>
          <w:i w:val="1"/>
          <w:iCs w:val="1"/>
          <w:color w:val="1f1f1f"/>
          <w:rtl w:val="0"/>
        </w:rPr>
        <w:t xml:space="preserve">backend</w:t>
      </w:r>
      <w:r w:rsidDel="00000000" w:rsidR="00000000" w:rsidRPr="00000000">
        <w:rPr>
          <w:rFonts w:ascii="Arial" w:cs="Arial" w:eastAsia="Arial" w:hAnsi="Arial"/>
          <w:color w:val="1f1f1f"/>
          <w:rtl w:val="0"/>
        </w:rPr>
        <w:t xml:space="preserve"> procese cada respuesta exactamente una vez</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despliegue de esta arquitectura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1f1f1f"/>
          <w:rtl w:val="0"/>
        </w:rPr>
        <w:t xml:space="preserve"> se traduce en mejoras dramáticas: tiempos de carga de la interfaz hasta un 95% más rápidos en visitas recurrentes, 100% de fiabilidad en la persistencia de datos durante cortes de internet (eliminando la pérdida de pruebas), y una reducción crítica en la demanda de ancho de banda y carga del servidor central durante los horarios pico</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Interoperabilidad y Estándares de la Industria Educativa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plataforma de evaluación moderna no puede constituirse como un silo de información aislado. Para maximizar su adopción y facilitar su convivencia armónica con el software que las instituciones educativas ya utilizan, el desarrollo debe ceñirse dogmáticamente a las especificaciones abiertas dictadas por el consorcio </w:t>
      </w:r>
      <w:r w:rsidDel="00000000" w:rsidR="00000000" w:rsidRPr="00000000">
        <w:rPr>
          <w:rFonts w:ascii="Arial" w:cs="Arial" w:eastAsia="Arial" w:hAnsi="Arial"/>
          <w:i w:val="1"/>
          <w:iCs w:val="1"/>
          <w:color w:val="1f1f1f"/>
          <w:rtl w:val="0"/>
        </w:rPr>
        <w:t xml:space="preserve">1EdTech</w:t>
      </w:r>
      <w:r w:rsidDel="00000000" w:rsidR="00000000" w:rsidRPr="00000000">
        <w:rPr>
          <w:rFonts w:ascii="Arial" w:cs="Arial" w:eastAsia="Arial" w:hAnsi="Arial"/>
          <w:color w:val="1f1f1f"/>
          <w:rtl w:val="0"/>
        </w:rPr>
        <w:t xml:space="preserve"> (anteriormente conocido como IMS Global Learning Consortium).</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Estandarización de Bancos de Ítems (QTI 3.0)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estructuración, almacenamiento y empaquetado de las preguntas y los ensayos completos debe realizarse bajo el estándar Question and Test Interoperability (QTI) en su versión 3.0</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El estándar QTI asegura que las evaluaciones posean portabilidad universal, permitiendo que un banco de ítems calibrado sea transferido entre distintos Sistemas de Gestión de Aprendizaje (LMS) sin pérdida de metadatos, configuraciones de puntuación automática o rúbricas de retroalimentación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XML definida por QTI 3.0 modela la jerarquía semántica de la prueba de la siguiente manera:</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qti-assessment-test: El contenedor raíz de la evaluación completa. Aquí se definen metadatos globales, el identificador único de la prueba, su título y directrices críticas de accesibilidad, como el idioma base del documento, lo cual es vital para el correcto funcionamiento de los lectores de pantalla</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qti-test-part: Representa divisiones operativas mayores dentro de un ensayo. En este nivel, la plataforma define parámetros de navegación conductual: el atributo navigation-mode puede configurarse como linear (forzando al estudiante a responder los ítems en una secuencia rígida sin poder regresar, útil para pruebas adaptativas) o nonlinear (el modelo clásico donde el estudiante puede hojear libremente la prueba, saltar preguntas y revisar respuestas previas)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AssessmentSection y assessmentItem: Agrupaciones que permiten subdividir una parte del test (por ejemplo, organizar las preguntas por el eje "Números y Operaciones"). Cada assessmentItem contiene el contenido de la pregunta y un modelo de interacción específico. Para las pruebas tipo SIMCE, el elemento predominante será la choiceInteraction (selección múltiple), pero el estándar soporta una vasta gama de interacciones cognitivas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adopción de la versión 3.0 de QTI (por sobre las antiguas 1.2 o 2.1) es obligatoria debido a que incorpora soporte nativo y semántico para HTML5, integra atributos de accesibilidad compatibles con las directrices W3C (Accessible Portable Item Protocol - APIP), y provee estructuras de metadatos específicamente diseñadas para alojar los parámetros psicométricos de la Teoría de Respuesta al Ítem (TRI) o Computer Adaptive Testing (CAT)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Integración Continua con Sistemas de Aprendizaje (LTI 1.3 Advantage)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colegios gestionan sus currículos a través de plataformas LMS establecidas (como Moodle, Canvas, Blackboard o Google Classroom). Exigir que docentes y estudiantes manejen bases de datos de usuarios paralelas y múltiples contraseñas es el principal obstáculo para la adopción de herramientas EdTech. La plataforma de ensayos debe integrarse fluidamente y de manera invisible dentro del LMS del colegio utilizando el protocolo Learning Tools Interoperability (LTI) versión 1.3 Advantage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LTI 1.3 Advantage revoluciona el esquema de integración al abandonar las prácticas obsoletas de seguridad basadas en secretos compartidos estáticos (como en LTI 1.1), los cuales eran vulnerables si se filtraban. El nuevo flujo de autenticación implementa un modelo de confianza mutua apalancado en los protocolos industriales IETF OAuth 2.0 y OpenID Connect (OIDC)</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proceso transaccional de inicio de sesión único (Single Sign-On o SSO) se ejecuta mediante un </w:t>
      </w:r>
      <w:r w:rsidDel="00000000" w:rsidR="00000000" w:rsidRPr="00000000">
        <w:rPr>
          <w:rFonts w:ascii="Arial" w:cs="Arial" w:eastAsia="Arial" w:hAnsi="Arial"/>
          <w:i w:val="1"/>
          <w:iCs w:val="1"/>
          <w:color w:val="1f1f1f"/>
          <w:rtl w:val="0"/>
        </w:rPr>
        <w:t xml:space="preserve">handshake</w:t>
      </w:r>
      <w:r w:rsidDel="00000000" w:rsidR="00000000" w:rsidRPr="00000000">
        <w:rPr>
          <w:rFonts w:ascii="Arial" w:cs="Arial" w:eastAsia="Arial" w:hAnsi="Arial"/>
          <w:color w:val="1f1f1f"/>
          <w:rtl w:val="0"/>
        </w:rPr>
        <w:t xml:space="preserve"> (apretón de manos) asimétrico. Cuando un estudiante hace clic en un enlace de ensayo SIMCE dentro de su LMS, la plataforma de aprendizaje emite tokens JWT (JSON Web Tokens) firmados criptográficamente con una clave privada RSA. La plataforma de ensayos intercepta este token, accede a la URL pública de claves (JWKS) expuesta por el LMS, y verifica matemáticamente la firma para autenticar la identidad del usuario, su rol (estudiante o docente) y el contexto del curso, autorizando el acceso inmediato sin mediar pantallas de login</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Más allá de la seguridad en el acceso, la denominación "Advantage" de LTI 1.3 incluye tres servicios de extensión que dotan a la plataforma de funcionalidades avanzadas, eliminando por completo el trabajo administrativo redundante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Extensión LTI Advantage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Funcionalidad y Valor para la Gestión Pedagógica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Deep Linking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Permite a los docentes navegar por el banco de ensayos desde dentro de su LMS e insertar un ensayo SIMCE específico directamente como una tarea o recurso dentro del flujo de una unidad didáctica, creando una experiencia unificada para el estudiante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Names and Role Provisioning Services (NRPS)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Autoriza a la plataforma de ensayos a solicitar al LMS el listado completo de la nómina de estudiantes del curso de manera anticipada. Esto sincroniza automáticamente las listas de clases (rosters), permitiendo a la arquitectura de software escalar preventivamente al conocer el número de usuarios que rendirán la prueba simultáneamente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Assignment and Grades Services (AGS) v2.0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Permite a la plataforma de evaluación transmitir bidireccionalmente resultados. Una vez que el motor psicométrico calcula el puntaje estandarizado o el Nivel de Aprendizaje del estudiante, el servicio AGS inyecta automáticamente esa calificación de vuelta en el libro de notas (Gradebook) del LMS del colegio, cerrando el ciclo de retroalimentación de manera autónoma</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Cumplimiento Normativo, Privacidad y Seguridad (Ley 21.719)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funcionamiento de una plataforma de evaluación estandarizada implica la recolección, almacenamiento y procesamiento algorítmico de datos masivos sobre el rendimiento cognitivo, socioeconómico (vía IDPS) y conductual de estudiantes. Tratándose predominantemente de menores de edad, la gobernanza de la información y el cumplimiento irrestricto de las leyes de privacidad no es un requerimiento secundario, sino el pilar central que viabiliza la legitimidad del sistema.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contexto chileno, la arquitectura de la plataforma debe someterse rigurosamente a las disposiciones de la nueva Ley N° 21.719, promulgada para modernizar profundamente la regulación de protección y tratamiento de datos personales, reemplazando la normativa anterior (Ley 19.628) y proyectando su entrada en vigencia plena para diciembre de 2026</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legislación transforma radicalmente las obligaciones de los proveedores de tecnología educativa (EdTech). Crea la Agencia de Protección de Datos Personales, un órgano fiscalizador con potestades sancionatorias severas capaces de imponer multas gravísimas que ascienden hasta las 20,000 Unidades Tributarias Mensuales (UTM) en caso de tratamiento fraudulento, infracción al deber de seguridad o vulneraciones que afecten datos sensibles de menores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desarrollo ingenieril debe incorporar el principio de Privacidad desde el Diseño (Privacy by Design), dando cumplimiento a los siguientes requerimientos legales imperativos: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Consentimiento Explícito e Inequívoco de Menores:</w:t>
      </w:r>
      <w:r w:rsidDel="00000000" w:rsidR="00000000" w:rsidRPr="00000000">
        <w:rPr>
          <w:rFonts w:ascii="Arial" w:cs="Arial" w:eastAsia="Arial" w:hAnsi="Arial"/>
          <w:color w:val="1f1f1f"/>
          <w:rtl w:val="0"/>
        </w:rPr>
        <w:t xml:space="preserve"> La ley tipifica un umbral crítico de edad. Para el tratamiento de los datos de niños y niñas menores de 14 años, resulta absolutamente inválido el uso de casillas premarcadas u opt-outs tácitos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La plataforma debe construir flujos de registro que obtengan el consentimiento previo, informado y revocable directamente de los padres, madres o representantes legales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El sistema de base de datos debe ser capaz de almacenar registros inmutables (timestamp, versión del texto legal aceptado y metadatos del autorizante) que sirvan como evidencia de licitud ante una potencial fiscalización</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Principio de Seguridad y Cifrado (Accountability):</w:t>
      </w:r>
      <w:r w:rsidDel="00000000" w:rsidR="00000000" w:rsidRPr="00000000">
        <w:rPr>
          <w:rFonts w:ascii="Arial" w:cs="Arial" w:eastAsia="Arial" w:hAnsi="Arial"/>
          <w:color w:val="1f1f1f"/>
          <w:rtl w:val="0"/>
        </w:rPr>
        <w:t xml:space="preserve"> El Artículo 4 literal (f) consagra la obligación de garantizar estándares adecuados de seguridad para proteger los datos contra tratamientos ilícitos, pérdidas, alteraciones o accesos no autorizados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En términos de arquitectura de software, esto exige la implementación de cifrado robusto de extremo a extremo (TLS 1.3 para datos en tránsito) y la encriptación de datos en reposo (AES-256 para los volúmenes de las bases de datos y backups). Además, se debe implementar una estricta gestión de control de acceso basada en roles (RBAC) para limitar la visibilidad de los datos solo al personal autorizado, registrando toda actividad en </w:t>
      </w:r>
      <w:r w:rsidDel="00000000" w:rsidR="00000000" w:rsidRPr="00000000">
        <w:rPr>
          <w:rFonts w:ascii="Arial" w:cs="Arial" w:eastAsia="Arial" w:hAnsi="Arial"/>
          <w:i w:val="1"/>
          <w:iCs w:val="1"/>
          <w:color w:val="1f1f1f"/>
          <w:rtl w:val="0"/>
        </w:rPr>
        <w:t xml:space="preserve">logs</w:t>
      </w:r>
      <w:r w:rsidDel="00000000" w:rsidR="00000000" w:rsidRPr="00000000">
        <w:rPr>
          <w:rFonts w:ascii="Arial" w:cs="Arial" w:eastAsia="Arial" w:hAnsi="Arial"/>
          <w:color w:val="1f1f1f"/>
          <w:rtl w:val="0"/>
        </w:rPr>
        <w:t xml:space="preserve"> de auditoría inmutables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Proporcionalidad, Finalidad y Portabilidad:</w:t>
      </w:r>
      <w:r w:rsidDel="00000000" w:rsidR="00000000" w:rsidRPr="00000000">
        <w:rPr>
          <w:rFonts w:ascii="Arial" w:cs="Arial" w:eastAsia="Arial" w:hAnsi="Arial"/>
          <w:color w:val="1f1f1f"/>
          <w:rtl w:val="0"/>
        </w:rPr>
        <w:t xml:space="preserve"> El sistema debe adherirse al principio de minimización de datos: capturar exclusivamente la información estrictamente necesaria para el fin educacional y la gestión pedagógica</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Los datos recopilados no pueden ser reutilizados para perfilamiento publicitario comercial</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Asimismo, el diseño de la base de datos debe contemplar arquitecturas que permitan a las familias o establecimientos ejercer rápidamente sus derechos de acceso, rectificación, portabilidad (permitiendo exportar el historial de ensayos del alumno en formatos estándar) y supresión (derecho al olvido)</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En caso de producirse un incidente de vulneración o filtración de datos sensibles de menores, la plataforma debe contar con mecanismos de respuesta a incidentes automatizados para notificar simultáneamente a la Agencia y a los titulares afectados, tal como lo exige la nueva normativa</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Diseño de Experiencia de Usuario (UX/UI) y Accesibilidad Universal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objetivo primordial de una prueba estandarizada es medir un constructo cognitivo puro (por ejemplo, el grado de razonamiento geométrico). Cuando el rendimiento de un estudiante se ve mermado porque la plataforma es confusa de usar, porque los colores no le permiten discernir los gráficos, o porque las fuentes son ilegibles para su condición visual o neurológica, se introduce lo que la psicometría denomina "varianza de constructo irrelevante". El diseño de la interfaz (UI) y la experiencia de usuario (UX) no son factores meramente estéticos; son garantías operativas de la validez y equidad de la evaluación.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arquitectura de la interfaz de la plataforma debe adherirse dogmáticamente a las Pautas de Accesibilidad para el Contenido Web (WCAG) en su versión 2.1 (y preparar su adaptación hacia la 2.2), asegurando de manera íntegra un nivel de conformidad AA, y en áreas críticas un nivel AAA</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Este enfoque de diseño inclusivo y accesibilidad digital es fundamental para sostener a la creciente población de estudiantes con Necesidades Educativas Especiales Permanentes (NEEP), Trastornos del Espectro Autista (TEA), y estudiantes extranjeros con dominio limitado del español, quienes bajo la normativa SIMCE gozan del derecho a acomodaciones específicas y equitativas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implementación práctica de estos estándares globales se fundamenta en los cuatro principios axiológicos (POUR) definidos por el W3C:</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Perceptible (Contraste y Adaptabilidad Visual):</w:t>
      </w:r>
      <w:r w:rsidDel="00000000" w:rsidR="00000000" w:rsidRPr="00000000">
        <w:rPr>
          <w:rFonts w:ascii="Arial" w:cs="Arial" w:eastAsia="Arial" w:hAnsi="Arial"/>
          <w:color w:val="1f1f1f"/>
          <w:rtl w:val="0"/>
        </w:rPr>
        <w:t xml:space="preserve"> La información y los componentes de la interfaz deben ser presentados de forma que los usuarios puedan percibirlos sin importar sus barreras sensoriales. La plataforma debe garantizar que los textos e iconos posean un ratio de contraste de luminancia de al menos 4.5:1 (nivel AA) o preferentemente 7:1 (nivel AAA) respecto al color de fondo, algo vital para usuarios con deficiencias visuales cromáticas</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 La interfaz debe ser completamente responsiva y fluida, permitiendo que un estudiante amplíe el zoom del navegador hasta un 200% sin que el texto se superponga, desaparezca, o se requiera un molesto desplazamiento bidireccional (scroll horizontal y vertical)</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 Para mitigar barreras cognitivas o de aprendizaje (como la dislexia), se debe utilizar una tipografía base de tamaño adecuado (mínimo 16px) en fuentes </w:t>
      </w:r>
      <w:r w:rsidDel="00000000" w:rsidR="00000000" w:rsidRPr="00000000">
        <w:rPr>
          <w:rFonts w:ascii="Arial" w:cs="Arial" w:eastAsia="Arial" w:hAnsi="Arial"/>
          <w:i w:val="1"/>
          <w:iCs w:val="1"/>
          <w:color w:val="1f1f1f"/>
          <w:rtl w:val="0"/>
        </w:rPr>
        <w:t xml:space="preserve">sans-serif</w:t>
      </w:r>
      <w:r w:rsidDel="00000000" w:rsidR="00000000" w:rsidRPr="00000000">
        <w:rPr>
          <w:rFonts w:ascii="Arial" w:cs="Arial" w:eastAsia="Arial" w:hAnsi="Arial"/>
          <w:color w:val="1f1f1f"/>
          <w:rtl w:val="0"/>
        </w:rPr>
        <w:t xml:space="preserve"> claras y con espaciado generoso</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Jamás se debe depender del color como único medio para transmitir información semántica; si un mapa de calor o un gráfico estadístico en una prueba de matemáticas usa color rojo y verde, debe incluir obligatoriamente texturas, tramas geométricas o etiquetas textuales complementarias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Todo el contenido multimedia, como audios en evaluaciones de comprensión auditiva, debe ofrecer transcripciones o subtítulos precisos para apoyar tanto a estudiantes con deficiencias auditivas como a aquellos en entornos de alta polución acústica</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Operable (Navegación e Interacción Inclusiva):</w:t>
      </w:r>
      <w:r w:rsidDel="00000000" w:rsidR="00000000" w:rsidRPr="00000000">
        <w:rPr>
          <w:rFonts w:ascii="Arial" w:cs="Arial" w:eastAsia="Arial" w:hAnsi="Arial"/>
          <w:color w:val="1f1f1f"/>
          <w:rtl w:val="0"/>
        </w:rPr>
        <w:t xml:space="preserve"> La totalidad de la interfaz de evaluación debe ser manejable y funcional exclusivamente a través del uso del teclado, prescindiendo por completo de la necesidad de un cursor o </w:t>
      </w:r>
      <w:r w:rsidDel="00000000" w:rsidR="00000000" w:rsidRPr="00000000">
        <w:rPr>
          <w:rFonts w:ascii="Arial" w:cs="Arial" w:eastAsia="Arial" w:hAnsi="Arial"/>
          <w:i w:val="1"/>
          <w:iCs w:val="1"/>
          <w:color w:val="1f1f1f"/>
          <w:rtl w:val="0"/>
        </w:rPr>
        <w:t xml:space="preserve">mouse</w:t>
      </w:r>
      <w:r w:rsidDel="00000000" w:rsidR="00000000" w:rsidRPr="00000000">
        <w:rPr>
          <w:rFonts w:ascii="Arial" w:cs="Arial" w:eastAsia="Arial" w:hAnsi="Arial"/>
          <w:color w:val="1f1f1f"/>
          <w:rtl w:val="0"/>
        </w:rPr>
        <w:t xml:space="preserve"> para usuarios con barreras motoras</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Esto implica establecer un orden de tabulación (tab-index) lógico, semántico y secuencial, y renderizar indicadores visuales de foco (focus rings) extremadamente prominentes para que el estudiante sepa siempre en qué alternativa se encuentra situado</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En el contexto del uso de tabletas o dispositivos móviles, las zonas de pulsación de botones (touch targets) para seleccionar una alternativa deben extenderse a un mínimo de 44x44 píxeles para absorber imprecisiones espaciales del usuario y prevenir clics erróneos accidentales que alteren sus resultados</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Comprensible (Carga Cognitiva y Temporizadores):</w:t>
      </w:r>
      <w:r w:rsidDel="00000000" w:rsidR="00000000" w:rsidRPr="00000000">
        <w:rPr>
          <w:rFonts w:ascii="Arial" w:cs="Arial" w:eastAsia="Arial" w:hAnsi="Arial"/>
          <w:color w:val="1f1f1f"/>
          <w:rtl w:val="0"/>
        </w:rPr>
        <w:t xml:space="preserve"> La funcionalidad y estructura de los ensayos deben resultar predecibles e intuitivas, minimizando el ruido cognitivo. Las instrucciones paso a paso deben estar redactadas utilizando un lenguaje claro, y la iconografía debe mantener una consistencia absoluta en todo el flujo</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Uno de los desafíos más complejos en el diseño UI de pruebas estandarizadas es el manejo del reloj o temporizador de cuenta regresiva, el cual es una fuente profunda de estrés y ansiedad clínica. Las pautas de accesibilidad exigen que los temporizadores informen los tiempos remanentes a través de alertas semánticas no disruptivas para los lectores de pantalla y proporcionen mecanismos evidentes que permitan al estudiante con adecuaciones NEEP ocultar la cuenta regresiva, pausarla, o extender ampliamente el límite de tiempo sin afectar la sesión</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Robusto (Compatibilidad ARIA):</w:t>
      </w:r>
      <w:r w:rsidDel="00000000" w:rsidR="00000000" w:rsidRPr="00000000">
        <w:rPr>
          <w:rFonts w:ascii="Arial" w:cs="Arial" w:eastAsia="Arial" w:hAnsi="Arial"/>
          <w:color w:val="1f1f1f"/>
          <w:rtl w:val="0"/>
        </w:rPr>
        <w:t xml:space="preserve"> El código HTML debe gozar de una estructura semántica impecable, posibilitando su integración armoniosa con tecnologías de asistencia futuras y presentes, especialmente los lectores de pantalla (como JAWS, NVDA, VoiceOver)</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Esto requiere la inyección sistemática de roles y etiquetas de la iniciativa ARIA (Accessible Rich Internet Applications), asegurando, por ejemplo, que las imágenes complejas (como mapas históricos o figuras geométricas en los ítems de desarrollo) posean atributos alt-text exhaustivos y descriptivos, y que los cambios dinámicos de estado (como alertas de "Ensayo finalizado") sean anunciados por regiones de vida (live regions) a los lectores de pantalla</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Conclusión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arquitectura de una plataforma en línea para la realización de ensayos SIMCE es una labor titánica que condensa las fronteras más avanzadas de la investigación educativa, la psicometría matemática y la ingeniería de software a escala de nube. No basta con migrar un cuadernillo de preguntas impreso a un entorno digitalizado; se requiere la construcción de un ecosistema interoperable capaz de capturar la minucia del pensamiento estudiantil y transformarla algorítmicamente en información accionable para el cuerpo docente.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Técnicamente, el ecosistema delineado en este informe asegura una disponibilidad operativa inquebrantable frente a las asimetrías de infraestructura de los establecimientos nacionales. Al emplear arquitecturas </w:t>
      </w:r>
      <w:r w:rsidDel="00000000" w:rsidR="00000000" w:rsidRPr="00000000">
        <w:rPr>
          <w:rFonts w:ascii="Arial" w:cs="Arial" w:eastAsia="Arial" w:hAnsi="Arial"/>
          <w:i w:val="1"/>
          <w:iCs w:val="1"/>
          <w:color w:val="1f1f1f"/>
          <w:rtl w:val="0"/>
        </w:rPr>
        <w:t xml:space="preserve">Serverless</w:t>
      </w:r>
      <w:r w:rsidDel="00000000" w:rsidR="00000000" w:rsidRPr="00000000">
        <w:rPr>
          <w:rFonts w:ascii="Arial" w:cs="Arial" w:eastAsia="Arial" w:hAnsi="Arial"/>
          <w:color w:val="1f1f1f"/>
          <w:rtl w:val="0"/>
        </w:rPr>
        <w:t xml:space="preserve"> impulsadas por orquestación de contenedores elásticos y bases de datos NoSQL para ráfagas de lectura/escritura, conjugadas con una filosofía frontend PWA orientada al enfoque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1f1f1f"/>
          <w:rtl w:val="0"/>
        </w:rPr>
        <w:t xml:space="preserve">, se extirpa el riesgo de que la inestabilidad de la conectividad escolar contamine los resultados o cause la pérdida de instrumentos evaluativos en progreso. La adhesión inflexible a estándares industriales (QTI 3.0 para empaquetado y portabilidad paramétrica de ítems, y LTI 1.3 Advantage impulsado por protocolos de autenticación criptográficos y JWT) asegura que la plataforma conviva simbióticamente en el tejido digital preexistente de las escuelas, automatizando flujos de autenticación y de retorno de notas, aliviando de tajo la carga burocrática del profesorado. En el plano jurídico e institucional, las protecciones introducidas mediante el diseño cifrado y el apego estricto a la nueva Ley de Datos Personales (21.719) protegen con celo impenetrable la privacidad de la cohorte infantil ante sanciones y eventuales vulneraciones cibernéticas.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 embargo, es en la convergencia de la analítica de datos y la gestión pedagógica donde esta arquitectura tecnológica libera su genuino potencial transformador. Mediante la superación del paradigma estadístico clásico en favor de la Teoría de Respuesta al Ítem (TRI)—sostenida por los modelos logísticos multiparamétricos que disciernen con precisión quirúrgica entre la dificultad del ítem y el rasgo latente de la habilidad estudiantil—y la articulación de metodologías instruccionales fundadas en el uso intensivo de datos, la plataforma trasciende el fin calificador. Al clasificar a los estudiantes de manera justa dentro de los Estándares de Aprendizaje (Adecuado, Elemental e Insuficiente), modelar algorítmicamente sus trayectorias combinadas con los Indicadores de Desarrollo Personal y Social (IDPS), aplicar un análisis forense sobre el comportamiento de sus patrones de error procedimental ante los distractores, y abrazar las directrices universales de accesibilidad (WCAG 2.1), la tecnología devuelve la potestad al educador. Transmuta un mero repositorio de puntajes macroscópicos en un mapa topográfico detallado de los aprendizajes, democratizando la información y dotando a las comunidades escolares de la evidencia formativa definitiva para intervenir oportunamente, abatir brechas de inequidad, e impulsar incansablemente el trayecto de desarrollo integral de todos sus estudiantes.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Características generales de la evaluación Simce 2026 - Amazon S3, </w:t>
      </w:r>
      <w:hyperlink r:id="rId14">
        <w:r w:rsidDel="00000000" w:rsidR="00000000" w:rsidRPr="00000000">
          <w:rPr>
            <w:rFonts w:ascii="Arial" w:cs="Arial" w:eastAsia="Arial" w:hAnsi="Arial"/>
            <w:color w:val="0000ee"/>
            <w:sz w:val="24"/>
            <w:szCs w:val="24"/>
            <w:u w:val="single"/>
            <w:rtl w:val="0"/>
          </w:rPr>
          <w:t xml:space="preserve">https://s3.us-east-1.amazonaws.com/archivos.agenciaeducacion.cl/SIMCE_Caracteristicas+generales_2026.pdf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Sistema de aseguramiento de la calidad de la educación - LyD.org, </w:t>
      </w:r>
      <w:hyperlink r:id="rId15">
        <w:r w:rsidDel="00000000" w:rsidR="00000000" w:rsidRPr="00000000">
          <w:rPr>
            <w:rFonts w:ascii="Arial" w:cs="Arial" w:eastAsia="Arial" w:hAnsi="Arial"/>
            <w:color w:val="0000ee"/>
            <w:sz w:val="24"/>
            <w:szCs w:val="24"/>
            <w:u w:val="single"/>
            <w:rtl w:val="0"/>
          </w:rPr>
          <w:t xml:space="preserve">http://lyd.org/wp-content/uploads/2012/05/Super-y-Agencia-Calidad.pdf</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Simce - Agencia de Calidad de la Educación, </w:t>
      </w:r>
      <w:hyperlink r:id="rId16">
        <w:r w:rsidDel="00000000" w:rsidR="00000000" w:rsidRPr="00000000">
          <w:rPr>
            <w:rFonts w:ascii="Arial" w:cs="Arial" w:eastAsia="Arial" w:hAnsi="Arial"/>
            <w:color w:val="0000ee"/>
            <w:sz w:val="24"/>
            <w:szCs w:val="24"/>
            <w:u w:val="single"/>
            <w:rtl w:val="0"/>
          </w:rPr>
          <w:t xml:space="preserve">https://www.agenciaeducacion.cl/evaluar/simce/</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Ejemplos de Preguntas - Agencia de Calidad de la Educación, </w:t>
      </w:r>
      <w:hyperlink r:id="rId17">
        <w:r w:rsidDel="00000000" w:rsidR="00000000" w:rsidRPr="00000000">
          <w:rPr>
            <w:rFonts w:ascii="Arial" w:cs="Arial" w:eastAsia="Arial" w:hAnsi="Arial"/>
            <w:color w:val="0000ee"/>
            <w:sz w:val="24"/>
            <w:szCs w:val="24"/>
            <w:u w:val="single"/>
            <w:rtl w:val="0"/>
          </w:rPr>
          <w:t xml:space="preserve">https://archivos.agenciaeducacion.cl/EJEMPLO_PREGUNTAS_BASICA_WEB_14MAY.pdf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Metodología de Construcción Indicadores Puntaje Simce y Progreso, </w:t>
      </w:r>
      <w:hyperlink r:id="rId18">
        <w:r w:rsidDel="00000000" w:rsidR="00000000" w:rsidRPr="00000000">
          <w:rPr>
            <w:rFonts w:ascii="Arial" w:cs="Arial" w:eastAsia="Arial" w:hAnsi="Arial"/>
            <w:color w:val="0000ee"/>
            <w:sz w:val="24"/>
            <w:szCs w:val="24"/>
            <w:u w:val="single"/>
            <w:rtl w:val="0"/>
          </w:rPr>
          <w:t xml:space="preserve">https://archivos.agenciaeducacion.cl/categoria-de-desempeno/Metodolog%C3%ADa+de+Construcci%C3%B3n+Indicadores+Puntaje+Simce+y+Progreso+Simce.pdf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Planilla para revisión de ensayos Simce., </w:t>
      </w:r>
      <w:hyperlink r:id="rId19">
        <w:r w:rsidDel="00000000" w:rsidR="00000000" w:rsidRPr="00000000">
          <w:rPr>
            <w:rFonts w:ascii="Arial" w:cs="Arial" w:eastAsia="Arial" w:hAnsi="Arial"/>
            <w:color w:val="0000ee"/>
            <w:sz w:val="24"/>
            <w:szCs w:val="24"/>
            <w:u w:val="single"/>
            <w:rtl w:val="0"/>
          </w:rPr>
          <w:t xml:space="preserve">https://www.rmm.cl/portales/25/articulos/planilla-para-revision-de-ensayos-simce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estándares de aprendizaje - Currículum Nacional, </w:t>
      </w:r>
      <w:hyperlink r:id="rId20">
        <w:r w:rsidDel="00000000" w:rsidR="00000000" w:rsidRPr="00000000">
          <w:rPr>
            <w:rFonts w:ascii="Arial" w:cs="Arial" w:eastAsia="Arial" w:hAnsi="Arial"/>
            <w:color w:val="0000ee"/>
            <w:sz w:val="24"/>
            <w:szCs w:val="24"/>
            <w:u w:val="single"/>
            <w:rtl w:val="0"/>
          </w:rPr>
          <w:t xml:space="preserve">https://www.curriculumnacional.cl/614/articles-208045_estandar.pdf</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Estándares de Aprendizaje Lectura 8º básico - Currículum Nacional, </w:t>
      </w:r>
      <w:hyperlink r:id="rId21">
        <w:r w:rsidDel="00000000" w:rsidR="00000000" w:rsidRPr="00000000">
          <w:rPr>
            <w:rFonts w:ascii="Arial" w:cs="Arial" w:eastAsia="Arial" w:hAnsi="Arial"/>
            <w:color w:val="0000ee"/>
            <w:sz w:val="24"/>
            <w:szCs w:val="24"/>
            <w:u w:val="single"/>
            <w:rtl w:val="0"/>
          </w:rPr>
          <w:t xml:space="preserve">https://www.curriculumnacional.cl/614/articles-70795_recurso_pdf.pdf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Matemática - Cuarto básico - Currículum Nacional, </w:t>
      </w:r>
      <w:hyperlink r:id="rId22">
        <w:r w:rsidDel="00000000" w:rsidR="00000000" w:rsidRPr="00000000">
          <w:rPr>
            <w:rFonts w:ascii="Arial" w:cs="Arial" w:eastAsia="Arial" w:hAnsi="Arial"/>
            <w:color w:val="0000ee"/>
            <w:sz w:val="24"/>
            <w:szCs w:val="24"/>
            <w:u w:val="single"/>
            <w:rtl w:val="0"/>
          </w:rPr>
          <w:t xml:space="preserve">https://www.curriculumnacional.cl/614/articles-208044_recurso_pdf.pdf</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SIMCE 2° Básico: ¿Qué son las habilidades precursoras de la, </w:t>
      </w:r>
      <w:hyperlink r:id="rId23">
        <w:r w:rsidDel="00000000" w:rsidR="00000000" w:rsidRPr="00000000">
          <w:rPr>
            <w:rFonts w:ascii="Arial" w:cs="Arial" w:eastAsia="Arial" w:hAnsi="Arial"/>
            <w:color w:val="0000ee"/>
            <w:sz w:val="24"/>
            <w:szCs w:val="24"/>
            <w:u w:val="single"/>
            <w:rtl w:val="0"/>
          </w:rPr>
          <w:t xml:space="preserve">https://www.umaximo.com/post/simce-2-basico-que-son-las-habilidades-precursoras-de-la-lectura-y-como-se-evaluan</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Agencia de la Calidad de la Educación presentó “Impulso Lector”, la, </w:t>
      </w:r>
      <w:hyperlink r:id="rId24">
        <w:r w:rsidDel="00000000" w:rsidR="00000000" w:rsidRPr="00000000">
          <w:rPr>
            <w:rFonts w:ascii="Arial" w:cs="Arial" w:eastAsia="Arial" w:hAnsi="Arial"/>
            <w:color w:val="0000ee"/>
            <w:sz w:val="24"/>
            <w:szCs w:val="24"/>
            <w:u w:val="single"/>
            <w:rtl w:val="0"/>
          </w:rPr>
          <w:t xml:space="preserve">https://www.mineduc.cl/agencia-de-la-calidad-de-la-educacion-presento-impulso-lector-la-primera-evaluacion-censal-de-habilidades-lectoras-en-2-basico/</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Agencia de Calidad de la Educación presentó “Impulso Lector”, la, </w:t>
      </w:r>
      <w:hyperlink r:id="rId25">
        <w:r w:rsidDel="00000000" w:rsidR="00000000" w:rsidRPr="00000000">
          <w:rPr>
            <w:rFonts w:ascii="Arial" w:cs="Arial" w:eastAsia="Arial" w:hAnsi="Arial"/>
            <w:color w:val="0000ee"/>
            <w:sz w:val="24"/>
            <w:szCs w:val="24"/>
            <w:u w:val="single"/>
            <w:rtl w:val="0"/>
          </w:rPr>
          <w:t xml:space="preserve">https://www.agenciaeducacion.cl/agencia-de-la-calidad-de-la-educacion-presento-impulso-lector-la-primera-evaluacion-censal-de-habilidades-lectoras-en-2-basico/</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Ley Chile - Decreto 129 05-JUL-2013 MINISTERIO DE EDUCACIÓN, </w:t>
      </w:r>
      <w:hyperlink r:id="rId26">
        <w:r w:rsidDel="00000000" w:rsidR="00000000" w:rsidRPr="00000000">
          <w:rPr>
            <w:rFonts w:ascii="Arial" w:cs="Arial" w:eastAsia="Arial" w:hAnsi="Arial"/>
            <w:color w:val="0000ee"/>
            <w:sz w:val="24"/>
            <w:szCs w:val="24"/>
            <w:u w:val="single"/>
            <w:rtl w:val="0"/>
          </w:rPr>
          <w:t xml:space="preserve">https://www.bcn.cl/leychile/Navegar/imprimir?idNorma=1052679&amp;idParte=9363776&amp;idVersion=2022-03-18</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Simce 2024: lo que debes saber para la aplicación de este año, </w:t>
      </w:r>
      <w:hyperlink r:id="rId27">
        <w:r w:rsidDel="00000000" w:rsidR="00000000" w:rsidRPr="00000000">
          <w:rPr>
            <w:rFonts w:ascii="Arial" w:cs="Arial" w:eastAsia="Arial" w:hAnsi="Arial"/>
            <w:color w:val="0000ee"/>
            <w:sz w:val="24"/>
            <w:szCs w:val="24"/>
            <w:u w:val="single"/>
            <w:rtl w:val="0"/>
          </w:rPr>
          <w:t xml:space="preserve">https://www.agenciaeducacion.cl/simce-2024-lo-que-debes-saber-para-la-aplicacion-2024/</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FUNDAMENTOS OTROS INDICADORES DE CALIDAD EDUCATIVA, </w:t>
      </w:r>
      <w:hyperlink r:id="rId28">
        <w:r w:rsidDel="00000000" w:rsidR="00000000" w:rsidRPr="00000000">
          <w:rPr>
            <w:rFonts w:ascii="Arial" w:cs="Arial" w:eastAsia="Arial" w:hAnsi="Arial"/>
            <w:color w:val="0000ee"/>
            <w:sz w:val="24"/>
            <w:szCs w:val="24"/>
            <w:u w:val="single"/>
            <w:rtl w:val="0"/>
          </w:rPr>
          <w:t xml:space="preserve">https://archivos.agenciaeducacion.cl/Fundamentos_OIC.pdf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Preguntas Frecuentes Simce - Agencia de Calidad de la Educación, </w:t>
      </w:r>
      <w:hyperlink r:id="rId29">
        <w:r w:rsidDel="00000000" w:rsidR="00000000" w:rsidRPr="00000000">
          <w:rPr>
            <w:rFonts w:ascii="Arial" w:cs="Arial" w:eastAsia="Arial" w:hAnsi="Arial"/>
            <w:color w:val="0000ee"/>
            <w:sz w:val="24"/>
            <w:szCs w:val="24"/>
            <w:u w:val="single"/>
            <w:rtl w:val="0"/>
          </w:rPr>
          <w:t xml:space="preserve">https://www.agenciaeducacion.cl/preguntas-frecuentes-simce/</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Procesamiento Técnico Documental Digital.UDI-DEGT-UNAH, </w:t>
      </w:r>
      <w:hyperlink r:id="rId30">
        <w:r w:rsidDel="00000000" w:rsidR="00000000" w:rsidRPr="00000000">
          <w:rPr>
            <w:rFonts w:ascii="Arial" w:cs="Arial" w:eastAsia="Arial" w:hAnsi="Arial"/>
            <w:color w:val="0000ee"/>
            <w:sz w:val="24"/>
            <w:szCs w:val="24"/>
            <w:u w:val="single"/>
            <w:rtl w:val="0"/>
          </w:rPr>
          <w:t xml:space="preserve">https://tzibalnaah.unah.edu.hn/bitstream/handle/123456789/20372/8.%20Validaci%C3%B3n%20de%20una%20prueba%20de%20conocimientos%20de%20espa%C3%B1ol%20en%20estudiantes%20de%20la%20carrera%20de%20letras.pdf?sequence=1&amp;isAllowed=y</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Teoría de Respuesta a los Ítems - YouTube, </w:t>
      </w:r>
      <w:hyperlink r:id="rId31">
        <w:r w:rsidDel="00000000" w:rsidR="00000000" w:rsidRPr="00000000">
          <w:rPr>
            <w:rFonts w:ascii="Arial" w:cs="Arial" w:eastAsia="Arial" w:hAnsi="Arial"/>
            <w:color w:val="0000ee"/>
            <w:sz w:val="24"/>
            <w:szCs w:val="24"/>
            <w:u w:val="single"/>
            <w:rtl w:val="0"/>
          </w:rPr>
          <w:t xml:space="preserve">https://www.youtube.com/watch?v=BRCeQo9SmSE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Análisis psicométrico mediante la Teoría de la Respuesta al Ítem, </w:t>
      </w:r>
      <w:hyperlink r:id="rId32">
        <w:r w:rsidDel="00000000" w:rsidR="00000000" w:rsidRPr="00000000">
          <w:rPr>
            <w:rFonts w:ascii="Arial" w:cs="Arial" w:eastAsia="Arial" w:hAnsi="Arial"/>
            <w:color w:val="0000ee"/>
            <w:sz w:val="24"/>
            <w:szCs w:val="24"/>
            <w:u w:val="single"/>
            <w:rtl w:val="0"/>
          </w:rPr>
          <w:t xml:space="preserve">https://dialnet.unirioja.es/descarga/articulo/7444295.pdf</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Teoría de respuesta al ítem: tutorial de ajuste de modelos 2PL en R, </w:t>
      </w:r>
      <w:hyperlink r:id="rId33">
        <w:r w:rsidDel="00000000" w:rsidR="00000000" w:rsidRPr="00000000">
          <w:rPr>
            <w:rFonts w:ascii="Arial" w:cs="Arial" w:eastAsia="Arial" w:hAnsi="Arial"/>
            <w:color w:val="0000ee"/>
            <w:sz w:val="24"/>
            <w:szCs w:val="24"/>
            <w:u w:val="single"/>
            <w:rtl w:val="0"/>
          </w:rPr>
          <w:t xml:space="preserve">https://metricgate.com/blogs/es/item-response-theory-2pl-irt-r/</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teoría de respuesta al ítem: qué es y para qué sirve en psicometría, </w:t>
      </w:r>
      <w:hyperlink r:id="rId34">
        <w:r w:rsidDel="00000000" w:rsidR="00000000" w:rsidRPr="00000000">
          <w:rPr>
            <w:rFonts w:ascii="Arial" w:cs="Arial" w:eastAsia="Arial" w:hAnsi="Arial"/>
            <w:color w:val="0000ee"/>
            <w:sz w:val="24"/>
            <w:szCs w:val="24"/>
            <w:u w:val="single"/>
            <w:rtl w:val="0"/>
          </w:rPr>
          <w:t xml:space="preserve">https://psicologiaymente.com/psicologia/teoria-respuesta-al-item</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mirt: A Multidimensional Item Response Theory Package for, </w:t>
      </w:r>
      <w:hyperlink r:id="rId35">
        <w:r w:rsidDel="00000000" w:rsidR="00000000" w:rsidRPr="00000000">
          <w:rPr>
            <w:rFonts w:ascii="Arial" w:cs="Arial" w:eastAsia="Arial" w:hAnsi="Arial"/>
            <w:color w:val="0000ee"/>
            <w:sz w:val="24"/>
            <w:szCs w:val="24"/>
            <w:u w:val="single"/>
            <w:rtl w:val="0"/>
          </w:rPr>
          <w:t xml:space="preserve">https://www.researchgate.net/publication/228534363_mirt_A_Multidimensional_Item_Response_Theory_Package_for_theREnvironment</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Cronbach's Alpha: Theory and Application in Python - Medium, </w:t>
      </w:r>
      <w:hyperlink r:id="rId36">
        <w:r w:rsidDel="00000000" w:rsidR="00000000" w:rsidRPr="00000000">
          <w:rPr>
            <w:rFonts w:ascii="Arial" w:cs="Arial" w:eastAsia="Arial" w:hAnsi="Arial"/>
            <w:color w:val="0000ee"/>
            <w:sz w:val="24"/>
            <w:szCs w:val="24"/>
            <w:u w:val="single"/>
            <w:rtl w:val="0"/>
          </w:rPr>
          <w:t xml:space="preserve">https://medium.com/data-science/cronbachs-alpha-theory-and-application-in-python-d2915dd63586</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Teoría de respuesta al ítem para el desarrollo de pruebas - MetricGate, </w:t>
      </w:r>
      <w:hyperlink r:id="rId37">
        <w:r w:rsidDel="00000000" w:rsidR="00000000" w:rsidRPr="00000000">
          <w:rPr>
            <w:rFonts w:ascii="Arial" w:cs="Arial" w:eastAsia="Arial" w:hAnsi="Arial"/>
            <w:color w:val="0000ee"/>
            <w:sz w:val="24"/>
            <w:szCs w:val="24"/>
            <w:u w:val="single"/>
            <w:rtl w:val="0"/>
          </w:rPr>
          <w:t xml:space="preserve">https://metricgate.com/blogs/es/item-response-theory-for-test-development/</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Informe Técnico Simce 2016 - Amazon S3, </w:t>
      </w:r>
      <w:hyperlink r:id="rId38">
        <w:r w:rsidDel="00000000" w:rsidR="00000000" w:rsidRPr="00000000">
          <w:rPr>
            <w:rFonts w:ascii="Arial" w:cs="Arial" w:eastAsia="Arial" w:hAnsi="Arial"/>
            <w:color w:val="0000ee"/>
            <w:sz w:val="24"/>
            <w:szCs w:val="24"/>
            <w:u w:val="single"/>
            <w:rtl w:val="0"/>
          </w:rPr>
          <w:t xml:space="preserve">https://s3.amazonaws.com/archivos.agenciaeducacion.cl/Informe+Te%CC%81cnico+SIMCE+2016.pdf</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QTI: qué es y cómo funciona en e-learning - isEazy, </w:t>
      </w:r>
      <w:hyperlink r:id="rId39">
        <w:r w:rsidDel="00000000" w:rsidR="00000000" w:rsidRPr="00000000">
          <w:rPr>
            <w:rFonts w:ascii="Arial" w:cs="Arial" w:eastAsia="Arial" w:hAnsi="Arial"/>
            <w:color w:val="0000ee"/>
            <w:sz w:val="24"/>
            <w:szCs w:val="24"/>
            <w:u w:val="single"/>
            <w:rtl w:val="0"/>
          </w:rPr>
          <w:t xml:space="preserve">https://www.iseazy.com/es/glosario/qti/</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 ERROR FAVORITO | Evaluación Formativa, </w:t>
      </w:r>
      <w:hyperlink r:id="rId40">
        <w:r w:rsidDel="00000000" w:rsidR="00000000" w:rsidRPr="00000000">
          <w:rPr>
            <w:rFonts w:ascii="Arial" w:cs="Arial" w:eastAsia="Arial" w:hAnsi="Arial"/>
            <w:color w:val="0000ee"/>
            <w:sz w:val="24"/>
            <w:szCs w:val="24"/>
            <w:u w:val="single"/>
            <w:rtl w:val="0"/>
          </w:rPr>
          <w:t xml:space="preserve">https://evaluacionformativa.mineduc.cl/wp-content/uploads/sites/135/2025/05/Mi-error-favorito.pdf</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 Director Libre - World Bank Documents, </w:t>
      </w:r>
      <w:hyperlink r:id="rId41">
        <w:r w:rsidDel="00000000" w:rsidR="00000000" w:rsidRPr="00000000">
          <w:rPr>
            <w:rFonts w:ascii="Arial" w:cs="Arial" w:eastAsia="Arial" w:hAnsi="Arial"/>
            <w:color w:val="0000ee"/>
            <w:sz w:val="24"/>
            <w:szCs w:val="24"/>
            <w:u w:val="single"/>
            <w:rtl w:val="0"/>
          </w:rPr>
          <w:t xml:space="preserve">https://documents1.worldbank.org/curated/en/099731109172514920/pdf/IDU-86373363-2741-4f78-a1cb-be22662e4459.pdf</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Guía Metodológica para el Uso de Datos, </w:t>
      </w:r>
      <w:hyperlink r:id="rId42">
        <w:r w:rsidDel="00000000" w:rsidR="00000000" w:rsidRPr="00000000">
          <w:rPr>
            <w:rFonts w:ascii="Arial" w:cs="Arial" w:eastAsia="Arial" w:hAnsi="Arial"/>
            <w:color w:val="0000ee"/>
            <w:sz w:val="24"/>
            <w:szCs w:val="24"/>
            <w:u w:val="single"/>
            <w:rtl w:val="0"/>
          </w:rPr>
          <w:t xml:space="preserve">https://archivos.agenciaeducacion.cl/Libro_uso_guia_metodologica.pdf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Consideraciones sobre el diseño - Pruebas de carga distribuidas en, </w:t>
      </w:r>
      <w:hyperlink r:id="rId43">
        <w:r w:rsidDel="00000000" w:rsidR="00000000" w:rsidRPr="00000000">
          <w:rPr>
            <w:rFonts w:ascii="Arial" w:cs="Arial" w:eastAsia="Arial" w:hAnsi="Arial"/>
            <w:color w:val="0000ee"/>
            <w:sz w:val="24"/>
            <w:szCs w:val="24"/>
            <w:u w:val="single"/>
            <w:rtl w:val="0"/>
          </w:rPr>
          <w:t xml:space="preserve">https://docs.aws.amazon.com/es_es/solutions/latest/distributed-load-testing-on-aws/design-considerations.html</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Una guía hacia la Computación Serverless con Google Cloud Platform, </w:t>
      </w:r>
      <w:hyperlink r:id="rId44">
        <w:r w:rsidDel="00000000" w:rsidR="00000000" w:rsidRPr="00000000">
          <w:rPr>
            <w:rFonts w:ascii="Arial" w:cs="Arial" w:eastAsia="Arial" w:hAnsi="Arial"/>
            <w:color w:val="0000ee"/>
            <w:sz w:val="24"/>
            <w:szCs w:val="24"/>
            <w:u w:val="single"/>
            <w:rtl w:val="0"/>
          </w:rPr>
          <w:t xml:space="preserve">https://www.makingscience.com/es/blog/liberando-agilidad-y-eficiencia-una-guia-hacia-la-computacion-serverless-con-google-cloud-platform/</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AWS, Google Cloud y Microsoft Azure: ¿cuál es la mejor, </w:t>
      </w:r>
      <w:hyperlink r:id="rId45">
        <w:r w:rsidDel="00000000" w:rsidR="00000000" w:rsidRPr="00000000">
          <w:rPr>
            <w:rFonts w:ascii="Arial" w:cs="Arial" w:eastAsia="Arial" w:hAnsi="Arial"/>
            <w:color w:val="0000ee"/>
            <w:sz w:val="24"/>
            <w:szCs w:val="24"/>
            <w:u w:val="single"/>
            <w:rtl w:val="0"/>
          </w:rPr>
          <w:t xml:space="preserve">https://flexa.cloud/es/la-mejor-arquitectura-sin-servidor/</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AWS ECS en profundidad: arquitectura y opciones de implementación, </w:t>
      </w:r>
      <w:hyperlink r:id="rId46">
        <w:r w:rsidDel="00000000" w:rsidR="00000000" w:rsidRPr="00000000">
          <w:rPr>
            <w:rFonts w:ascii="Arial" w:cs="Arial" w:eastAsia="Arial" w:hAnsi="Arial"/>
            <w:color w:val="0000ee"/>
            <w:sz w:val="24"/>
            <w:szCs w:val="24"/>
            <w:u w:val="single"/>
            <w:rtl w:val="0"/>
          </w:rPr>
          <w:t xml:space="preserve">https://www.netapp.com/es/learn/aws-cvo-blg-aws-ecs-in-depth-architecture-and-deployment-options/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Arquitecturas orientadas a eventos en AWS | Amazon Web Services, </w:t>
      </w:r>
      <w:hyperlink r:id="rId47">
        <w:r w:rsidDel="00000000" w:rsidR="00000000" w:rsidRPr="00000000">
          <w:rPr>
            <w:rFonts w:ascii="Arial" w:cs="Arial" w:eastAsia="Arial" w:hAnsi="Arial"/>
            <w:color w:val="0000ee"/>
            <w:sz w:val="24"/>
            <w:szCs w:val="24"/>
            <w:u w:val="single"/>
            <w:rtl w:val="0"/>
          </w:rPr>
          <w:t xml:space="preserve">https://aws.amazon.com/es/blogs/aws-spanish/arquitecturas-orientadas-a-eventos-en-aws/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Comparando enfoques de diseño al crear microservicios serverless, </w:t>
      </w:r>
      <w:hyperlink r:id="rId48">
        <w:r w:rsidDel="00000000" w:rsidR="00000000" w:rsidRPr="00000000">
          <w:rPr>
            <w:rFonts w:ascii="Arial" w:cs="Arial" w:eastAsia="Arial" w:hAnsi="Arial"/>
            <w:color w:val="0000ee"/>
            <w:sz w:val="24"/>
            <w:szCs w:val="24"/>
            <w:u w:val="single"/>
            <w:rtl w:val="0"/>
          </w:rPr>
          <w:t xml:space="preserve">https://aws.amazon.com/es/blogs/aws-spanish/comparando-enfoques-de-diseno-al-crear-microservicios-serverless/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Escalado de aplicaciones con AWS Lambda | Amazon Web Services, </w:t>
      </w:r>
      <w:hyperlink r:id="rId49">
        <w:r w:rsidDel="00000000" w:rsidR="00000000" w:rsidRPr="00000000">
          <w:rPr>
            <w:rFonts w:ascii="Arial" w:cs="Arial" w:eastAsia="Arial" w:hAnsi="Arial"/>
            <w:color w:val="0000ee"/>
            <w:sz w:val="24"/>
            <w:szCs w:val="24"/>
            <w:u w:val="single"/>
            <w:rtl w:val="0"/>
          </w:rPr>
          <w:t xml:space="preserve">https://aws.amazon.com/es/blogs/aws-spanish/escalado-de-aplicaciones-con-aws-lambda/</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Aprobé el Exam Lab "AWS Serverless Demostrado" y acá te cuento, </w:t>
      </w:r>
      <w:hyperlink r:id="rId50">
        <w:r w:rsidDel="00000000" w:rsidR="00000000" w:rsidRPr="00000000">
          <w:rPr>
            <w:rFonts w:ascii="Arial" w:cs="Arial" w:eastAsia="Arial" w:hAnsi="Arial"/>
            <w:color w:val="0000ee"/>
            <w:sz w:val="24"/>
            <w:szCs w:val="24"/>
            <w:u w:val="single"/>
            <w:rtl w:val="0"/>
          </w:rPr>
          <w:t xml:space="preserve">https://blog.295devops.com/aprob-el-exam-lab-aws-serverless-demostrado-y-ac-te-cuento-todo-lo-que-romp-en-el-camino</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Las 99 mejores preguntas y respuestas de entrevistas sobre SQL, </w:t>
      </w:r>
      <w:hyperlink r:id="rId51">
        <w:r w:rsidDel="00000000" w:rsidR="00000000" w:rsidRPr="00000000">
          <w:rPr>
            <w:rFonts w:ascii="Arial" w:cs="Arial" w:eastAsia="Arial" w:hAnsi="Arial"/>
            <w:color w:val="0000ee"/>
            <w:sz w:val="24"/>
            <w:szCs w:val="24"/>
            <w:u w:val="single"/>
            <w:rtl w:val="0"/>
          </w:rPr>
          <w:t xml:space="preserve">https://www.datacamp.com/es/blog/top-sql-interview-questions-and-answers-for-beginners-and-intermediate-practitioners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an entity relationship diagram (ERD)? - Lucid Software, </w:t>
      </w:r>
      <w:hyperlink r:id="rId52">
        <w:r w:rsidDel="00000000" w:rsidR="00000000" w:rsidRPr="00000000">
          <w:rPr>
            <w:rFonts w:ascii="Arial" w:cs="Arial" w:eastAsia="Arial" w:hAnsi="Arial"/>
            <w:color w:val="0000ee"/>
            <w:sz w:val="24"/>
            <w:szCs w:val="24"/>
            <w:u w:val="single"/>
            <w:rtl w:val="0"/>
          </w:rPr>
          <w:t xml:space="preserve">https://lucid.co/diagram/erd/tutorial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Entity Relationship Diagram (ERD) - What is an ER ... - SmartDraw, </w:t>
      </w:r>
      <w:hyperlink r:id="rId53">
        <w:r w:rsidDel="00000000" w:rsidR="00000000" w:rsidRPr="00000000">
          <w:rPr>
            <w:rFonts w:ascii="Arial" w:cs="Arial" w:eastAsia="Arial" w:hAnsi="Arial"/>
            <w:color w:val="0000ee"/>
            <w:sz w:val="24"/>
            <w:szCs w:val="24"/>
            <w:u w:val="single"/>
            <w:rtl w:val="0"/>
          </w:rPr>
          <w:t xml:space="preserve">https://www.smartdraw.com/entity-relationship-diagram/</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Database schema: SQL schema examples and best practices, </w:t>
      </w:r>
      <w:hyperlink r:id="rId54">
        <w:r w:rsidDel="00000000" w:rsidR="00000000" w:rsidRPr="00000000">
          <w:rPr>
            <w:rFonts w:ascii="Arial" w:cs="Arial" w:eastAsia="Arial" w:hAnsi="Arial"/>
            <w:color w:val="0000ee"/>
            <w:sz w:val="24"/>
            <w:szCs w:val="24"/>
            <w:u w:val="single"/>
            <w:rtl w:val="0"/>
          </w:rPr>
          <w:t xml:space="preserve">https://www.cockroachlabs.com/blog/database-schema-beginners-guide/</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 Diagram Cheat Sheet - Redgate, </w:t>
      </w:r>
      <w:hyperlink r:id="rId55">
        <w:r w:rsidDel="00000000" w:rsidR="00000000" w:rsidRPr="00000000">
          <w:rPr>
            <w:rFonts w:ascii="Arial" w:cs="Arial" w:eastAsia="Arial" w:hAnsi="Arial"/>
            <w:color w:val="0000ee"/>
            <w:sz w:val="24"/>
            <w:szCs w:val="24"/>
            <w:u w:val="single"/>
            <w:rtl w:val="0"/>
          </w:rPr>
          <w:t xml:space="preserve">https://www.red-gate.com/blog/er-diagram-cheat-sheet/</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Model Relational Database Design with ERD?, </w:t>
      </w:r>
      <w:hyperlink r:id="rId56">
        <w:r w:rsidDel="00000000" w:rsidR="00000000" w:rsidRPr="00000000">
          <w:rPr>
            <w:rFonts w:ascii="Arial" w:cs="Arial" w:eastAsia="Arial" w:hAnsi="Arial"/>
            <w:color w:val="0000ee"/>
            <w:sz w:val="24"/>
            <w:szCs w:val="24"/>
            <w:u w:val="single"/>
            <w:rtl w:val="0"/>
          </w:rPr>
          <w:t xml:space="preserve">https://www.visual-paradigm.com/tutorials/how-to-model-relational-database-with-erd.jsp</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 to SQL practice answers, </w:t>
      </w:r>
      <w:hyperlink r:id="rId57">
        <w:r w:rsidDel="00000000" w:rsidR="00000000" w:rsidRPr="00000000">
          <w:rPr>
            <w:rFonts w:ascii="Arial" w:cs="Arial" w:eastAsia="Arial" w:hAnsi="Arial"/>
            <w:color w:val="0000ee"/>
            <w:sz w:val="24"/>
            <w:szCs w:val="24"/>
            <w:u w:val="single"/>
            <w:rtl w:val="0"/>
          </w:rPr>
          <w:t xml:space="preserve">https://www.cs.ubc.ca/~hazra/practice-questions/er-to-sql-answers.htm</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Help Quiz database design(ERD) - Reddit, </w:t>
      </w:r>
      <w:hyperlink r:id="rId58">
        <w:r w:rsidDel="00000000" w:rsidR="00000000" w:rsidRPr="00000000">
          <w:rPr>
            <w:rFonts w:ascii="Arial" w:cs="Arial" w:eastAsia="Arial" w:hAnsi="Arial"/>
            <w:color w:val="0000ee"/>
            <w:sz w:val="24"/>
            <w:szCs w:val="24"/>
            <w:u w:val="single"/>
            <w:rtl w:val="0"/>
          </w:rPr>
          <w:t xml:space="preserve">https://www.reddit.com/r/Database/comments/1h9a11m/help_quiz_database_designerd/</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PWA: Qué son, ventajas e implementación - GoDaddy, </w:t>
      </w:r>
      <w:hyperlink r:id="rId59">
        <w:r w:rsidDel="00000000" w:rsidR="00000000" w:rsidRPr="00000000">
          <w:rPr>
            <w:rFonts w:ascii="Arial" w:cs="Arial" w:eastAsia="Arial" w:hAnsi="Arial"/>
            <w:color w:val="0000ee"/>
            <w:sz w:val="24"/>
            <w:szCs w:val="24"/>
            <w:u w:val="single"/>
            <w:rtl w:val="0"/>
          </w:rPr>
          <w:t xml:space="preserve">https://www.godaddy.com/resources/latam/desarrollo/pwa-progressive-web-app-que-es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PWA Offline 2026: crea apps web que funcionan sin conexión, </w:t>
      </w:r>
      <w:hyperlink r:id="rId60">
        <w:r w:rsidDel="00000000" w:rsidR="00000000" w:rsidRPr="00000000">
          <w:rPr>
            <w:rFonts w:ascii="Arial" w:cs="Arial" w:eastAsia="Arial" w:hAnsi="Arial"/>
            <w:color w:val="0000ee"/>
            <w:sz w:val="24"/>
            <w:szCs w:val="24"/>
            <w:u w:val="single"/>
            <w:rtl w:val="0"/>
          </w:rPr>
          <w:t xml:space="preserve">https://keepcoding.io/blog/pwa-offline/</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Support and Progressive Web Apps (PWAs) - DEV Community, </w:t>
      </w:r>
      <w:hyperlink r:id="rId61">
        <w:r w:rsidDel="00000000" w:rsidR="00000000" w:rsidRPr="00000000">
          <w:rPr>
            <w:rFonts w:ascii="Arial" w:cs="Arial" w:eastAsia="Arial" w:hAnsi="Arial"/>
            <w:color w:val="0000ee"/>
            <w:sz w:val="24"/>
            <w:szCs w:val="24"/>
            <w:u w:val="single"/>
            <w:rtl w:val="0"/>
          </w:rPr>
          <w:t xml:space="preserve">https://dev.to/zeeshanali0704/frontend-system-design-offline-support-and-progressive-web-apps-pwas-4k8m</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Offline-First PWA with Next.js &amp; IndexedDB - WellAlly, </w:t>
      </w:r>
      <w:hyperlink r:id="rId62">
        <w:r w:rsidDel="00000000" w:rsidR="00000000" w:rsidRPr="00000000">
          <w:rPr>
            <w:rFonts w:ascii="Arial" w:cs="Arial" w:eastAsia="Arial" w:hAnsi="Arial"/>
            <w:color w:val="0000ee"/>
            <w:sz w:val="24"/>
            <w:szCs w:val="24"/>
            <w:u w:val="single"/>
            <w:rtl w:val="0"/>
          </w:rPr>
          <w:t xml:space="preserve">https://www.wellally.tech/blog/build-offline-first-pwa-nextjs-indexeddb</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Synchronize MySQL and IndexedDB in an Offline-First App - daily.dev, </w:t>
      </w:r>
      <w:hyperlink r:id="rId63">
        <w:r w:rsidDel="00000000" w:rsidR="00000000" w:rsidRPr="00000000">
          <w:rPr>
            <w:rFonts w:ascii="Arial" w:cs="Arial" w:eastAsia="Arial" w:hAnsi="Arial"/>
            <w:color w:val="0000ee"/>
            <w:sz w:val="24"/>
            <w:szCs w:val="24"/>
            <w:u w:val="single"/>
            <w:rtl w:val="0"/>
          </w:rPr>
          <w:t xml:space="preserve">https://daily.dev/posts/synchronize-mysql-and-indexeddb-in-an-offline-first-app-t7qnof3ch</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1EdTech Question &amp; Test Interoperability (QTI) 3.0 Beginner's Guide, </w:t>
      </w:r>
      <w:hyperlink r:id="rId64">
        <w:r w:rsidDel="00000000" w:rsidR="00000000" w:rsidRPr="00000000">
          <w:rPr>
            <w:rFonts w:ascii="Arial" w:cs="Arial" w:eastAsia="Arial" w:hAnsi="Arial"/>
            <w:color w:val="0000ee"/>
            <w:sz w:val="24"/>
            <w:szCs w:val="24"/>
            <w:u w:val="single"/>
            <w:rtl w:val="0"/>
          </w:rPr>
          <w:t xml:space="preserve">https://www.imsglobal.org/spec/qti/v3p0/guide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Question &amp; Test Interoperability (QTI) 3.0 Overview, </w:t>
      </w:r>
      <w:hyperlink r:id="rId65">
        <w:r w:rsidDel="00000000" w:rsidR="00000000" w:rsidRPr="00000000">
          <w:rPr>
            <w:rFonts w:ascii="Arial" w:cs="Arial" w:eastAsia="Arial" w:hAnsi="Arial"/>
            <w:color w:val="0000ee"/>
            <w:sz w:val="24"/>
            <w:szCs w:val="24"/>
            <w:u w:val="single"/>
            <w:rtl w:val="0"/>
          </w:rPr>
          <w:t xml:space="preserve">https://www.imsglobal.org/spec/qti/v3p0/oview</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QTI Specification Documents - 1EdTech Consortium, </w:t>
      </w:r>
      <w:hyperlink r:id="rId66">
        <w:r w:rsidDel="00000000" w:rsidR="00000000" w:rsidRPr="00000000">
          <w:rPr>
            <w:rFonts w:ascii="Arial" w:cs="Arial" w:eastAsia="Arial" w:hAnsi="Arial"/>
            <w:color w:val="0000ee"/>
            <w:sz w:val="24"/>
            <w:szCs w:val="24"/>
            <w:u w:val="single"/>
            <w:rtl w:val="0"/>
          </w:rPr>
          <w:t xml:space="preserve">https://www.1edtech.org/standards/qti/index</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 herramientas externas con el estándar LTI 1.3 - educativa, </w:t>
      </w:r>
      <w:hyperlink r:id="rId67">
        <w:r w:rsidDel="00000000" w:rsidR="00000000" w:rsidRPr="00000000">
          <w:rPr>
            <w:rFonts w:ascii="Arial" w:cs="Arial" w:eastAsia="Arial" w:hAnsi="Arial"/>
            <w:color w:val="0000ee"/>
            <w:sz w:val="24"/>
            <w:szCs w:val="24"/>
            <w:u w:val="single"/>
            <w:rtl w:val="0"/>
          </w:rPr>
          <w:t xml:space="preserve">https://www.educativa.com/blog/integra-herramientas-externas-con-el-estandar-lti-1-3/</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Implemente la aplicación Microsoft 365 LTI en cualquier LMS, </w:t>
      </w:r>
      <w:hyperlink r:id="rId68">
        <w:r w:rsidDel="00000000" w:rsidR="00000000" w:rsidRPr="00000000">
          <w:rPr>
            <w:rFonts w:ascii="Arial" w:cs="Arial" w:eastAsia="Arial" w:hAnsi="Arial"/>
            <w:color w:val="0000ee"/>
            <w:sz w:val="24"/>
            <w:szCs w:val="24"/>
            <w:u w:val="single"/>
            <w:rtl w:val="0"/>
          </w:rPr>
          <w:t xml:space="preserve">https://learn.microsoft.com/es-es/microsoft-365/lti/microsoft-365-lti-other?view=o365-worldwide</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LTI Advantage (v1.3) - Brightspace Community, </w:t>
      </w:r>
      <w:hyperlink r:id="rId69">
        <w:r w:rsidDel="00000000" w:rsidR="00000000" w:rsidRPr="00000000">
          <w:rPr>
            <w:rFonts w:ascii="Arial" w:cs="Arial" w:eastAsia="Arial" w:hAnsi="Arial"/>
            <w:color w:val="0000ee"/>
            <w:sz w:val="24"/>
            <w:szCs w:val="24"/>
            <w:u w:val="single"/>
            <w:rtl w:val="0"/>
          </w:rPr>
          <w:t xml:space="preserve">https://community.d2l.com/brightspace/kb/articles/23660-lti-advantage-v1-3</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LTI LMS Integration: Guide, Versions &amp; Setup - KITABOO, </w:t>
      </w:r>
      <w:hyperlink r:id="rId70">
        <w:r w:rsidDel="00000000" w:rsidR="00000000" w:rsidRPr="00000000">
          <w:rPr>
            <w:rFonts w:ascii="Arial" w:cs="Arial" w:eastAsia="Arial" w:hAnsi="Arial"/>
            <w:color w:val="0000ee"/>
            <w:sz w:val="24"/>
            <w:szCs w:val="24"/>
            <w:u w:val="single"/>
            <w:rtl w:val="0"/>
          </w:rPr>
          <w:t xml:space="preserve">https://kitaboo.com/lti-lms-integration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Launching an LTI 1.3 Resource Link using OpenID Connect Third, </w:t>
      </w:r>
      <w:hyperlink r:id="rId71">
        <w:r w:rsidDel="00000000" w:rsidR="00000000" w:rsidRPr="00000000">
          <w:rPr>
            <w:rFonts w:ascii="Arial" w:cs="Arial" w:eastAsia="Arial" w:hAnsi="Arial"/>
            <w:color w:val="0000ee"/>
            <w:sz w:val="24"/>
            <w:szCs w:val="24"/>
            <w:u w:val="single"/>
            <w:rtl w:val="0"/>
          </w:rPr>
          <w:t xml:space="preserve">https://andyfmiller.com/2018/12/28/launching-an-lti-1-3-resource-link-using-openid-connect-third-party-login/</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LTI™ Advantage Adoption | 1EdTech, </w:t>
      </w:r>
      <w:hyperlink r:id="rId72">
        <w:r w:rsidDel="00000000" w:rsidR="00000000" w:rsidRPr="00000000">
          <w:rPr>
            <w:rFonts w:ascii="Arial" w:cs="Arial" w:eastAsia="Arial" w:hAnsi="Arial"/>
            <w:color w:val="0000ee"/>
            <w:sz w:val="24"/>
            <w:szCs w:val="24"/>
            <w:u w:val="single"/>
            <w:rtl w:val="0"/>
          </w:rPr>
          <w:t xml:space="preserve">https://www.1edtech.org/standards/lti/lti-advantage-adoption</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Tools Interoperability (LTI) ® Advantage Implementation, </w:t>
      </w:r>
      <w:hyperlink r:id="rId73">
        <w:r w:rsidDel="00000000" w:rsidR="00000000" w:rsidRPr="00000000">
          <w:rPr>
            <w:rFonts w:ascii="Arial" w:cs="Arial" w:eastAsia="Arial" w:hAnsi="Arial"/>
            <w:color w:val="0000ee"/>
            <w:sz w:val="24"/>
            <w:szCs w:val="24"/>
            <w:u w:val="single"/>
            <w:rtl w:val="0"/>
          </w:rPr>
          <w:t xml:space="preserve">https://www.imsglobal.org/spec/lti/v1p3/impl</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Resumen del Integración de LTI 1.3 Advantage - Visión general, </w:t>
      </w:r>
      <w:hyperlink r:id="rId74">
        <w:r w:rsidDel="00000000" w:rsidR="00000000" w:rsidRPr="00000000">
          <w:rPr>
            <w:rFonts w:ascii="Arial" w:cs="Arial" w:eastAsia="Arial" w:hAnsi="Arial"/>
            <w:color w:val="0000ee"/>
            <w:sz w:val="24"/>
            <w:szCs w:val="24"/>
            <w:u w:val="single"/>
            <w:rtl w:val="0"/>
          </w:rPr>
          <w:t xml:space="preserve">https://support.kahoot.com/hc/es/articles/31372435758867-Resumen-del-Integraci%C3%B3n-de-LTI-1-3-Advantage-Visi%C3%B3n-general</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Ley 21.719 de Protección de Datos en Chile: Guía Completa 2026, </w:t>
      </w:r>
      <w:hyperlink r:id="rId75">
        <w:r w:rsidDel="00000000" w:rsidR="00000000" w:rsidRPr="00000000">
          <w:rPr>
            <w:rFonts w:ascii="Arial" w:cs="Arial" w:eastAsia="Arial" w:hAnsi="Arial"/>
            <w:color w:val="0000ee"/>
            <w:sz w:val="24"/>
            <w:szCs w:val="24"/>
            <w:u w:val="single"/>
            <w:rtl w:val="0"/>
          </w:rPr>
          <w:t xml:space="preserve">https://www.visualchile.cl/blog/ley-21719-proteccion-datos-chile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Ley 21.719 de protección de datos en Chile | Guía PixaWeb, </w:t>
      </w:r>
      <w:hyperlink r:id="rId76">
        <w:r w:rsidDel="00000000" w:rsidR="00000000" w:rsidRPr="00000000">
          <w:rPr>
            <w:rFonts w:ascii="Arial" w:cs="Arial" w:eastAsia="Arial" w:hAnsi="Arial"/>
            <w:color w:val="0000ee"/>
            <w:sz w:val="24"/>
            <w:szCs w:val="24"/>
            <w:u w:val="single"/>
            <w:rtl w:val="0"/>
          </w:rPr>
          <w:t xml:space="preserve">https://pixaweb.cl/ley-21719/</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Nueva Ley Nº 21.719, sobre protección de datos personales, </w:t>
      </w:r>
      <w:hyperlink r:id="rId77">
        <w:r w:rsidDel="00000000" w:rsidR="00000000" w:rsidRPr="00000000">
          <w:rPr>
            <w:rFonts w:ascii="Arial" w:cs="Arial" w:eastAsia="Arial" w:hAnsi="Arial"/>
            <w:color w:val="0000ee"/>
            <w:sz w:val="24"/>
            <w:szCs w:val="24"/>
            <w:u w:val="single"/>
            <w:rtl w:val="0"/>
          </w:rPr>
          <w:t xml:space="preserve">https://contraloria.usach.cl/noticia/nueva-ley-n%C2%BA-21719-sobre-protecci%C3%B3n-de-datos-personales</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Ley Chile - Ley 21719 - Biblioteca del Congreso Nacional de Chile, </w:t>
      </w:r>
      <w:hyperlink r:id="rId78">
        <w:r w:rsidDel="00000000" w:rsidR="00000000" w:rsidRPr="00000000">
          <w:rPr>
            <w:rFonts w:ascii="Arial" w:cs="Arial" w:eastAsia="Arial" w:hAnsi="Arial"/>
            <w:color w:val="0000ee"/>
            <w:sz w:val="24"/>
            <w:szCs w:val="24"/>
            <w:u w:val="single"/>
            <w:rtl w:val="0"/>
          </w:rPr>
          <w:t xml:space="preserve">https://www.bcn.cl/leychile/navegar?idNorma=1209272</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Nueva ley de protección de datos: especialistas U. de Chile, </w:t>
      </w:r>
      <w:hyperlink r:id="rId79">
        <w:r w:rsidDel="00000000" w:rsidR="00000000" w:rsidRPr="00000000">
          <w:rPr>
            <w:rFonts w:ascii="Arial" w:cs="Arial" w:eastAsia="Arial" w:hAnsi="Arial"/>
            <w:color w:val="0000ee"/>
            <w:sz w:val="24"/>
            <w:szCs w:val="24"/>
            <w:u w:val="single"/>
            <w:rtl w:val="0"/>
          </w:rPr>
          <w:t xml:space="preserve">https://uchile.cl/noticias/245658/nueva-ley-de-datos-especialistas-u-de-chile-analizan-sus-desafios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Datos de menores de edad en Chile: reglas especiales Ley 21.719, </w:t>
      </w:r>
      <w:hyperlink r:id="rId80">
        <w:r w:rsidDel="00000000" w:rsidR="00000000" w:rsidRPr="00000000">
          <w:rPr>
            <w:rFonts w:ascii="Arial" w:cs="Arial" w:eastAsia="Arial" w:hAnsi="Arial"/>
            <w:color w:val="0000ee"/>
            <w:sz w:val="24"/>
            <w:szCs w:val="24"/>
            <w:u w:val="single"/>
            <w:rtl w:val="0"/>
          </w:rPr>
          <w:t xml:space="preserve">https://privactech.com/blog/consentimiento-datos-menores-chile</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Moción propone protección de niños, niñas y adolescentes en, </w:t>
      </w:r>
      <w:hyperlink r:id="rId81">
        <w:r w:rsidDel="00000000" w:rsidR="00000000" w:rsidRPr="00000000">
          <w:rPr>
            <w:rFonts w:ascii="Arial" w:cs="Arial" w:eastAsia="Arial" w:hAnsi="Arial"/>
            <w:color w:val="0000ee"/>
            <w:sz w:val="24"/>
            <w:szCs w:val="24"/>
            <w:u w:val="single"/>
            <w:rtl w:val="0"/>
          </w:rPr>
          <w:t xml:space="preserve">https://actualidadjuridica.doe.cl/mocion-propone-proteccion-de-ninos-ninas-y-adolescentes-en-plataformas-digitales/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Accesibilidad UX/UI: Diseñando experiencias para todos, </w:t>
      </w:r>
      <w:hyperlink r:id="rId82">
        <w:r w:rsidDel="00000000" w:rsidR="00000000" w:rsidRPr="00000000">
          <w:rPr>
            <w:rFonts w:ascii="Arial" w:cs="Arial" w:eastAsia="Arial" w:hAnsi="Arial"/>
            <w:color w:val="0000ee"/>
            <w:sz w:val="24"/>
            <w:szCs w:val="24"/>
            <w:u w:val="single"/>
            <w:rtl w:val="0"/>
          </w:rPr>
          <w:t xml:space="preserve">https://www.uxerschool.com/blog/accesibilidad-ux-ui/</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Checklist de accesibilidad digital en e-learning - evolMind, </w:t>
      </w:r>
      <w:hyperlink r:id="rId83">
        <w:r w:rsidDel="00000000" w:rsidR="00000000" w:rsidRPr="00000000">
          <w:rPr>
            <w:rFonts w:ascii="Arial" w:cs="Arial" w:eastAsia="Arial" w:hAnsi="Arial"/>
            <w:color w:val="0000ee"/>
            <w:sz w:val="24"/>
            <w:szCs w:val="24"/>
            <w:u w:val="single"/>
            <w:rtl w:val="0"/>
          </w:rPr>
          <w:t xml:space="preserve">https://www.evolmind.com/blog/checklist-de-accesibilidad-digital-en-e-learning/</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Accesibilidad en plataformas educativas: por qué importa y cómo, </w:t>
      </w:r>
      <w:hyperlink r:id="rId84">
        <w:r w:rsidDel="00000000" w:rsidR="00000000" w:rsidRPr="00000000">
          <w:rPr>
            <w:rFonts w:ascii="Arial" w:cs="Arial" w:eastAsia="Arial" w:hAnsi="Arial"/>
            <w:color w:val="0000ee"/>
            <w:sz w:val="24"/>
            <w:szCs w:val="24"/>
            <w:u w:val="single"/>
            <w:rtl w:val="0"/>
          </w:rPr>
          <w:t xml:space="preserve">https://www.classlife.education/blog/accesibilidad-plataformas-educativas/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 Content Accessibility Guidelines (WCAG) 2.1 - W3C, </w:t>
      </w:r>
      <w:hyperlink r:id="rId85">
        <w:r w:rsidDel="00000000" w:rsidR="00000000" w:rsidRPr="00000000">
          <w:rPr>
            <w:rFonts w:ascii="Arial" w:cs="Arial" w:eastAsia="Arial" w:hAnsi="Arial"/>
            <w:color w:val="0000ee"/>
            <w:sz w:val="24"/>
            <w:szCs w:val="24"/>
            <w:u w:val="single"/>
            <w:rtl w:val="0"/>
          </w:rPr>
          <w:t xml:space="preserve">https://www.w3.org/TR/WCAG21/</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WCAG 2.1 and 2.2 Level AA Compliance Checklist | 216digital, </w:t>
      </w:r>
      <w:hyperlink r:id="rId86">
        <w:r w:rsidDel="00000000" w:rsidR="00000000" w:rsidRPr="00000000">
          <w:rPr>
            <w:rFonts w:ascii="Arial" w:cs="Arial" w:eastAsia="Arial" w:hAnsi="Arial"/>
            <w:color w:val="0000ee"/>
            <w:sz w:val="24"/>
            <w:szCs w:val="24"/>
            <w:u w:val="single"/>
            <w:rtl w:val="0"/>
          </w:rPr>
          <w:t xml:space="preserve">https://216digital.com/wcag-2-1-and-2-2-level-aa-compliance-checklist/</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Todo lo que debes saber sobre la aplicación Simce 2024, </w:t>
      </w:r>
      <w:hyperlink r:id="rId87">
        <w:r w:rsidDel="00000000" w:rsidR="00000000" w:rsidRPr="00000000">
          <w:rPr>
            <w:rFonts w:ascii="Arial" w:cs="Arial" w:eastAsia="Arial" w:hAnsi="Arial"/>
            <w:color w:val="0000ee"/>
            <w:sz w:val="24"/>
            <w:szCs w:val="24"/>
            <w:u w:val="single"/>
            <w:rtl w:val="0"/>
          </w:rPr>
          <w:t xml:space="preserve">https://www.agenciaeducacion.cl/todo-lo-que-debes-saber-sobre-la-aplicacion-simce-2024/</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Simce 2025: Documentos de apoyo para la comunidad educativa, </w:t>
      </w:r>
      <w:hyperlink r:id="rId88">
        <w:r w:rsidDel="00000000" w:rsidR="00000000" w:rsidRPr="00000000">
          <w:rPr>
            <w:rFonts w:ascii="Arial" w:cs="Arial" w:eastAsia="Arial" w:hAnsi="Arial"/>
            <w:color w:val="0000ee"/>
            <w:sz w:val="24"/>
            <w:szCs w:val="24"/>
            <w:u w:val="single"/>
            <w:rtl w:val="0"/>
          </w:rPr>
          <w:t xml:space="preserve">https://www.agenciaeducacion.cl/simce-2025-documentos-de-apoyo-para-la-comunidad-educativa/</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Agencia habilita plataforma para acomodaciones Simce 2026, </w:t>
      </w:r>
      <w:hyperlink r:id="rId89">
        <w:r w:rsidDel="00000000" w:rsidR="00000000" w:rsidRPr="00000000">
          <w:rPr>
            <w:rFonts w:ascii="Arial" w:cs="Arial" w:eastAsia="Arial" w:hAnsi="Arial"/>
            <w:color w:val="0000ee"/>
            <w:sz w:val="24"/>
            <w:szCs w:val="24"/>
            <w:u w:val="single"/>
            <w:rtl w:val="0"/>
          </w:rPr>
          <w:t xml:space="preserve">https://www.agenciaeducacion.cl/agencia-habilita-plataforma-para-acomodaciones-simce-2026-estudiantes-con-neep-ds-y-dominio-limitado-del-espanol/</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WCAG 2.1 AA Checklist for Website Accessibility, </w:t>
      </w:r>
      <w:hyperlink r:id="rId90">
        <w:r w:rsidDel="00000000" w:rsidR="00000000" w:rsidRPr="00000000">
          <w:rPr>
            <w:rFonts w:ascii="Arial" w:cs="Arial" w:eastAsia="Arial" w:hAnsi="Arial"/>
            <w:color w:val="0000ee"/>
            <w:sz w:val="24"/>
            <w:szCs w:val="24"/>
            <w:u w:val="single"/>
            <w:rtl w:val="0"/>
          </w:rPr>
          <w:t xml:space="preserve">https://www.audioeye.com/post/wcag-checklist/</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a countdown timer for an online test conform to WCAG 2.1, </w:t>
      </w:r>
      <w:hyperlink r:id="rId91">
        <w:r w:rsidDel="00000000" w:rsidR="00000000" w:rsidRPr="00000000">
          <w:rPr>
            <w:rFonts w:ascii="Arial" w:cs="Arial" w:eastAsia="Arial" w:hAnsi="Arial"/>
            <w:color w:val="0000ee"/>
            <w:sz w:val="24"/>
            <w:szCs w:val="24"/>
            <w:u w:val="single"/>
            <w:rtl w:val="0"/>
          </w:rPr>
          <w:t xml:space="preserve">https://lists.w3.org/Archives/Public/w3c-wai-ig/2020JulSep/0064.html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valuacionformativa.mineduc.cl/wp-content/uploads/sites/135/2025/05/Mi-error-favorito.pdf" TargetMode="External"/><Relationship Id="rId84" Type="http://schemas.openxmlformats.org/officeDocument/2006/relationships/hyperlink" Target="https://www.classlife.education/blog/accesibilidad-plataformas-educativas/" TargetMode="External"/><Relationship Id="rId83" Type="http://schemas.openxmlformats.org/officeDocument/2006/relationships/hyperlink" Target="https://www.evolmind.com/blog/checklist-de-accesibilidad-digital-en-e-learning/" TargetMode="External"/><Relationship Id="rId42" Type="http://schemas.openxmlformats.org/officeDocument/2006/relationships/hyperlink" Target="https://archivos.agenciaeducacion.cl/Libro_uso_guia_metodologica.pdf" TargetMode="External"/><Relationship Id="rId86" Type="http://schemas.openxmlformats.org/officeDocument/2006/relationships/hyperlink" Target="https://216digital.com/wcag-2-1-and-2-2-level-aa-compliance-checklist/" TargetMode="External"/><Relationship Id="rId41" Type="http://schemas.openxmlformats.org/officeDocument/2006/relationships/hyperlink" Target="https://documents1.worldbank.org/curated/en/099731109172514920/pdf/IDU-86373363-2741-4f78-a1cb-be22662e4459.pdf" TargetMode="External"/><Relationship Id="rId85" Type="http://schemas.openxmlformats.org/officeDocument/2006/relationships/hyperlink" Target="https://www.w3.org/TR/WCAG21/" TargetMode="External"/><Relationship Id="rId44" Type="http://schemas.openxmlformats.org/officeDocument/2006/relationships/hyperlink" Target="https://www.makingscience.com/es/blog/liberando-agilidad-y-eficiencia-una-guia-hacia-la-computacion-serverless-con-google-cloud-platform/" TargetMode="External"/><Relationship Id="rId88" Type="http://schemas.openxmlformats.org/officeDocument/2006/relationships/hyperlink" Target="https://www.agenciaeducacion.cl/simce-2025-documentos-de-apoyo-para-la-comunidad-educativa/" TargetMode="External"/><Relationship Id="rId43" Type="http://schemas.openxmlformats.org/officeDocument/2006/relationships/hyperlink" Target="https://docs.aws.amazon.com/es_es/solutions/latest/distributed-load-testing-on-aws/design-considerations.html" TargetMode="External"/><Relationship Id="rId87" Type="http://schemas.openxmlformats.org/officeDocument/2006/relationships/hyperlink" Target="https://www.agenciaeducacion.cl/todo-lo-que-debes-saber-sobre-la-aplicacion-simce-2024/" TargetMode="External"/><Relationship Id="rId46" Type="http://schemas.openxmlformats.org/officeDocument/2006/relationships/hyperlink" Target="https://www.netapp.com/es/learn/aws-cvo-blg-aws-ecs-in-depth-architecture-and-deployment-options/" TargetMode="External"/><Relationship Id="rId45" Type="http://schemas.openxmlformats.org/officeDocument/2006/relationships/hyperlink" Target="https://flexa.cloud/es/la-mejor-arquitectura-sin-servidor/" TargetMode="External"/><Relationship Id="rId89" Type="http://schemas.openxmlformats.org/officeDocument/2006/relationships/hyperlink" Target="https://www.agenciaeducacion.cl/agencia-habilita-plataforma-para-acomodaciones-simce-2026-estudiantes-con-neep-ds-y-dominio-limitado-del-espanol/" TargetMode="External"/><Relationship Id="rId80" Type="http://schemas.openxmlformats.org/officeDocument/2006/relationships/hyperlink" Target="https://privactech.com/blog/consentimiento-datos-menores-chile" TargetMode="External"/><Relationship Id="rId82" Type="http://schemas.openxmlformats.org/officeDocument/2006/relationships/hyperlink" Target="https://www.uxerschool.com/blog/accesibilidad-ux-ui/" TargetMode="External"/><Relationship Id="rId81" Type="http://schemas.openxmlformats.org/officeDocument/2006/relationships/hyperlink" Target="https://actualidadjuridica.doe.cl/mocion-propone-proteccion-de-ninos-ninas-y-adolescentes-en-plataformas-digit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aws.amazon.com/es/blogs/aws-spanish/comparando-enfoques-de-diseno-al-crear-microservicios-serverless/" TargetMode="External"/><Relationship Id="rId47" Type="http://schemas.openxmlformats.org/officeDocument/2006/relationships/hyperlink" Target="https://aws.amazon.com/es/blogs/aws-spanish/arquitecturas-orientadas-a-eventos-en-aws/" TargetMode="External"/><Relationship Id="rId49" Type="http://schemas.openxmlformats.org/officeDocument/2006/relationships/hyperlink" Target="https://aws.amazon.com/es/blogs/aws-spanish/escalado-de-aplicaciones-con-aws-lambda/"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6.png"/><Relationship Id="rId73" Type="http://schemas.openxmlformats.org/officeDocument/2006/relationships/hyperlink" Target="https://www.imsglobal.org/spec/lti/v1p3/impl" TargetMode="External"/><Relationship Id="rId72" Type="http://schemas.openxmlformats.org/officeDocument/2006/relationships/hyperlink" Target="https://www.1edtech.org/standards/lti/lti-advantage-adoption" TargetMode="External"/><Relationship Id="rId31" Type="http://schemas.openxmlformats.org/officeDocument/2006/relationships/hyperlink" Target="https://www.youtube.com/watch?v=BRCeQo9SmSE" TargetMode="External"/><Relationship Id="rId75" Type="http://schemas.openxmlformats.org/officeDocument/2006/relationships/hyperlink" Target="https://www.visualchile.cl/blog/ley-21719-proteccion-datos-chile" TargetMode="External"/><Relationship Id="rId30" Type="http://schemas.openxmlformats.org/officeDocument/2006/relationships/hyperlink" Target="https://tzibalnaah.unah.edu.hn/bitstream/handle/123456789/20372/8.%20Validaci%C3%B3n%20de%20una%20prueba%20de%20conocimientos%20de%20espa%C3%B1ol%20en%20estudiantes%20de%20la%20carrera%20de%20letras.pdf?sequence=1&amp;isAllowed=y" TargetMode="External"/><Relationship Id="rId74" Type="http://schemas.openxmlformats.org/officeDocument/2006/relationships/hyperlink" Target="https://support.kahoot.com/hc/es/articles/31372435758867-Resumen-del-Integraci%C3%B3n-de-LTI-1-3-Advantage-Visi%C3%B3n-general" TargetMode="External"/><Relationship Id="rId33" Type="http://schemas.openxmlformats.org/officeDocument/2006/relationships/hyperlink" Target="https://metricgate.com/blogs/es/item-response-theory-2pl-irt-r/" TargetMode="External"/><Relationship Id="rId77" Type="http://schemas.openxmlformats.org/officeDocument/2006/relationships/hyperlink" Target="https://contraloria.usach.cl/noticia/nueva-ley-n%C2%BA-21719-sobre-protecci%C3%B3n-de-datos-personales" TargetMode="External"/><Relationship Id="rId32" Type="http://schemas.openxmlformats.org/officeDocument/2006/relationships/hyperlink" Target="https://dialnet.unirioja.es/descarga/articulo/7444295.pdf" TargetMode="External"/><Relationship Id="rId76" Type="http://schemas.openxmlformats.org/officeDocument/2006/relationships/hyperlink" Target="https://pixaweb.cl/ley-21719/" TargetMode="External"/><Relationship Id="rId35" Type="http://schemas.openxmlformats.org/officeDocument/2006/relationships/hyperlink" Target="https://www.researchgate.net/publication/228534363_mirt_A_Multidimensional_Item_Response_Theory_Package_for_theREnvironment" TargetMode="External"/><Relationship Id="rId79" Type="http://schemas.openxmlformats.org/officeDocument/2006/relationships/hyperlink" Target="https://uchile.cl/noticias/245658/nueva-ley-de-datos-especialistas-u-de-chile-analizan-sus-desafios" TargetMode="External"/><Relationship Id="rId34" Type="http://schemas.openxmlformats.org/officeDocument/2006/relationships/hyperlink" Target="https://psicologiaymente.com/psicologia/teoria-respuesta-al-item" TargetMode="External"/><Relationship Id="rId78" Type="http://schemas.openxmlformats.org/officeDocument/2006/relationships/hyperlink" Target="https://www.bcn.cl/leychile/navegar?idNorma=1209272" TargetMode="External"/><Relationship Id="rId71" Type="http://schemas.openxmlformats.org/officeDocument/2006/relationships/hyperlink" Target="https://andyfmiller.com/2018/12/28/launching-an-lti-1-3-resource-link-using-openid-connect-third-party-login/" TargetMode="External"/><Relationship Id="rId70" Type="http://schemas.openxmlformats.org/officeDocument/2006/relationships/hyperlink" Target="https://kitaboo.com/lti-lms-integration" TargetMode="External"/><Relationship Id="rId37" Type="http://schemas.openxmlformats.org/officeDocument/2006/relationships/hyperlink" Target="https://metricgate.com/blogs/es/item-response-theory-for-test-development/" TargetMode="External"/><Relationship Id="rId36" Type="http://schemas.openxmlformats.org/officeDocument/2006/relationships/hyperlink" Target="https://medium.com/data-science/cronbachs-alpha-theory-and-application-in-python-d2915dd63586" TargetMode="External"/><Relationship Id="rId39" Type="http://schemas.openxmlformats.org/officeDocument/2006/relationships/hyperlink" Target="https://www.iseazy.com/es/glosario/qti/" TargetMode="External"/><Relationship Id="rId38" Type="http://schemas.openxmlformats.org/officeDocument/2006/relationships/hyperlink" Target="https://s3.amazonaws.com/archivos.agenciaeducacion.cl/Informe+Te%CC%81cnico+SIMCE+2016.pdf" TargetMode="External"/><Relationship Id="rId62" Type="http://schemas.openxmlformats.org/officeDocument/2006/relationships/hyperlink" Target="https://www.wellally.tech/blog/build-offline-first-pwa-nextjs-indexeddb" TargetMode="External"/><Relationship Id="rId61" Type="http://schemas.openxmlformats.org/officeDocument/2006/relationships/hyperlink" Target="https://dev.to/zeeshanali0704/frontend-system-design-offline-support-and-progressive-web-apps-pwas-4k8m" TargetMode="External"/><Relationship Id="rId20" Type="http://schemas.openxmlformats.org/officeDocument/2006/relationships/hyperlink" Target="https://www.curriculumnacional.cl/614/articles-208045_estandar.pdf" TargetMode="External"/><Relationship Id="rId64" Type="http://schemas.openxmlformats.org/officeDocument/2006/relationships/hyperlink" Target="https://www.imsglobal.org/spec/qti/v3p0/guide" TargetMode="External"/><Relationship Id="rId63" Type="http://schemas.openxmlformats.org/officeDocument/2006/relationships/hyperlink" Target="https://daily.dev/posts/synchronize-mysql-and-indexeddb-in-an-offline-first-app-t7qnof3ch" TargetMode="External"/><Relationship Id="rId22" Type="http://schemas.openxmlformats.org/officeDocument/2006/relationships/hyperlink" Target="https://www.curriculumnacional.cl/614/articles-208044_recurso_pdf.pdf" TargetMode="External"/><Relationship Id="rId66" Type="http://schemas.openxmlformats.org/officeDocument/2006/relationships/hyperlink" Target="https://www.1edtech.org/standards/qti/index" TargetMode="External"/><Relationship Id="rId21" Type="http://schemas.openxmlformats.org/officeDocument/2006/relationships/hyperlink" Target="https://www.curriculumnacional.cl/614/articles-70795_recurso_pdf.pdf" TargetMode="External"/><Relationship Id="rId65" Type="http://schemas.openxmlformats.org/officeDocument/2006/relationships/hyperlink" Target="https://www.imsglobal.org/spec/qti/v3p0/oview" TargetMode="External"/><Relationship Id="rId24" Type="http://schemas.openxmlformats.org/officeDocument/2006/relationships/hyperlink" Target="https://www.mineduc.cl/agencia-de-la-calidad-de-la-educacion-presento-impulso-lector-la-primera-evaluacion-censal-de-habilidades-lectoras-en-2-basico/" TargetMode="External"/><Relationship Id="rId68" Type="http://schemas.openxmlformats.org/officeDocument/2006/relationships/hyperlink" Target="https://learn.microsoft.com/es-es/microsoft-365/lti/microsoft-365-lti-other?view=o365-worldwide" TargetMode="External"/><Relationship Id="rId23" Type="http://schemas.openxmlformats.org/officeDocument/2006/relationships/hyperlink" Target="https://www.umaximo.com/post/simce-2-basico-que-son-las-habilidades-precursoras-de-la-lectura-y-como-se-evaluan" TargetMode="External"/><Relationship Id="rId67" Type="http://schemas.openxmlformats.org/officeDocument/2006/relationships/hyperlink" Target="https://www.educativa.com/blog/integra-herramientas-externas-con-el-estandar-lti-1-3/" TargetMode="External"/><Relationship Id="rId60" Type="http://schemas.openxmlformats.org/officeDocument/2006/relationships/hyperlink" Target="https://keepcoding.io/blog/pwa-offline/" TargetMode="External"/><Relationship Id="rId26" Type="http://schemas.openxmlformats.org/officeDocument/2006/relationships/hyperlink" Target="https://www.bcn.cl/leychile/Navegar/imprimir?idNorma=1052679&amp;idParte=9363776&amp;idVersion=2022-03-18" TargetMode="External"/><Relationship Id="rId25" Type="http://schemas.openxmlformats.org/officeDocument/2006/relationships/hyperlink" Target="https://www.agenciaeducacion.cl/agencia-de-la-calidad-de-la-educacion-presento-impulso-lector-la-primera-evaluacion-censal-de-habilidades-lectoras-en-2-basico/" TargetMode="External"/><Relationship Id="rId69" Type="http://schemas.openxmlformats.org/officeDocument/2006/relationships/hyperlink" Target="https://community.d2l.com/brightspace/kb/articles/23660-lti-advantage-v1-3" TargetMode="External"/><Relationship Id="rId28" Type="http://schemas.openxmlformats.org/officeDocument/2006/relationships/hyperlink" Target="https://archivos.agenciaeducacion.cl/Fundamentos_OIC.pdf" TargetMode="External"/><Relationship Id="rId27" Type="http://schemas.openxmlformats.org/officeDocument/2006/relationships/hyperlink" Target="https://www.agenciaeducacion.cl/simce-2024-lo-que-debes-saber-para-la-aplicacion-2024/" TargetMode="External"/><Relationship Id="rId29" Type="http://schemas.openxmlformats.org/officeDocument/2006/relationships/hyperlink" Target="https://www.agenciaeducacion.cl/preguntas-frecuentes-simce/" TargetMode="External"/><Relationship Id="rId51" Type="http://schemas.openxmlformats.org/officeDocument/2006/relationships/hyperlink" Target="https://www.datacamp.com/es/blog/top-sql-interview-questions-and-answers-for-beginners-and-intermediate-practitioners" TargetMode="External"/><Relationship Id="rId50" Type="http://schemas.openxmlformats.org/officeDocument/2006/relationships/hyperlink" Target="https://blog.295devops.com/aprob-el-exam-lab-aws-serverless-demostrado-y-ac-te-cuento-todo-lo-que-romp-en-el-camino" TargetMode="External"/><Relationship Id="rId53" Type="http://schemas.openxmlformats.org/officeDocument/2006/relationships/hyperlink" Target="https://www.smartdraw.com/entity-relationship-diagram/" TargetMode="External"/><Relationship Id="rId52" Type="http://schemas.openxmlformats.org/officeDocument/2006/relationships/hyperlink" Target="https://lucid.co/diagram/erd/tutorial" TargetMode="External"/><Relationship Id="rId11" Type="http://schemas.openxmlformats.org/officeDocument/2006/relationships/image" Target="media/image1.png"/><Relationship Id="rId55" Type="http://schemas.openxmlformats.org/officeDocument/2006/relationships/hyperlink" Target="https://www.red-gate.com/blog/er-diagram-cheat-sheet/" TargetMode="External"/><Relationship Id="rId10" Type="http://schemas.openxmlformats.org/officeDocument/2006/relationships/image" Target="media/image5.png"/><Relationship Id="rId54" Type="http://schemas.openxmlformats.org/officeDocument/2006/relationships/hyperlink" Target="https://www.cockroachlabs.com/blog/database-schema-beginners-guide/" TargetMode="External"/><Relationship Id="rId13" Type="http://schemas.openxmlformats.org/officeDocument/2006/relationships/image" Target="media/image4.png"/><Relationship Id="rId57" Type="http://schemas.openxmlformats.org/officeDocument/2006/relationships/hyperlink" Target="https://www.cs.ubc.ca/~hazra/practice-questions/er-to-sql-answers.htm" TargetMode="External"/><Relationship Id="rId12" Type="http://schemas.openxmlformats.org/officeDocument/2006/relationships/image" Target="media/image3.png"/><Relationship Id="rId56" Type="http://schemas.openxmlformats.org/officeDocument/2006/relationships/hyperlink" Target="https://www.visual-paradigm.com/tutorials/how-to-model-relational-database-with-erd.jsp" TargetMode="External"/><Relationship Id="rId91" Type="http://schemas.openxmlformats.org/officeDocument/2006/relationships/hyperlink" Target="https://lists.w3.org/Archives/Public/w3c-wai-ig/2020JulSep/0064.html" TargetMode="External"/><Relationship Id="rId90" Type="http://schemas.openxmlformats.org/officeDocument/2006/relationships/hyperlink" Target="https://www.audioeye.com/post/wcag-checklist/" TargetMode="External"/><Relationship Id="rId15" Type="http://schemas.openxmlformats.org/officeDocument/2006/relationships/hyperlink" Target="http://lyd.org/wp-content/uploads/2012/05/Super-y-Agencia-Calidad.pdf" TargetMode="External"/><Relationship Id="rId59" Type="http://schemas.openxmlformats.org/officeDocument/2006/relationships/hyperlink" Target="https://www.godaddy.com/resources/latam/desarrollo/pwa-progressive-web-app-que-es" TargetMode="External"/><Relationship Id="rId14" Type="http://schemas.openxmlformats.org/officeDocument/2006/relationships/hyperlink" Target="https://s3.us-east-1.amazonaws.com/archivos.agenciaeducacion.cl/SIMCE_Caracteristicas+generales_2026.pdf" TargetMode="External"/><Relationship Id="rId58" Type="http://schemas.openxmlformats.org/officeDocument/2006/relationships/hyperlink" Target="https://www.reddit.com/r/Database/comments/1h9a11m/help_quiz_database_designerd/" TargetMode="External"/><Relationship Id="rId17" Type="http://schemas.openxmlformats.org/officeDocument/2006/relationships/hyperlink" Target="https://archivos.agenciaeducacion.cl/EJEMPLO_PREGUNTAS_BASICA_WEB_14MAY.pdf" TargetMode="External"/><Relationship Id="rId16" Type="http://schemas.openxmlformats.org/officeDocument/2006/relationships/hyperlink" Target="https://www.agenciaeducacion.cl/evaluar/simce/" TargetMode="External"/><Relationship Id="rId19" Type="http://schemas.openxmlformats.org/officeDocument/2006/relationships/hyperlink" Target="https://www.rmm.cl/portales/25/articulos/planilla-para-revision-de-ensayos-simce" TargetMode="External"/><Relationship Id="rId18" Type="http://schemas.openxmlformats.org/officeDocument/2006/relationships/hyperlink" Target="https://archivos.agenciaeducacion.cl/categoria-de-desempeno/Metodolog%C3%ADa+de+Construcci%C3%B3n+Indicadores+Puntaje+Simce+y+Progreso+Sim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