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rFonts w:ascii="Calibri" w:hAnsi="Calibri"/>
          <w:b/>
          <w:color w:val="2E74B5"/>
          <w:sz w:val="20"/>
        </w:rPr>
        <w:t>GOOGLE PLAY PUBLICATION READINESS AUDIT</w:t>
      </w:r>
    </w:p>
    <w:p>
      <w:pPr>
        <w:spacing w:after="100"/>
      </w:pPr>
      <w:r>
        <w:rPr>
          <w:rFonts w:ascii="Calibri" w:hAnsi="Calibri"/>
          <w:b/>
          <w:color w:val="243447"/>
          <w:sz w:val="52"/>
        </w:rPr>
        <w:t>Thirty Nights</w:t>
      </w:r>
    </w:p>
    <w:p>
      <w:pPr>
        <w:spacing w:after="280"/>
      </w:pPr>
      <w:r>
        <w:rPr>
          <w:rFonts w:ascii="Calibri" w:hAnsi="Calibri"/>
          <w:color w:val="667085"/>
          <w:sz w:val="28"/>
        </w:rPr>
        <w:t>Current application state, publication blockers, and launch plan</w:t>
      </w:r>
    </w:p>
    <w:p>
      <w:pPr>
        <w:spacing w:after="40"/>
      </w:pPr>
      <w:r>
        <w:rPr>
          <w:rFonts w:ascii="Calibri" w:hAnsi="Calibri"/>
          <w:b/>
          <w:color w:val="243447"/>
          <w:sz w:val="21"/>
        </w:rPr>
        <w:t xml:space="preserve">Audit date: </w:t>
      </w:r>
      <w:r>
        <w:rPr>
          <w:rFonts w:ascii="Calibri" w:hAnsi="Calibri"/>
          <w:b w:val="0"/>
          <w:color w:val="243447"/>
          <w:sz w:val="21"/>
        </w:rPr>
        <w:t>18 August 2026</w:t>
      </w:r>
    </w:p>
    <w:p>
      <w:pPr>
        <w:spacing w:after="40"/>
      </w:pPr>
      <w:r>
        <w:rPr>
          <w:rFonts w:ascii="Calibri" w:hAnsi="Calibri"/>
          <w:b/>
          <w:color w:val="243447"/>
          <w:sz w:val="21"/>
        </w:rPr>
        <w:t xml:space="preserve">Repository: </w:t>
      </w:r>
      <w:r>
        <w:rPr>
          <w:rFonts w:ascii="Calibri" w:hAnsi="Calibri"/>
          <w:b w:val="0"/>
          <w:color w:val="243447"/>
          <w:sz w:val="21"/>
        </w:rPr>
        <w:t>/Users/pabath/Documents/thirtynights</w:t>
      </w:r>
    </w:p>
    <w:p>
      <w:pPr>
        <w:spacing w:after="40"/>
      </w:pPr>
      <w:r>
        <w:rPr>
          <w:rFonts w:ascii="Calibri" w:hAnsi="Calibri"/>
          <w:b/>
          <w:color w:val="243447"/>
          <w:sz w:val="21"/>
        </w:rPr>
        <w:t xml:space="preserve">Android package: </w:t>
      </w:r>
      <w:r>
        <w:rPr>
          <w:rFonts w:ascii="Calibri" w:hAnsi="Calibri"/>
          <w:b w:val="0"/>
          <w:color w:val="243447"/>
          <w:sz w:val="21"/>
        </w:rPr>
        <w:t>com.thirtynights.app</w:t>
      </w:r>
    </w:p>
    <w:p>
      <w:pPr>
        <w:spacing w:after="40"/>
      </w:pPr>
      <w:r>
        <w:rPr>
          <w:rFonts w:ascii="Calibri" w:hAnsi="Calibri"/>
          <w:b/>
          <w:color w:val="243447"/>
          <w:sz w:val="21"/>
        </w:rPr>
        <w:t xml:space="preserve">Release verdict: </w:t>
      </w:r>
      <w:r>
        <w:rPr>
          <w:rFonts w:ascii="Calibri" w:hAnsi="Calibri"/>
          <w:b/>
          <w:color w:val="9B1C1C"/>
          <w:sz w:val="21"/>
        </w:rPr>
        <w:t>NOT READY FOR PRODUCTION SUBMISSION</w:t>
      </w:r>
    </w:p>
    <w:p>
      <w:pPr>
        <w:spacing w:before="120" w:after="200"/>
        <w:ind w:left="173" w:right="173"/>
        <w:shd w:fill="FDECEC"/>
        <w:pBdr>
          <w:left w:val="single" w:sz="18" w:space="6" w:color="9B1C1C"/>
        </w:pBdr>
      </w:pPr>
      <w:r>
        <w:rPr>
          <w:rFonts w:ascii="Calibri" w:hAnsi="Calibri"/>
          <w:b/>
          <w:color w:val="9B1C1C"/>
          <w:sz w:val="22"/>
        </w:rPr>
        <w:t xml:space="preserve">Decision: </w:t>
      </w:r>
      <w:r>
        <w:rPr>
          <w:rFonts w:ascii="Calibri" w:hAnsi="Calibri"/>
          <w:color w:val="243447"/>
          <w:sz w:val="22"/>
        </w:rPr>
        <w:t>Do not submit the current build to production. The native application is buildable and the core backend is healthy, but purchases, authentication providers, account deletion, release configuration, store assets, and Play Console declarations are not yet production-complete.</w:t>
      </w:r>
    </w:p>
    <w:p>
      <w:pPr>
        <w:pStyle w:val="Heading1"/>
        <w:keepNext/>
      </w:pPr>
      <w:r>
        <w:t>1. Executive summary</w:t>
      </w:r>
    </w:p>
    <w:p>
      <w:r>
        <w:t>Thirty Nights is technically close to release: the full Android release bundle compiles, all automated application tests pass, the database migrations are live, and the Railway processing worker is healthy. The remaining risk is concentrated in production operations and Google Play compliance rather than basic application architecture.</w:t>
      </w:r>
    </w:p>
    <w:p>
      <w:r>
        <w:t>The release should be treated as a configuration-and-verification program. A clean release candidate must be built from committed code, connected to production EAS credentials, backed by working RevenueCat and Supabase integrations, and validated through an internal Play track before any production rollout.</w:t>
      </w:r>
    </w:p>
    <w:tbl>
      <w:tblPr>
        <w:tblStyle w:val="TableGrid"/>
        <w:tblW w:type="dxa" w:w="9360"/>
        <w:jc w:val="left"/>
        <w:tblLayout w:type="fixed"/>
        <w:tblLook w:firstColumn="1" w:firstRow="1" w:lastColumn="0" w:lastRow="0" w:noHBand="0" w:noVBand="1" w:val="04A0"/>
        <w:tblInd w:w="120" w:type="dxa"/>
      </w:tblPr>
      <w:tblGrid>
        <w:gridCol w:w="1900"/>
        <w:gridCol w:w="1800"/>
        <w:gridCol w:w="5660"/>
      </w:tblGrid>
      <w:tr>
        <w:trPr>
          <w:tblHeader w:val="true"/>
        </w:trPr>
        <w:tc>
          <w:tcPr>
            <w:tcW w:type="dxa" w:w="1900"/>
            <w:shd w:fill="E8EEF5"/>
            <w:vAlign w:val="center"/>
            <w:tcMar>
              <w:top w:w="80" w:type="dxa"/>
              <w:start w:w="120" w:type="dxa"/>
              <w:bottom w:w="80" w:type="dxa"/>
              <w:end w:w="120" w:type="dxa"/>
            </w:tcMar>
          </w:tcPr>
          <w:p>
            <w:pPr>
              <w:spacing w:after="0"/>
              <w:jc w:val="left"/>
            </w:pPr>
            <w:r>
              <w:rPr>
                <w:rFonts w:ascii="Calibri" w:hAnsi="Calibri"/>
                <w:b/>
                <w:color w:val="243447"/>
                <w:sz w:val="19"/>
              </w:rPr>
              <w:t>Area</w:t>
            </w:r>
          </w:p>
        </w:tc>
        <w:tc>
          <w:tcPr>
            <w:tcW w:type="dxa" w:w="1800"/>
            <w:shd w:fill="E8EEF5"/>
            <w:vAlign w:val="center"/>
            <w:tcMar>
              <w:top w:w="80" w:type="dxa"/>
              <w:start w:w="120" w:type="dxa"/>
              <w:bottom w:w="80" w:type="dxa"/>
              <w:end w:w="120" w:type="dxa"/>
            </w:tcMar>
          </w:tcPr>
          <w:p>
            <w:pPr>
              <w:spacing w:after="0"/>
              <w:jc w:val="left"/>
            </w:pPr>
            <w:r>
              <w:rPr>
                <w:rFonts w:ascii="Calibri" w:hAnsi="Calibri"/>
                <w:b/>
                <w:color w:val="243447"/>
                <w:sz w:val="19"/>
              </w:rPr>
              <w:t>Status</w:t>
            </w:r>
          </w:p>
        </w:tc>
        <w:tc>
          <w:tcPr>
            <w:tcW w:type="dxa" w:w="5660"/>
            <w:shd w:fill="E8EEF5"/>
            <w:vAlign w:val="center"/>
            <w:tcMar>
              <w:top w:w="80" w:type="dxa"/>
              <w:start w:w="120" w:type="dxa"/>
              <w:bottom w:w="80" w:type="dxa"/>
              <w:end w:w="120" w:type="dxa"/>
            </w:tcMar>
          </w:tcPr>
          <w:p>
            <w:pPr>
              <w:spacing w:after="0"/>
              <w:jc w:val="left"/>
            </w:pPr>
            <w:r>
              <w:rPr>
                <w:rFonts w:ascii="Calibri" w:hAnsi="Calibri"/>
                <w:b/>
                <w:color w:val="243447"/>
                <w:sz w:val="19"/>
              </w:rPr>
              <w:t>Audit conclusion</w:t>
            </w:r>
          </w:p>
        </w:tc>
      </w:tr>
      <w:tr>
        <w:tc>
          <w:tcPr>
            <w:tcW w:type="dxa" w:w="1900"/>
            <w:vAlign w:val="center"/>
            <w:tcMar>
              <w:top w:w="80" w:type="dxa"/>
              <w:start w:w="120" w:type="dxa"/>
              <w:bottom w:w="80" w:type="dxa"/>
              <w:end w:w="120" w:type="dxa"/>
            </w:tcMar>
          </w:tcPr>
          <w:p>
            <w:pPr>
              <w:spacing w:after="0" w:line="269" w:lineRule="auto"/>
            </w:pPr>
            <w:r>
              <w:rPr>
                <w:rFonts w:ascii="Calibri" w:hAnsi="Calibri"/>
                <w:b/>
                <w:color w:val="243447"/>
                <w:sz w:val="18"/>
              </w:rPr>
              <w:t>Application code</w:t>
            </w:r>
          </w:p>
        </w:tc>
        <w:tc>
          <w:tcPr>
            <w:tcW w:type="dxa" w:w="1800"/>
            <w:vAlign w:val="center"/>
            <w:tcMar>
              <w:top w:w="80" w:type="dxa"/>
              <w:start w:w="120" w:type="dxa"/>
              <w:bottom w:w="80" w:type="dxa"/>
              <w:end w:w="120" w:type="dxa"/>
            </w:tcMar>
          </w:tcPr>
          <w:p>
            <w:pPr>
              <w:spacing w:after="0" w:line="269" w:lineRule="auto"/>
            </w:pPr>
            <w:r>
              <w:rPr>
                <w:rFonts w:ascii="Calibri" w:hAnsi="Calibri"/>
                <w:color w:val="243447"/>
                <w:sz w:val="18"/>
              </w:rPr>
              <w:t>PASS WITH CLEANUP</w:t>
            </w:r>
          </w:p>
        </w:tc>
        <w:tc>
          <w:tcPr>
            <w:tcW w:type="dxa" w:w="5660"/>
            <w:vAlign w:val="center"/>
            <w:tcMar>
              <w:top w:w="80" w:type="dxa"/>
              <w:start w:w="120" w:type="dxa"/>
              <w:bottom w:w="80" w:type="dxa"/>
              <w:end w:w="120" w:type="dxa"/>
            </w:tcMar>
          </w:tcPr>
          <w:p>
            <w:pPr>
              <w:spacing w:after="0" w:line="269" w:lineRule="auto"/>
            </w:pPr>
            <w:r>
              <w:rPr>
                <w:rFonts w:ascii="Calibri" w:hAnsi="Calibri"/>
                <w:color w:val="243447"/>
                <w:sz w:val="18"/>
              </w:rPr>
              <w:t>109 tests pass and the native AAB builds. Expo patch updates and dependency findings remain.</w:t>
            </w:r>
          </w:p>
        </w:tc>
      </w:tr>
      <w:tr>
        <w:tc>
          <w:tcPr>
            <w:tcW w:type="dxa" w:w="1900"/>
            <w:vAlign w:val="center"/>
            <w:tcMar>
              <w:top w:w="80" w:type="dxa"/>
              <w:start w:w="120" w:type="dxa"/>
              <w:bottom w:w="80" w:type="dxa"/>
              <w:end w:w="120" w:type="dxa"/>
            </w:tcMar>
          </w:tcPr>
          <w:p>
            <w:pPr>
              <w:spacing w:after="0" w:line="269" w:lineRule="auto"/>
            </w:pPr>
            <w:r>
              <w:rPr>
                <w:rFonts w:ascii="Calibri" w:hAnsi="Calibri"/>
                <w:b/>
                <w:color w:val="243447"/>
                <w:sz w:val="18"/>
              </w:rPr>
              <w:t>Backend</w:t>
            </w:r>
          </w:p>
        </w:tc>
        <w:tc>
          <w:tcPr>
            <w:tcW w:type="dxa" w:w="1800"/>
            <w:vAlign w:val="center"/>
            <w:tcMar>
              <w:top w:w="80" w:type="dxa"/>
              <w:start w:w="120" w:type="dxa"/>
              <w:bottom w:w="80" w:type="dxa"/>
              <w:end w:w="120" w:type="dxa"/>
            </w:tcMar>
          </w:tcPr>
          <w:p>
            <w:pPr>
              <w:spacing w:after="0" w:line="269" w:lineRule="auto"/>
            </w:pPr>
            <w:r>
              <w:rPr>
                <w:rFonts w:ascii="Calibri" w:hAnsi="Calibri"/>
                <w:color w:val="243447"/>
                <w:sz w:val="18"/>
              </w:rPr>
              <w:t>MOSTLY HEALTHY</w:t>
            </w:r>
          </w:p>
        </w:tc>
        <w:tc>
          <w:tcPr>
            <w:tcW w:type="dxa" w:w="5660"/>
            <w:vAlign w:val="center"/>
            <w:tcMar>
              <w:top w:w="80" w:type="dxa"/>
              <w:start w:w="120" w:type="dxa"/>
              <w:bottom w:w="80" w:type="dxa"/>
              <w:end w:w="120" w:type="dxa"/>
            </w:tcMar>
          </w:tcPr>
          <w:p>
            <w:pPr>
              <w:spacing w:after="0" w:line="269" w:lineRule="auto"/>
            </w:pPr>
            <w:r>
              <w:rPr>
                <w:rFonts w:ascii="Calibri" w:hAnsi="Calibri"/>
                <w:color w:val="243447"/>
                <w:sz w:val="18"/>
              </w:rPr>
              <w:t>Supabase migrations and Railway worker are live; RevenueCat webhook configuration is missing.</w:t>
            </w:r>
          </w:p>
        </w:tc>
      </w:tr>
      <w:tr>
        <w:tc>
          <w:tcPr>
            <w:tcW w:type="dxa" w:w="1900"/>
            <w:vAlign w:val="center"/>
            <w:tcMar>
              <w:top w:w="80" w:type="dxa"/>
              <w:start w:w="120" w:type="dxa"/>
              <w:bottom w:w="80" w:type="dxa"/>
              <w:end w:w="120" w:type="dxa"/>
            </w:tcMar>
          </w:tcPr>
          <w:p>
            <w:pPr>
              <w:spacing w:after="0" w:line="269" w:lineRule="auto"/>
            </w:pPr>
            <w:r>
              <w:rPr>
                <w:rFonts w:ascii="Calibri" w:hAnsi="Calibri"/>
                <w:b/>
                <w:color w:val="243447"/>
                <w:sz w:val="18"/>
              </w:rPr>
              <w:t>Release pipeline</w:t>
            </w:r>
          </w:p>
        </w:tc>
        <w:tc>
          <w:tcPr>
            <w:tcW w:type="dxa" w:w="1800"/>
            <w:vAlign w:val="center"/>
            <w:tcMar>
              <w:top w:w="80" w:type="dxa"/>
              <w:start w:w="120" w:type="dxa"/>
              <w:bottom w:w="80" w:type="dxa"/>
              <w:end w:w="120" w:type="dxa"/>
            </w:tcMar>
          </w:tcPr>
          <w:p>
            <w:pPr>
              <w:spacing w:after="0" w:line="269" w:lineRule="auto"/>
            </w:pPr>
            <w:r>
              <w:rPr>
                <w:rFonts w:ascii="Calibri" w:hAnsi="Calibri"/>
                <w:color w:val="243447"/>
                <w:sz w:val="18"/>
              </w:rPr>
              <w:t>BLOCKED</w:t>
            </w:r>
          </w:p>
        </w:tc>
        <w:tc>
          <w:tcPr>
            <w:tcW w:type="dxa" w:w="5660"/>
            <w:vAlign w:val="center"/>
            <w:tcMar>
              <w:top w:w="80" w:type="dxa"/>
              <w:start w:w="120" w:type="dxa"/>
              <w:bottom w:w="80" w:type="dxa"/>
              <w:end w:w="120" w:type="dxa"/>
            </w:tcMar>
          </w:tcPr>
          <w:p>
            <w:pPr>
              <w:spacing w:after="0" w:line="269" w:lineRule="auto"/>
            </w:pPr>
            <w:r>
              <w:rPr>
                <w:rFonts w:ascii="Calibri" w:hAnsi="Calibri"/>
                <w:color w:val="243447"/>
                <w:sz w:val="18"/>
              </w:rPr>
              <w:t>eas.json is invalid and EAS project credentials/environment could not be verified.</w:t>
            </w:r>
          </w:p>
        </w:tc>
      </w:tr>
      <w:tr>
        <w:tc>
          <w:tcPr>
            <w:tcW w:type="dxa" w:w="1900"/>
            <w:vAlign w:val="center"/>
            <w:tcMar>
              <w:top w:w="80" w:type="dxa"/>
              <w:start w:w="120" w:type="dxa"/>
              <w:bottom w:w="80" w:type="dxa"/>
              <w:end w:w="120" w:type="dxa"/>
            </w:tcMar>
          </w:tcPr>
          <w:p>
            <w:pPr>
              <w:spacing w:after="0" w:line="269" w:lineRule="auto"/>
            </w:pPr>
            <w:r>
              <w:rPr>
                <w:rFonts w:ascii="Calibri" w:hAnsi="Calibri"/>
                <w:b/>
                <w:color w:val="243447"/>
                <w:sz w:val="18"/>
              </w:rPr>
              <w:t>Play publication</w:t>
            </w:r>
          </w:p>
        </w:tc>
        <w:tc>
          <w:tcPr>
            <w:tcW w:type="dxa" w:w="1800"/>
            <w:vAlign w:val="center"/>
            <w:tcMar>
              <w:top w:w="80" w:type="dxa"/>
              <w:start w:w="120" w:type="dxa"/>
              <w:bottom w:w="80" w:type="dxa"/>
              <w:end w:w="120" w:type="dxa"/>
            </w:tcMar>
          </w:tcPr>
          <w:p>
            <w:pPr>
              <w:spacing w:after="0" w:line="269" w:lineRule="auto"/>
            </w:pPr>
            <w:r>
              <w:rPr>
                <w:rFonts w:ascii="Calibri" w:hAnsi="Calibri"/>
                <w:color w:val="243447"/>
                <w:sz w:val="18"/>
              </w:rPr>
              <w:t>BLOCKED</w:t>
            </w:r>
          </w:p>
        </w:tc>
        <w:tc>
          <w:tcPr>
            <w:tcW w:type="dxa" w:w="5660"/>
            <w:vAlign w:val="center"/>
            <w:tcMar>
              <w:top w:w="80" w:type="dxa"/>
              <w:start w:w="120" w:type="dxa"/>
              <w:bottom w:w="80" w:type="dxa"/>
              <w:end w:w="120" w:type="dxa"/>
            </w:tcMar>
          </w:tcPr>
          <w:p>
            <w:pPr>
              <w:spacing w:after="0" w:line="269" w:lineRule="auto"/>
            </w:pPr>
            <w:r>
              <w:rPr>
                <w:rFonts w:ascii="Calibri" w:hAnsi="Calibri"/>
                <w:color w:val="243447"/>
                <w:sz w:val="18"/>
              </w:rPr>
              <w:t>Store assets, console forms, purchase testing, legal pages, and track requirements remain incomplete or unverified.</w:t>
            </w:r>
          </w:p>
        </w:tc>
      </w:tr>
    </w:tbl>
    <w:p>
      <w:pPr>
        <w:spacing w:after="40" w:before="40"/>
      </w:pPr>
    </w:p>
    <w:p>
      <w:pPr>
        <w:pStyle w:val="Heading1"/>
        <w:keepNext/>
      </w:pPr>
      <w:r>
        <w:t>2. Publication blockers</w:t>
      </w:r>
    </w:p>
    <w:p>
      <w:pPr>
        <w:pStyle w:val="Heading2"/>
        <w:keepNext/>
      </w:pPr>
      <w:r>
        <w:t>2.1 EAS release configuration is invalid</w:t>
      </w:r>
    </w:p>
    <w:p>
      <w:pPr>
        <w:numPr>
          <w:ilvl w:val="0"/>
          <w:numId w:val="41"/>
        </w:numPr>
      </w:pPr>
      <w:r>
        <w:t>eas.json contains properties named "//". EAS rejects these fields, so project and build inspection stops before a release can begin.</w:t>
      </w:r>
    </w:p>
    <w:p>
      <w:pPr>
        <w:numPr>
          <w:ilvl w:val="0"/>
          <w:numId w:val="41"/>
        </w:numPr>
      </w:pPr>
      <w:r>
        <w:t>The local environment is not authenticated with EAS. Android credentials, app signing, project linkage, production variables, and remote version codes could not be verified.</w:t>
      </w:r>
    </w:p>
    <w:p>
      <w:pPr>
        <w:numPr>
          <w:ilvl w:val="0"/>
          <w:numId w:val="41"/>
        </w:numPr>
      </w:pPr>
      <w:r>
        <w:t>The latest client, sync, Supabase error-handling, and delete-account changes are uncommitted. A production candidate must be built from an explicit, reviewable commit.</w:t>
      </w:r>
    </w:p>
    <w:p>
      <w:pPr>
        <w:pStyle w:val="Heading2"/>
        <w:keepNext/>
      </w:pPr>
      <w:r>
        <w:t>2.2 Google Play purchases are not operational</w:t>
      </w:r>
    </w:p>
    <w:p>
      <w:pPr>
        <w:numPr>
          <w:ilvl w:val="0"/>
          <w:numId w:val="41"/>
        </w:numPr>
      </w:pPr>
      <w:r>
        <w:t>A live request to the RevenueCat webhook returned HTTP 503 with "Webhook is not configured".</w:t>
      </w:r>
    </w:p>
    <w:p>
      <w:pPr>
        <w:numPr>
          <w:ilvl w:val="0"/>
          <w:numId w:val="41"/>
        </w:numPr>
      </w:pPr>
      <w:r>
        <w:t>The private webhook_events ledger contains zero events, so there is no evidence of a completed production webhook grant.</w:t>
      </w:r>
    </w:p>
    <w:p>
      <w:pPr>
        <w:numPr>
          <w:ilvl w:val="0"/>
          <w:numId w:val="41"/>
        </w:numPr>
      </w:pPr>
      <w:r>
        <w:t>The Google Play one-time products, RevenueCat Android app and offering, webhook authorization, purchase, restore, and server-authoritative entitlement grant have not been verified end-to-end.</w:t>
      </w:r>
    </w:p>
    <w:p>
      <w:pPr>
        <w:numPr>
          <w:ilvl w:val="0"/>
          <w:numId w:val="41"/>
        </w:numPr>
      </w:pPr>
      <w:r>
        <w:t>The intended permanent product IDs are com.thirtynights.nights30 and com.thirtynights.nights90.</w:t>
      </w:r>
    </w:p>
    <w:p>
      <w:pPr>
        <w:pStyle w:val="Heading2"/>
        <w:keepNext/>
      </w:pPr>
      <w:r>
        <w:t>2.3 Android authentication options do not match the live backend</w:t>
      </w:r>
    </w:p>
    <w:p>
      <w:pPr>
        <w:numPr>
          <w:ilvl w:val="0"/>
          <w:numId w:val="41"/>
        </w:numPr>
      </w:pPr>
      <w:r>
        <w:t>Android currently displays Continue with Google and Continue with Apple.</w:t>
      </w:r>
    </w:p>
    <w:p>
      <w:pPr>
        <w:numPr>
          <w:ilvl w:val="0"/>
          <w:numId w:val="41"/>
        </w:numPr>
      </w:pPr>
      <w:r>
        <w:t>The live Supabase project reports both Google and Apple providers as disabled. These are broken user-facing choices until configured or removed.</w:t>
      </w:r>
    </w:p>
    <w:p>
      <w:pPr>
        <w:numPr>
          <w:ilvl w:val="0"/>
          <w:numId w:val="41"/>
        </w:numPr>
      </w:pPr>
      <w:r>
        <w:t>Email auto-confirm is enabled while the interface presents an email-confirmation/recovery journey. Production SMTP, confirmation policy, and recovery behavior must be aligned and tested.</w:t>
      </w:r>
    </w:p>
    <w:p>
      <w:pPr>
        <w:pStyle w:val="Heading2"/>
        <w:keepNext/>
      </w:pPr>
      <w:r>
        <w:t>2.4 Account deletion is not release-ready</w:t>
      </w:r>
    </w:p>
    <w:p>
      <w:pPr>
        <w:numPr>
          <w:ilvl w:val="0"/>
          <w:numId w:val="41"/>
        </w:numPr>
      </w:pPr>
      <w:r>
        <w:t>The delete-account Edge Function is active and its CORS correction is deployed, but cloud deletion has not passed a complete production test.</w:t>
      </w:r>
    </w:p>
    <w:p>
      <w:pPr>
        <w:numPr>
          <w:ilvl w:val="0"/>
          <w:numId w:val="41"/>
        </w:numPr>
      </w:pPr>
      <w:r>
        <w:t>RevenueCat customer cleanup depends on a production secret that could not be verified during the audit.</w:t>
      </w:r>
    </w:p>
    <w:p>
      <w:pPr>
        <w:numPr>
          <w:ilvl w:val="0"/>
          <w:numId w:val="41"/>
        </w:numPr>
      </w:pPr>
      <w:r>
        <w:t>The required public web deletion page is not present in this repository, and the deployed production URL could not be confirmed.</w:t>
      </w:r>
    </w:p>
    <w:p>
      <w:pPr>
        <w:numPr>
          <w:ilvl w:val="0"/>
          <w:numId w:val="41"/>
        </w:numPr>
      </w:pPr>
      <w:r>
        <w:t>Google Play requires an in-app deletion path and a functional web deletion route when an app allows account creation.</w:t>
      </w:r>
    </w:p>
    <w:p>
      <w:pPr>
        <w:pStyle w:val="Heading2"/>
        <w:keepNext/>
      </w:pPr>
      <w:r>
        <w:t>2.5 Store listing assets are incomplete</w:t>
      </w:r>
    </w:p>
    <w:p>
      <w:pPr>
        <w:numPr>
          <w:ilvl w:val="0"/>
          <w:numId w:val="41"/>
        </w:numPr>
      </w:pPr>
      <w:r>
        <w:t>No required 1024 x 500 feature graphic was found.</w:t>
      </w:r>
    </w:p>
    <w:p>
      <w:pPr>
        <w:numPr>
          <w:ilvl w:val="0"/>
          <w:numId w:val="41"/>
        </w:numPr>
      </w:pPr>
      <w:r>
        <w:t>No dedicated 512 x 512 Play Store icon was found, although it can be derived from the existing 1024 x 1024 application icon.</w:t>
      </w:r>
    </w:p>
    <w:p>
      <w:pPr>
        <w:numPr>
          <w:ilvl w:val="0"/>
          <w:numId w:val="41"/>
        </w:numPr>
      </w:pPr>
      <w:r>
        <w:t>Existing 1080 x 2400 captures are primarily development screenshots; several expose developer tools, previews, or incomplete setup states.</w:t>
      </w:r>
    </w:p>
    <w:p>
      <w:pPr>
        <w:numPr>
          <w:ilvl w:val="0"/>
          <w:numId w:val="41"/>
        </w:numPr>
      </w:pPr>
      <w:r>
        <w:t>Store title, short description, full description, category, contact details, release notes, and a final screenshot set are not documented as complete.</w:t>
      </w:r>
    </w:p>
    <w:p>
      <w:pPr>
        <w:pStyle w:val="Heading2"/>
        <w:keepNext/>
      </w:pPr>
      <w:r>
        <w:t>2.6 Play Console state is unverified</w:t>
      </w:r>
    </w:p>
    <w:p>
      <w:pPr>
        <w:numPr>
          <w:ilvl w:val="0"/>
          <w:numId w:val="41"/>
        </w:numPr>
      </w:pPr>
      <w:r>
        <w:t>The Play Console app record, package reservation, Play App Signing, developer identity, service-account access, and testing-track setup were not available for inspection.</w:t>
      </w:r>
    </w:p>
    <w:p>
      <w:pPr>
        <w:numPr>
          <w:ilvl w:val="0"/>
          <w:numId w:val="41"/>
        </w:numPr>
      </w:pPr>
      <w:r>
        <w:t>Data safety, content rating, target audience, ads, app access, health-app, foreground-service, and account-deletion declarations remain owner-controlled work.</w:t>
      </w:r>
    </w:p>
    <w:p>
      <w:pPr>
        <w:numPr>
          <w:ilvl w:val="0"/>
          <w:numId w:val="41"/>
        </w:numPr>
      </w:pPr>
      <w:r>
        <w:t>If the developer account is a personal account created after 13 November 2023, production access normally requires at least 12 opted-in closed testers for 14 continuous days.</w:t>
      </w:r>
    </w:p>
    <w:p>
      <w:pPr>
        <w:pStyle w:val="Heading2"/>
        <w:keepNext/>
      </w:pPr>
      <w:r>
        <w:t>2.7 A signed production candidate has not been tested on Google Play</w:t>
      </w:r>
    </w:p>
    <w:p>
      <w:pPr>
        <w:numPr>
          <w:ilvl w:val="0"/>
          <w:numId w:val="41"/>
        </w:numPr>
      </w:pPr>
      <w:r>
        <w:t>A local release AAB builds successfully, but it used audit placeholder configuration and is not the signed artifact that should be submitted.</w:t>
      </w:r>
    </w:p>
    <w:p>
      <w:pPr>
        <w:numPr>
          <w:ilvl w:val="0"/>
          <w:numId w:val="41"/>
        </w:numPr>
      </w:pPr>
      <w:r>
        <w:t>Purchases, restoration, backups, reflection processing, account deletion, offline behavior, notifications, and upgrade flows still require testing from an internal Play track on physical Android devices.</w:t>
      </w:r>
    </w:p>
    <w:p>
      <w:pPr>
        <w:numPr>
          <w:ilvl w:val="0"/>
          <w:numId w:val="41"/>
        </w:numPr>
      </w:pPr>
      <w:r>
        <w:t>Google Play's pre-launch report and submitted-artifact compatibility checks have not yet been run.</w:t>
      </w:r>
    </w:p>
    <w:p>
      <w:pPr>
        <w:pStyle w:val="Heading1"/>
        <w:keepNext/>
      </w:pPr>
      <w:r>
        <w:t>3. Android release findings</w:t>
      </w:r>
    </w:p>
    <w:p>
      <w:pPr>
        <w:spacing w:before="120" w:after="200"/>
        <w:ind w:left="173" w:right="173"/>
        <w:shd w:fill="EAF5EE"/>
        <w:pBdr>
          <w:left w:val="single" w:sz="18" w:space="6" w:color="216E39"/>
        </w:pBdr>
      </w:pPr>
      <w:r>
        <w:rPr>
          <w:rFonts w:ascii="Calibri" w:hAnsi="Calibri"/>
          <w:b/>
          <w:color w:val="216E39"/>
          <w:sz w:val="22"/>
        </w:rPr>
        <w:t xml:space="preserve">Positive result: </w:t>
      </w:r>
      <w:r>
        <w:rPr>
          <w:rFonts w:ascii="Calibri" w:hAnsi="Calibri"/>
          <w:color w:val="243447"/>
          <w:sz w:val="22"/>
        </w:rPr>
        <w:t>A complete native bundleRelease finished successfully, including Java, Kotlin, C++, lint-vital, signing, and AAB packaging. The audit artifact was approximately 68 MB.</w:t>
      </w:r>
    </w:p>
    <w:p>
      <w:pPr>
        <w:pStyle w:val="Heading2"/>
        <w:keepNext/>
      </w:pPr>
      <w:r>
        <w:t>3.1 Current platform compliance</w:t>
      </w:r>
    </w:p>
    <w:p>
      <w:pPr>
        <w:numPr>
          <w:ilvl w:val="0"/>
          <w:numId w:val="41"/>
        </w:numPr>
      </w:pPr>
      <w:r>
        <w:t>Target SDK is API 36. This satisfies the Google Play target requirement that takes effect for new apps and updates on 31 August 2026.</w:t>
      </w:r>
    </w:p>
    <w:p>
      <w:pPr>
        <w:numPr>
          <w:ilvl w:val="0"/>
          <w:numId w:val="41"/>
        </w:numPr>
      </w:pPr>
      <w:r>
        <w:t>Compile SDK is API 36, minimum SDK is API 24, and NDK is 27.1.12297006.</w:t>
      </w:r>
    </w:p>
    <w:p>
      <w:pPr>
        <w:numPr>
          <w:ilvl w:val="0"/>
          <w:numId w:val="41"/>
        </w:numPr>
      </w:pPr>
      <w:r>
        <w:t>Google Play Billing Library 8.3.0 is resolved through RevenueCat. This meets the current billing-library deadline.</w:t>
      </w:r>
    </w:p>
    <w:p>
      <w:pPr>
        <w:numPr>
          <w:ilvl w:val="0"/>
          <w:numId w:val="41"/>
        </w:numPr>
      </w:pPr>
      <w:r>
        <w:t>Production package ID is com.thirtynights.app and version name is 1.0.0. EAS remote version-code behavior still requires verification.</w:t>
      </w:r>
    </w:p>
    <w:p>
      <w:pPr>
        <w:pStyle w:val="Heading2"/>
        <w:keepNext/>
      </w:pPr>
      <w:r>
        <w:t>3.2 Manifest and permission cleanup</w:t>
      </w:r>
    </w:p>
    <w:p>
      <w:pPr>
        <w:numPr>
          <w:ilvl w:val="0"/>
          <w:numId w:val="41"/>
        </w:numPr>
      </w:pPr>
      <w:r>
        <w:t>SYSTEM_ALERT_WINDOW appears in the release manifest, apparently through the development client. The product does not appear to require overlay access; remove it from production with a conditional plugin or android.blockedPermissions.</w:t>
      </w:r>
    </w:p>
    <w:p>
      <w:pPr>
        <w:numPr>
          <w:ilvl w:val="0"/>
          <w:numId w:val="41"/>
        </w:numPr>
      </w:pPr>
      <w:r>
        <w:t>expo-audio enables background playback by default, introducing FOREGROUND_SERVICE_MEDIA_PLAYBACK and a media playback service. Explicitly disable background playback unless sustained playback outside the app is an intentional feature.</w:t>
      </w:r>
    </w:p>
    <w:p>
      <w:pPr>
        <w:numPr>
          <w:ilvl w:val="0"/>
          <w:numId w:val="41"/>
        </w:numPr>
      </w:pPr>
      <w:r>
        <w:t>If background playback is retained, complete the Play Console foreground-service declaration and provide the requested demonstration video and user-impact explanation.</w:t>
      </w:r>
    </w:p>
    <w:p>
      <w:pPr>
        <w:numPr>
          <w:ilvl w:val="0"/>
          <w:numId w:val="41"/>
        </w:numPr>
      </w:pPr>
      <w:r>
        <w:t>RECORD_AUDIO, INTERNET, VIBRATE, notifications, and billing permissions are consistent with the current feature set, subject to accurate Play Console declarations.</w:t>
      </w:r>
    </w:p>
    <w:p>
      <w:pPr>
        <w:pStyle w:val="Heading2"/>
        <w:keepNext/>
      </w:pPr>
      <w:r>
        <w:t>3.3 Dependency and toolchain cleanup</w:t>
      </w:r>
    </w:p>
    <w:p>
      <w:pPr>
        <w:numPr>
          <w:ilvl w:val="0"/>
          <w:numId w:val="41"/>
        </w:numPr>
      </w:pPr>
      <w:r>
        <w:t>expo-doctor passes 20 of 21 checks but reports ten Expo packages below the current SDK 57 patch recommendations.</w:t>
      </w:r>
    </w:p>
    <w:p>
      <w:pPr>
        <w:numPr>
          <w:ilvl w:val="0"/>
          <w:numId w:val="41"/>
        </w:numPr>
      </w:pPr>
      <w:r>
        <w:t>npm audit reports 21 findings: 12 high and 9 moderate, mainly in Expo/Metro build dependencies. Update supported Expo patches and reassess; do not apply the proposed forced React Native downgrade blindly.</w:t>
      </w:r>
    </w:p>
    <w:p>
      <w:pPr>
        <w:numPr>
          <w:ilvl w:val="0"/>
          <w:numId w:val="41"/>
        </w:numPr>
      </w:pPr>
      <w:r>
        <w:t>The worker's production dependency audit reports zero known vulnerabilities.</w:t>
      </w:r>
    </w:p>
    <w:p>
      <w:pPr>
        <w:numPr>
          <w:ilvl w:val="0"/>
          <w:numId w:val="41"/>
        </w:numPr>
      </w:pPr>
      <w:r>
        <w:t>The developer machine is using Node 25 while CI uses Node 22. Pin Node 22 with an .nvmrc, .node-version, Volta, or an equivalent project-level mechanism.</w:t>
      </w:r>
    </w:p>
    <w:p>
      <w:pPr>
        <w:numPr>
          <w:ilvl w:val="0"/>
          <w:numId w:val="41"/>
        </w:numPr>
      </w:pPr>
      <w:r>
        <w:t>The native build emitted repeated D8 warnings from the bundled Amazon Appstore SDK. These did not fail the build, but should be reassessed after RevenueCat and Expo patch updates.</w:t>
      </w:r>
    </w:p>
    <w:p>
      <w:pPr>
        <w:pStyle w:val="Heading1"/>
        <w:keepNext/>
      </w:pPr>
      <w:r>
        <w:t>4. Backend and production-service state</w:t>
      </w:r>
    </w:p>
    <w:tbl>
      <w:tblPr>
        <w:tblStyle w:val="TableGrid"/>
        <w:tblW w:type="dxa" w:w="9360"/>
        <w:jc w:val="left"/>
        <w:tblLayout w:type="fixed"/>
        <w:tblLook w:firstColumn="1" w:firstRow="1" w:lastColumn="0" w:lastRow="0" w:noHBand="0" w:noVBand="1" w:val="04A0"/>
        <w:tblInd w:w="120" w:type="dxa"/>
      </w:tblPr>
      <w:tblGrid>
        <w:gridCol w:w="1900"/>
        <w:gridCol w:w="3460"/>
        <w:gridCol w:w="4000"/>
      </w:tblGrid>
      <w:tr>
        <w:trPr>
          <w:tblHeader w:val="true"/>
        </w:trPr>
        <w:tc>
          <w:tcPr>
            <w:tcW w:type="dxa" w:w="1900"/>
            <w:shd w:fill="E8EEF5"/>
            <w:vAlign w:val="center"/>
            <w:tcMar>
              <w:top w:w="80" w:type="dxa"/>
              <w:start w:w="120" w:type="dxa"/>
              <w:bottom w:w="80" w:type="dxa"/>
              <w:end w:w="120" w:type="dxa"/>
            </w:tcMar>
          </w:tcPr>
          <w:p>
            <w:pPr>
              <w:spacing w:after="0"/>
              <w:jc w:val="left"/>
            </w:pPr>
            <w:r>
              <w:rPr>
                <w:rFonts w:ascii="Calibri" w:hAnsi="Calibri"/>
                <w:b/>
                <w:color w:val="243447"/>
                <w:sz w:val="19"/>
              </w:rPr>
              <w:t>Service</w:t>
            </w:r>
          </w:p>
        </w:tc>
        <w:tc>
          <w:tcPr>
            <w:tcW w:type="dxa" w:w="3460"/>
            <w:shd w:fill="E8EEF5"/>
            <w:vAlign w:val="center"/>
            <w:tcMar>
              <w:top w:w="80" w:type="dxa"/>
              <w:start w:w="120" w:type="dxa"/>
              <w:bottom w:w="80" w:type="dxa"/>
              <w:end w:w="120" w:type="dxa"/>
            </w:tcMar>
          </w:tcPr>
          <w:p>
            <w:pPr>
              <w:spacing w:after="0"/>
              <w:jc w:val="left"/>
            </w:pPr>
            <w:r>
              <w:rPr>
                <w:rFonts w:ascii="Calibri" w:hAnsi="Calibri"/>
                <w:b/>
                <w:color w:val="243447"/>
                <w:sz w:val="19"/>
              </w:rPr>
              <w:t>Verified state</w:t>
            </w:r>
          </w:p>
        </w:tc>
        <w:tc>
          <w:tcPr>
            <w:tcW w:type="dxa" w:w="4000"/>
            <w:shd w:fill="E8EEF5"/>
            <w:vAlign w:val="center"/>
            <w:tcMar>
              <w:top w:w="80" w:type="dxa"/>
              <w:start w:w="120" w:type="dxa"/>
              <w:bottom w:w="80" w:type="dxa"/>
              <w:end w:w="120" w:type="dxa"/>
            </w:tcMar>
          </w:tcPr>
          <w:p>
            <w:pPr>
              <w:spacing w:after="0"/>
              <w:jc w:val="left"/>
            </w:pPr>
            <w:r>
              <w:rPr>
                <w:rFonts w:ascii="Calibri" w:hAnsi="Calibri"/>
                <w:b/>
                <w:color w:val="243447"/>
                <w:sz w:val="19"/>
              </w:rPr>
              <w:t>Remaining action</w:t>
            </w:r>
          </w:p>
        </w:tc>
      </w:tr>
      <w:tr>
        <w:tc>
          <w:tcPr>
            <w:tcW w:type="dxa" w:w="1900"/>
            <w:vAlign w:val="center"/>
            <w:tcMar>
              <w:top w:w="80" w:type="dxa"/>
              <w:start w:w="120" w:type="dxa"/>
              <w:bottom w:w="80" w:type="dxa"/>
              <w:end w:w="120" w:type="dxa"/>
            </w:tcMar>
          </w:tcPr>
          <w:p>
            <w:pPr>
              <w:spacing w:after="0" w:line="269" w:lineRule="auto"/>
            </w:pPr>
            <w:r>
              <w:rPr>
                <w:rFonts w:ascii="Calibri" w:hAnsi="Calibri"/>
                <w:b/>
                <w:color w:val="243447"/>
                <w:sz w:val="17"/>
              </w:rPr>
              <w:t>Supabase database</w:t>
            </w:r>
          </w:p>
        </w:tc>
        <w:tc>
          <w:tcPr>
            <w:tcW w:type="dxa" w:w="3460"/>
            <w:vAlign w:val="center"/>
            <w:tcMar>
              <w:top w:w="80" w:type="dxa"/>
              <w:start w:w="120" w:type="dxa"/>
              <w:bottom w:w="80" w:type="dxa"/>
              <w:end w:w="120" w:type="dxa"/>
            </w:tcMar>
          </w:tcPr>
          <w:p>
            <w:pPr>
              <w:spacing w:after="0" w:line="269" w:lineRule="auto"/>
            </w:pPr>
            <w:r>
              <w:rPr>
                <w:rFonts w:ascii="Calibri" w:hAnsi="Calibri"/>
                <w:color w:val="243447"/>
                <w:sz w:val="17"/>
              </w:rPr>
              <w:t>All eight migrations are live through 20260810165730.</w:t>
            </w:r>
          </w:p>
        </w:tc>
        <w:tc>
          <w:tcPr>
            <w:tcW w:type="dxa" w:w="4000"/>
            <w:vAlign w:val="center"/>
            <w:tcMar>
              <w:top w:w="80" w:type="dxa"/>
              <w:start w:w="120" w:type="dxa"/>
              <w:bottom w:w="80" w:type="dxa"/>
              <w:end w:w="120" w:type="dxa"/>
            </w:tcMar>
          </w:tcPr>
          <w:p>
            <w:pPr>
              <w:spacing w:after="0" w:line="269" w:lineRule="auto"/>
            </w:pPr>
            <w:r>
              <w:rPr>
                <w:rFonts w:ascii="Calibri" w:hAnsi="Calibri"/>
                <w:color w:val="243447"/>
                <w:sz w:val="17"/>
              </w:rPr>
              <w:t>Keep the migration ledger synchronized and add the processing-consent user_id index.</w:t>
            </w:r>
          </w:p>
        </w:tc>
      </w:tr>
      <w:tr>
        <w:tc>
          <w:tcPr>
            <w:tcW w:type="dxa" w:w="1900"/>
            <w:vAlign w:val="center"/>
            <w:tcMar>
              <w:top w:w="80" w:type="dxa"/>
              <w:start w:w="120" w:type="dxa"/>
              <w:bottom w:w="80" w:type="dxa"/>
              <w:end w:w="120" w:type="dxa"/>
            </w:tcMar>
          </w:tcPr>
          <w:p>
            <w:pPr>
              <w:spacing w:after="0" w:line="269" w:lineRule="auto"/>
            </w:pPr>
            <w:r>
              <w:rPr>
                <w:rFonts w:ascii="Calibri" w:hAnsi="Calibri"/>
                <w:b/>
                <w:color w:val="243447"/>
                <w:sz w:val="17"/>
              </w:rPr>
              <w:t>Supabase storage</w:t>
            </w:r>
          </w:p>
        </w:tc>
        <w:tc>
          <w:tcPr>
            <w:tcW w:type="dxa" w:w="3460"/>
            <w:vAlign w:val="center"/>
            <w:tcMar>
              <w:top w:w="80" w:type="dxa"/>
              <w:start w:w="120" w:type="dxa"/>
              <w:bottom w:w="80" w:type="dxa"/>
              <w:end w:w="120" w:type="dxa"/>
            </w:tcMar>
          </w:tcPr>
          <w:p>
            <w:pPr>
              <w:spacing w:after="0" w:line="269" w:lineRule="auto"/>
            </w:pPr>
            <w:r>
              <w:rPr>
                <w:rFonts w:ascii="Calibri" w:hAnsi="Calibri"/>
                <w:color w:val="243447"/>
                <w:sz w:val="17"/>
              </w:rPr>
              <w:t>Private recordings and report-audio buckets exist with expected limits/types.</w:t>
            </w:r>
          </w:p>
        </w:tc>
        <w:tc>
          <w:tcPr>
            <w:tcW w:type="dxa" w:w="4000"/>
            <w:vAlign w:val="center"/>
            <w:tcMar>
              <w:top w:w="80" w:type="dxa"/>
              <w:start w:w="120" w:type="dxa"/>
              <w:bottom w:w="80" w:type="dxa"/>
              <w:end w:w="120" w:type="dxa"/>
            </w:tcMar>
          </w:tcPr>
          <w:p>
            <w:pPr>
              <w:spacing w:after="0" w:line="269" w:lineRule="auto"/>
            </w:pPr>
            <w:r>
              <w:rPr>
                <w:rFonts w:ascii="Calibri" w:hAnsi="Calibri"/>
                <w:color w:val="243447"/>
                <w:sz w:val="17"/>
              </w:rPr>
              <w:t>Run Android upload, retry, playback, and deletion tests using the production candidate.</w:t>
            </w:r>
          </w:p>
        </w:tc>
      </w:tr>
      <w:tr>
        <w:tc>
          <w:tcPr>
            <w:tcW w:type="dxa" w:w="1900"/>
            <w:vAlign w:val="center"/>
            <w:tcMar>
              <w:top w:w="80" w:type="dxa"/>
              <w:start w:w="120" w:type="dxa"/>
              <w:bottom w:w="80" w:type="dxa"/>
              <w:end w:w="120" w:type="dxa"/>
            </w:tcMar>
          </w:tcPr>
          <w:p>
            <w:pPr>
              <w:spacing w:after="0" w:line="269" w:lineRule="auto"/>
            </w:pPr>
            <w:r>
              <w:rPr>
                <w:rFonts w:ascii="Calibri" w:hAnsi="Calibri"/>
                <w:b/>
                <w:color w:val="243447"/>
                <w:sz w:val="17"/>
              </w:rPr>
              <w:t>Report processing</w:t>
            </w:r>
          </w:p>
        </w:tc>
        <w:tc>
          <w:tcPr>
            <w:tcW w:type="dxa" w:w="3460"/>
            <w:vAlign w:val="center"/>
            <w:tcMar>
              <w:top w:w="80" w:type="dxa"/>
              <w:start w:w="120" w:type="dxa"/>
              <w:bottom w:w="80" w:type="dxa"/>
              <w:end w:w="120" w:type="dxa"/>
            </w:tcMar>
          </w:tcPr>
          <w:p>
            <w:pPr>
              <w:spacing w:after="0" w:line="269" w:lineRule="auto"/>
            </w:pPr>
            <w:r>
              <w:rPr>
                <w:rFonts w:ascii="Calibri" w:hAnsi="Calibri"/>
                <w:color w:val="243447"/>
                <w:sz w:val="17"/>
              </w:rPr>
              <w:t>One report job completed; no failed/retry/cancelled jobs were found.</w:t>
            </w:r>
          </w:p>
        </w:tc>
        <w:tc>
          <w:tcPr>
            <w:tcW w:type="dxa" w:w="4000"/>
            <w:vAlign w:val="center"/>
            <w:tcMar>
              <w:top w:w="80" w:type="dxa"/>
              <w:start w:w="120" w:type="dxa"/>
              <w:bottom w:w="80" w:type="dxa"/>
              <w:end w:w="120" w:type="dxa"/>
            </w:tcMar>
          </w:tcPr>
          <w:p>
            <w:pPr>
              <w:spacing w:after="0" w:line="269" w:lineRule="auto"/>
            </w:pPr>
            <w:r>
              <w:rPr>
                <w:rFonts w:ascii="Calibri" w:hAnsi="Calibri"/>
                <w:color w:val="243447"/>
                <w:sz w:val="17"/>
              </w:rPr>
              <w:t>Add operational alerts for queue age and failed jobs.</w:t>
            </w:r>
          </w:p>
        </w:tc>
      </w:tr>
      <w:tr>
        <w:tc>
          <w:tcPr>
            <w:tcW w:type="dxa" w:w="1900"/>
            <w:vAlign w:val="center"/>
            <w:tcMar>
              <w:top w:w="80" w:type="dxa"/>
              <w:start w:w="120" w:type="dxa"/>
              <w:bottom w:w="80" w:type="dxa"/>
              <w:end w:w="120" w:type="dxa"/>
            </w:tcMar>
          </w:tcPr>
          <w:p>
            <w:pPr>
              <w:spacing w:after="0" w:line="269" w:lineRule="auto"/>
            </w:pPr>
            <w:r>
              <w:rPr>
                <w:rFonts w:ascii="Calibri" w:hAnsi="Calibri"/>
                <w:b/>
                <w:color w:val="243447"/>
                <w:sz w:val="17"/>
              </w:rPr>
              <w:t>Railway worker</w:t>
            </w:r>
          </w:p>
        </w:tc>
        <w:tc>
          <w:tcPr>
            <w:tcW w:type="dxa" w:w="3460"/>
            <w:vAlign w:val="center"/>
            <w:tcMar>
              <w:top w:w="80" w:type="dxa"/>
              <w:start w:w="120" w:type="dxa"/>
              <w:bottom w:w="80" w:type="dxa"/>
              <w:end w:w="120" w:type="dxa"/>
            </w:tcMar>
          </w:tcPr>
          <w:p>
            <w:pPr>
              <w:spacing w:after="0" w:line="269" w:lineRule="auto"/>
            </w:pPr>
            <w:r>
              <w:rPr>
                <w:rFonts w:ascii="Calibri" w:hAnsi="Calibri"/>
                <w:color w:val="243447"/>
                <w:sz w:val="17"/>
              </w:rPr>
              <w:t>Latest production deployment is successful and healthy in Singapore.</w:t>
            </w:r>
          </w:p>
        </w:tc>
        <w:tc>
          <w:tcPr>
            <w:tcW w:type="dxa" w:w="4000"/>
            <w:vAlign w:val="center"/>
            <w:tcMar>
              <w:top w:w="80" w:type="dxa"/>
              <w:start w:w="120" w:type="dxa"/>
              <w:bottom w:w="80" w:type="dxa"/>
              <w:end w:w="120" w:type="dxa"/>
            </w:tcMar>
          </w:tcPr>
          <w:p>
            <w:pPr>
              <w:spacing w:after="0" w:line="269" w:lineRule="auto"/>
            </w:pPr>
            <w:r>
              <w:rPr>
                <w:rFonts w:ascii="Calibri" w:hAnsi="Calibri"/>
                <w:color w:val="243447"/>
                <w:sz w:val="17"/>
              </w:rPr>
              <w:t>Verify alerting, runtime secret rotation, and production log retention.</w:t>
            </w:r>
          </w:p>
        </w:tc>
      </w:tr>
      <w:tr>
        <w:tc>
          <w:tcPr>
            <w:tcW w:type="dxa" w:w="1900"/>
            <w:vAlign w:val="center"/>
            <w:tcMar>
              <w:top w:w="80" w:type="dxa"/>
              <w:start w:w="120" w:type="dxa"/>
              <w:bottom w:w="80" w:type="dxa"/>
              <w:end w:w="120" w:type="dxa"/>
            </w:tcMar>
          </w:tcPr>
          <w:p>
            <w:pPr>
              <w:spacing w:after="0" w:line="269" w:lineRule="auto"/>
            </w:pPr>
            <w:r>
              <w:rPr>
                <w:rFonts w:ascii="Calibri" w:hAnsi="Calibri"/>
                <w:b/>
                <w:color w:val="243447"/>
                <w:sz w:val="17"/>
              </w:rPr>
              <w:t>RevenueCat webhook</w:t>
            </w:r>
          </w:p>
        </w:tc>
        <w:tc>
          <w:tcPr>
            <w:tcW w:type="dxa" w:w="3460"/>
            <w:vAlign w:val="center"/>
            <w:tcMar>
              <w:top w:w="80" w:type="dxa"/>
              <w:start w:w="120" w:type="dxa"/>
              <w:bottom w:w="80" w:type="dxa"/>
              <w:end w:w="120" w:type="dxa"/>
            </w:tcMar>
          </w:tcPr>
          <w:p>
            <w:pPr>
              <w:spacing w:after="0" w:line="269" w:lineRule="auto"/>
            </w:pPr>
            <w:r>
              <w:rPr>
                <w:rFonts w:ascii="Calibri" w:hAnsi="Calibri"/>
                <w:color w:val="243447"/>
                <w:sz w:val="17"/>
              </w:rPr>
              <w:t>Live endpoint returns 503: webhook is not configured.</w:t>
            </w:r>
          </w:p>
        </w:tc>
        <w:tc>
          <w:tcPr>
            <w:tcW w:type="dxa" w:w="4000"/>
            <w:vAlign w:val="center"/>
            <w:tcMar>
              <w:top w:w="80" w:type="dxa"/>
              <w:start w:w="120" w:type="dxa"/>
              <w:bottom w:w="80" w:type="dxa"/>
              <w:end w:w="120" w:type="dxa"/>
            </w:tcMar>
          </w:tcPr>
          <w:p>
            <w:pPr>
              <w:spacing w:after="0" w:line="269" w:lineRule="auto"/>
            </w:pPr>
            <w:r>
              <w:rPr>
                <w:rFonts w:ascii="Calibri" w:hAnsi="Calibri"/>
                <w:color w:val="243447"/>
                <w:sz w:val="17"/>
              </w:rPr>
              <w:t>Set authorization/HMAC secrets, configure RevenueCat, and prove one purchase and restore.</w:t>
            </w:r>
          </w:p>
        </w:tc>
      </w:tr>
      <w:tr>
        <w:tc>
          <w:tcPr>
            <w:tcW w:type="dxa" w:w="1900"/>
            <w:vAlign w:val="center"/>
            <w:tcMar>
              <w:top w:w="80" w:type="dxa"/>
              <w:start w:w="120" w:type="dxa"/>
              <w:bottom w:w="80" w:type="dxa"/>
              <w:end w:w="120" w:type="dxa"/>
            </w:tcMar>
          </w:tcPr>
          <w:p>
            <w:pPr>
              <w:spacing w:after="0" w:line="269" w:lineRule="auto"/>
            </w:pPr>
            <w:r>
              <w:rPr>
                <w:rFonts w:ascii="Calibri" w:hAnsi="Calibri"/>
                <w:b/>
                <w:color w:val="243447"/>
                <w:sz w:val="17"/>
              </w:rPr>
              <w:t>Delete-account function</w:t>
            </w:r>
          </w:p>
        </w:tc>
        <w:tc>
          <w:tcPr>
            <w:tcW w:type="dxa" w:w="3460"/>
            <w:vAlign w:val="center"/>
            <w:tcMar>
              <w:top w:w="80" w:type="dxa"/>
              <w:start w:w="120" w:type="dxa"/>
              <w:bottom w:w="80" w:type="dxa"/>
              <w:end w:w="120" w:type="dxa"/>
            </w:tcMar>
          </w:tcPr>
          <w:p>
            <w:pPr>
              <w:spacing w:after="0" w:line="269" w:lineRule="auto"/>
            </w:pPr>
            <w:r>
              <w:rPr>
                <w:rFonts w:ascii="Calibri" w:hAnsi="Calibri"/>
                <w:color w:val="243447"/>
                <w:sz w:val="17"/>
              </w:rPr>
              <w:t>Version 3 is active with JWT verification and corrected CORS.</w:t>
            </w:r>
          </w:p>
        </w:tc>
        <w:tc>
          <w:tcPr>
            <w:tcW w:type="dxa" w:w="4000"/>
            <w:vAlign w:val="center"/>
            <w:tcMar>
              <w:top w:w="80" w:type="dxa"/>
              <w:start w:w="120" w:type="dxa"/>
              <w:bottom w:w="80" w:type="dxa"/>
              <w:end w:w="120" w:type="dxa"/>
            </w:tcMar>
          </w:tcPr>
          <w:p>
            <w:pPr>
              <w:spacing w:after="0" w:line="269" w:lineRule="auto"/>
            </w:pPr>
            <w:r>
              <w:rPr>
                <w:rFonts w:ascii="Calibri" w:hAnsi="Calibri"/>
                <w:color w:val="243447"/>
                <w:sz w:val="17"/>
              </w:rPr>
              <w:t>Configure purchase cleanup, publish the web route, and complete destructive-flow QA.</w:t>
            </w:r>
          </w:p>
        </w:tc>
      </w:tr>
    </w:tbl>
    <w:p>
      <w:pPr>
        <w:spacing w:after="40" w:before="40"/>
      </w:pPr>
    </w:p>
    <w:p>
      <w:pPr>
        <w:pStyle w:val="Heading2"/>
        <w:keepNext/>
      </w:pPr>
      <w:r>
        <w:t>4.1 Supabase security and authentication</w:t>
      </w:r>
    </w:p>
    <w:p>
      <w:pPr>
        <w:numPr>
          <w:ilvl w:val="0"/>
          <w:numId w:val="41"/>
        </w:numPr>
      </w:pPr>
      <w:r>
        <w:t>Leaked-password protection is disabled and should be enabled before production.</w:t>
      </w:r>
    </w:p>
    <w:p>
      <w:pPr>
        <w:numPr>
          <w:ilvl w:val="0"/>
          <w:numId w:val="41"/>
        </w:numPr>
      </w:pPr>
      <w:r>
        <w:t>Anonymous access is intentional because the product starts with a local/anonymous trial. Its policies should continue to be reviewed as an explicit product decision.</w:t>
      </w:r>
    </w:p>
    <w:p>
      <w:pPr>
        <w:numPr>
          <w:ilvl w:val="0"/>
          <w:numId w:val="41"/>
        </w:numPr>
      </w:pPr>
      <w:r>
        <w:t>Several client-callable SECURITY DEFINER RPCs are flagged by automated advisors. The migrations contain ownership and input checks, but these functions should remain in the release security review.</w:t>
      </w:r>
    </w:p>
    <w:p>
      <w:pPr>
        <w:numPr>
          <w:ilvl w:val="0"/>
          <w:numId w:val="41"/>
        </w:numPr>
      </w:pPr>
      <w:r>
        <w:t>RLS-enabled private tables with no client policies are intentionally server-only and are not themselves a launch blocker.</w:t>
      </w:r>
    </w:p>
    <w:p>
      <w:pPr>
        <w:pStyle w:val="Heading1"/>
        <w:keepNext/>
      </w:pPr>
      <w:r>
        <w:t>5. Privacy, legal, and Play declarations</w:t>
      </w:r>
    </w:p>
    <w:p>
      <w:pPr>
        <w:pStyle w:val="Heading2"/>
        <w:keepNext/>
      </w:pPr>
      <w:r>
        <w:t>5.1 Data safety declaration</w:t>
      </w:r>
    </w:p>
    <w:p>
      <w:r>
        <w:t>The final Data safety form must accurately describe what is collected, why it is collected, whether it is optional, how it is secured, and which processors receive it. At minimum, review the following data categories:</w:t>
      </w:r>
    </w:p>
    <w:p>
      <w:pPr>
        <w:numPr>
          <w:ilvl w:val="0"/>
          <w:numId w:val="41"/>
        </w:numPr>
      </w:pPr>
      <w:r>
        <w:t>Voice recordings and uploaded audio.</w:t>
      </w:r>
    </w:p>
    <w:p>
      <w:pPr>
        <w:numPr>
          <w:ilvl w:val="0"/>
          <w:numId w:val="41"/>
        </w:numPr>
      </w:pPr>
      <w:r>
        <w:t>Email address, Supabase user ID, and authentication/account data.</w:t>
      </w:r>
    </w:p>
    <w:p>
      <w:pPr>
        <w:numPr>
          <w:ilvl w:val="0"/>
          <w:numId w:val="41"/>
        </w:numPr>
      </w:pPr>
      <w:r>
        <w:t>Purchase history and server-authoritative entitlements.</w:t>
      </w:r>
    </w:p>
    <w:p>
      <w:pPr>
        <w:numPr>
          <w:ilvl w:val="0"/>
          <w:numId w:val="41"/>
        </w:numPr>
      </w:pPr>
      <w:r>
        <w:t>Transcripts, reflection text, report audio, and other user-generated content.</w:t>
      </w:r>
    </w:p>
    <w:p>
      <w:pPr>
        <w:numPr>
          <w:ilvl w:val="0"/>
          <w:numId w:val="41"/>
        </w:numPr>
      </w:pPr>
      <w:r>
        <w:t>Device time zone and notification/reminder settings.</w:t>
      </w:r>
    </w:p>
    <w:p>
      <w:pPr>
        <w:numPr>
          <w:ilvl w:val="0"/>
          <w:numId w:val="41"/>
        </w:numPr>
      </w:pPr>
      <w:r>
        <w:t>Diagnostics, crash data, or analytics if these are added before launch.</w:t>
      </w:r>
    </w:p>
    <w:p>
      <w:r>
        <w:t>The declaration and privacy policy must describe processing by Supabase, OpenAI, RevenueCat, Railway, and any future monitoring provider, including encryption, retention, deletion, and optional-vs-required processing.</w:t>
      </w:r>
    </w:p>
    <w:p>
      <w:pPr>
        <w:pStyle w:val="Heading2"/>
        <w:keepNext/>
      </w:pPr>
      <w:r>
        <w:t>5.2 Health and product claims</w:t>
      </w:r>
    </w:p>
    <w:p>
      <w:pPr>
        <w:numPr>
          <w:ilvl w:val="0"/>
          <w:numId w:val="41"/>
        </w:numPr>
      </w:pPr>
      <w:r>
        <w:t>Every Play app must complete the health-app declaration.</w:t>
      </w:r>
    </w:p>
    <w:p>
      <w:pPr>
        <w:numPr>
          <w:ilvl w:val="0"/>
          <w:numId w:val="41"/>
        </w:numPr>
      </w:pPr>
      <w:r>
        <w:t>Because Thirty Nights concerns reflection and may be marketed near stress-management or well-being categories, avoid claims that imply diagnosis, treatment, clinical outcomes, or professional medical guidance.</w:t>
      </w:r>
    </w:p>
    <w:p>
      <w:pPr>
        <w:numPr>
          <w:ilvl w:val="0"/>
          <w:numId w:val="41"/>
        </w:numPr>
      </w:pPr>
      <w:r>
        <w:t>Keep the privacy policy, app copy, store listing, and report language consistent with the product's non-diagnostic positioning.</w:t>
      </w:r>
    </w:p>
    <w:p>
      <w:pPr>
        <w:pStyle w:val="Heading2"/>
        <w:keepNext/>
      </w:pPr>
      <w:r>
        <w:t>5.3 Public legal and support surfaces</w:t>
      </w:r>
    </w:p>
    <w:p>
      <w:pPr>
        <w:numPr>
          <w:ilvl w:val="0"/>
          <w:numId w:val="41"/>
        </w:numPr>
      </w:pPr>
      <w:r>
        <w:t>Publish HTTPS pages for Privacy Policy, Terms of Use, Support, and Delete Account.</w:t>
      </w:r>
    </w:p>
    <w:p>
      <w:pPr>
        <w:numPr>
          <w:ilvl w:val="0"/>
          <w:numId w:val="41"/>
        </w:numPr>
      </w:pPr>
      <w:r>
        <w:t>Verify that each production environment variable points to the final public URL and that every in-app link opens correctly.</w:t>
      </w:r>
    </w:p>
    <w:p>
      <w:pPr>
        <w:numPr>
          <w:ilvl w:val="0"/>
          <w:numId w:val="41"/>
        </w:numPr>
      </w:pPr>
      <w:r>
        <w:t>The web deletion page must explain how to request deletion, what is deleted, what may be retained, and expected timing.</w:t>
      </w:r>
    </w:p>
    <w:p>
      <w:pPr>
        <w:numPr>
          <w:ilvl w:val="0"/>
          <w:numId w:val="41"/>
        </w:numPr>
      </w:pPr>
      <w:r>
        <w:t>Complete a real deletion test that removes Supabase user data, storage objects, processing artifacts, and the RevenueCat customer while preserving required purchase records held by Google Play.</w:t>
      </w:r>
    </w:p>
    <w:p>
      <w:pPr>
        <w:pStyle w:val="Heading1"/>
        <w:keepNext/>
      </w:pPr>
      <w:r>
        <w:t>6. Store listing and creative assets</w:t>
      </w:r>
    </w:p>
    <w:tbl>
      <w:tblPr>
        <w:tblStyle w:val="TableGrid"/>
        <w:tblW w:type="dxa" w:w="9360"/>
        <w:jc w:val="left"/>
        <w:tblLayout w:type="fixed"/>
        <w:tblLook w:firstColumn="1" w:firstRow="1" w:lastColumn="0" w:lastRow="0" w:noHBand="0" w:noVBand="1" w:val="04A0"/>
        <w:tblInd w:w="120" w:type="dxa"/>
      </w:tblPr>
      <w:tblGrid>
        <w:gridCol w:w="2450"/>
        <w:gridCol w:w="3060"/>
        <w:gridCol w:w="3850"/>
      </w:tblGrid>
      <w:tr>
        <w:trPr>
          <w:tblHeader w:val="true"/>
        </w:trPr>
        <w:tc>
          <w:tcPr>
            <w:tcW w:type="dxa" w:w="2450"/>
            <w:shd w:fill="E8EEF5"/>
            <w:vAlign w:val="center"/>
            <w:tcMar>
              <w:top w:w="80" w:type="dxa"/>
              <w:start w:w="120" w:type="dxa"/>
              <w:bottom w:w="80" w:type="dxa"/>
              <w:end w:w="120" w:type="dxa"/>
            </w:tcMar>
          </w:tcPr>
          <w:p>
            <w:pPr>
              <w:spacing w:after="0"/>
              <w:jc w:val="left"/>
            </w:pPr>
            <w:r>
              <w:rPr>
                <w:rFonts w:ascii="Calibri" w:hAnsi="Calibri"/>
                <w:b/>
                <w:color w:val="243447"/>
                <w:sz w:val="19"/>
              </w:rPr>
              <w:t>Asset / listing item</w:t>
            </w:r>
          </w:p>
        </w:tc>
        <w:tc>
          <w:tcPr>
            <w:tcW w:type="dxa" w:w="3060"/>
            <w:shd w:fill="E8EEF5"/>
            <w:vAlign w:val="center"/>
            <w:tcMar>
              <w:top w:w="80" w:type="dxa"/>
              <w:start w:w="120" w:type="dxa"/>
              <w:bottom w:w="80" w:type="dxa"/>
              <w:end w:w="120" w:type="dxa"/>
            </w:tcMar>
          </w:tcPr>
          <w:p>
            <w:pPr>
              <w:spacing w:after="0"/>
              <w:jc w:val="left"/>
            </w:pPr>
            <w:r>
              <w:rPr>
                <w:rFonts w:ascii="Calibri" w:hAnsi="Calibri"/>
                <w:b/>
                <w:color w:val="243447"/>
                <w:sz w:val="19"/>
              </w:rPr>
              <w:t>Play requirement or target</w:t>
            </w:r>
          </w:p>
        </w:tc>
        <w:tc>
          <w:tcPr>
            <w:tcW w:type="dxa" w:w="3850"/>
            <w:shd w:fill="E8EEF5"/>
            <w:vAlign w:val="center"/>
            <w:tcMar>
              <w:top w:w="80" w:type="dxa"/>
              <w:start w:w="120" w:type="dxa"/>
              <w:bottom w:w="80" w:type="dxa"/>
              <w:end w:w="120" w:type="dxa"/>
            </w:tcMar>
          </w:tcPr>
          <w:p>
            <w:pPr>
              <w:spacing w:after="0"/>
              <w:jc w:val="left"/>
            </w:pPr>
            <w:r>
              <w:rPr>
                <w:rFonts w:ascii="Calibri" w:hAnsi="Calibri"/>
                <w:b/>
                <w:color w:val="243447"/>
                <w:sz w:val="19"/>
              </w:rPr>
              <w:t>Current state</w:t>
            </w:r>
          </w:p>
        </w:tc>
      </w:tr>
      <w:tr>
        <w:tc>
          <w:tcPr>
            <w:tcW w:type="dxa" w:w="2450"/>
            <w:vAlign w:val="center"/>
            <w:tcMar>
              <w:top w:w="80" w:type="dxa"/>
              <w:start w:w="120" w:type="dxa"/>
              <w:bottom w:w="80" w:type="dxa"/>
              <w:end w:w="120" w:type="dxa"/>
            </w:tcMar>
          </w:tcPr>
          <w:p>
            <w:pPr>
              <w:spacing w:after="0" w:line="269" w:lineRule="auto"/>
            </w:pPr>
            <w:r>
              <w:rPr>
                <w:rFonts w:ascii="Calibri" w:hAnsi="Calibri"/>
                <w:b/>
                <w:color w:val="243447"/>
                <w:sz w:val="17"/>
              </w:rPr>
              <w:t>Store icon</w:t>
            </w:r>
          </w:p>
        </w:tc>
        <w:tc>
          <w:tcPr>
            <w:tcW w:type="dxa" w:w="3060"/>
            <w:vAlign w:val="center"/>
            <w:tcMar>
              <w:top w:w="80" w:type="dxa"/>
              <w:start w:w="120" w:type="dxa"/>
              <w:bottom w:w="80" w:type="dxa"/>
              <w:end w:w="120" w:type="dxa"/>
            </w:tcMar>
          </w:tcPr>
          <w:p>
            <w:pPr>
              <w:spacing w:after="0" w:line="269" w:lineRule="auto"/>
            </w:pPr>
            <w:r>
              <w:rPr>
                <w:rFonts w:ascii="Calibri" w:hAnsi="Calibri"/>
                <w:color w:val="243447"/>
                <w:sz w:val="17"/>
              </w:rPr>
              <w:t>512 x 512 PNG</w:t>
            </w:r>
          </w:p>
        </w:tc>
        <w:tc>
          <w:tcPr>
            <w:tcW w:type="dxa" w:w="3850"/>
            <w:vAlign w:val="center"/>
            <w:tcMar>
              <w:top w:w="80" w:type="dxa"/>
              <w:start w:w="120" w:type="dxa"/>
              <w:bottom w:w="80" w:type="dxa"/>
              <w:end w:w="120" w:type="dxa"/>
            </w:tcMar>
          </w:tcPr>
          <w:p>
            <w:pPr>
              <w:spacing w:after="0" w:line="269" w:lineRule="auto"/>
            </w:pPr>
            <w:r>
              <w:rPr>
                <w:rFonts w:ascii="Calibri" w:hAnsi="Calibri"/>
                <w:color w:val="243447"/>
                <w:sz w:val="17"/>
              </w:rPr>
              <w:t>Not dedicated; derivable from assets/app/icon.png.</w:t>
            </w:r>
          </w:p>
        </w:tc>
      </w:tr>
      <w:tr>
        <w:tc>
          <w:tcPr>
            <w:tcW w:type="dxa" w:w="2450"/>
            <w:vAlign w:val="center"/>
            <w:tcMar>
              <w:top w:w="80" w:type="dxa"/>
              <w:start w:w="120" w:type="dxa"/>
              <w:bottom w:w="80" w:type="dxa"/>
              <w:end w:w="120" w:type="dxa"/>
            </w:tcMar>
          </w:tcPr>
          <w:p>
            <w:pPr>
              <w:spacing w:after="0" w:line="269" w:lineRule="auto"/>
            </w:pPr>
            <w:r>
              <w:rPr>
                <w:rFonts w:ascii="Calibri" w:hAnsi="Calibri"/>
                <w:b/>
                <w:color w:val="243447"/>
                <w:sz w:val="17"/>
              </w:rPr>
              <w:t>Feature graphic</w:t>
            </w:r>
          </w:p>
        </w:tc>
        <w:tc>
          <w:tcPr>
            <w:tcW w:type="dxa" w:w="3060"/>
            <w:vAlign w:val="center"/>
            <w:tcMar>
              <w:top w:w="80" w:type="dxa"/>
              <w:start w:w="120" w:type="dxa"/>
              <w:bottom w:w="80" w:type="dxa"/>
              <w:end w:w="120" w:type="dxa"/>
            </w:tcMar>
          </w:tcPr>
          <w:p>
            <w:pPr>
              <w:spacing w:after="0" w:line="269" w:lineRule="auto"/>
            </w:pPr>
            <w:r>
              <w:rPr>
                <w:rFonts w:ascii="Calibri" w:hAnsi="Calibri"/>
                <w:color w:val="243447"/>
                <w:sz w:val="17"/>
              </w:rPr>
              <w:t>1024 x 500</w:t>
            </w:r>
          </w:p>
        </w:tc>
        <w:tc>
          <w:tcPr>
            <w:tcW w:type="dxa" w:w="3850"/>
            <w:vAlign w:val="center"/>
            <w:tcMar>
              <w:top w:w="80" w:type="dxa"/>
              <w:start w:w="120" w:type="dxa"/>
              <w:bottom w:w="80" w:type="dxa"/>
              <w:end w:w="120" w:type="dxa"/>
            </w:tcMar>
          </w:tcPr>
          <w:p>
            <w:pPr>
              <w:spacing w:after="0" w:line="269" w:lineRule="auto"/>
            </w:pPr>
            <w:r>
              <w:rPr>
                <w:rFonts w:ascii="Calibri" w:hAnsi="Calibri"/>
                <w:color w:val="243447"/>
                <w:sz w:val="17"/>
              </w:rPr>
              <w:t>Missing.</w:t>
            </w:r>
          </w:p>
        </w:tc>
      </w:tr>
      <w:tr>
        <w:tc>
          <w:tcPr>
            <w:tcW w:type="dxa" w:w="2450"/>
            <w:vAlign w:val="center"/>
            <w:tcMar>
              <w:top w:w="80" w:type="dxa"/>
              <w:start w:w="120" w:type="dxa"/>
              <w:bottom w:w="80" w:type="dxa"/>
              <w:end w:w="120" w:type="dxa"/>
            </w:tcMar>
          </w:tcPr>
          <w:p>
            <w:pPr>
              <w:spacing w:after="0" w:line="269" w:lineRule="auto"/>
            </w:pPr>
            <w:r>
              <w:rPr>
                <w:rFonts w:ascii="Calibri" w:hAnsi="Calibri"/>
                <w:b/>
                <w:color w:val="243447"/>
                <w:sz w:val="17"/>
              </w:rPr>
              <w:t>Phone screenshots</w:t>
            </w:r>
          </w:p>
        </w:tc>
        <w:tc>
          <w:tcPr>
            <w:tcW w:type="dxa" w:w="3060"/>
            <w:vAlign w:val="center"/>
            <w:tcMar>
              <w:top w:w="80" w:type="dxa"/>
              <w:start w:w="120" w:type="dxa"/>
              <w:bottom w:w="80" w:type="dxa"/>
              <w:end w:w="120" w:type="dxa"/>
            </w:tcMar>
          </w:tcPr>
          <w:p>
            <w:pPr>
              <w:spacing w:after="0" w:line="269" w:lineRule="auto"/>
            </w:pPr>
            <w:r>
              <w:rPr>
                <w:rFonts w:ascii="Calibri" w:hAnsi="Calibri"/>
                <w:color w:val="243447"/>
                <w:sz w:val="17"/>
              </w:rPr>
              <w:t>Minimum 2; recommended 4 strong portrait images</w:t>
            </w:r>
          </w:p>
        </w:tc>
        <w:tc>
          <w:tcPr>
            <w:tcW w:type="dxa" w:w="3850"/>
            <w:vAlign w:val="center"/>
            <w:tcMar>
              <w:top w:w="80" w:type="dxa"/>
              <w:start w:w="120" w:type="dxa"/>
              <w:bottom w:w="80" w:type="dxa"/>
              <w:end w:w="120" w:type="dxa"/>
            </w:tcMar>
          </w:tcPr>
          <w:p>
            <w:pPr>
              <w:spacing w:after="0" w:line="269" w:lineRule="auto"/>
            </w:pPr>
            <w:r>
              <w:rPr>
                <w:rFonts w:ascii="Calibri" w:hAnsi="Calibri"/>
                <w:color w:val="243447"/>
                <w:sz w:val="17"/>
              </w:rPr>
              <w:t>39 development captures exist, but a clean production set is missing.</w:t>
            </w:r>
          </w:p>
        </w:tc>
      </w:tr>
    </w:tbl>
    <w:p>
      <w:pPr>
        <w:spacing w:after="40" w:before="40"/>
      </w:pPr>
    </w:p>
    <w:p>
      <w:r>
        <w:t>The final screenshots should come from a signed production-like Android build and must not contain developer controls, placeholder prices, unavailable-store messages, account errors, or incomplete setup unless those states are intentionally being explained.</w:t>
      </w:r>
    </w:p>
    <w:p>
      <w:pPr>
        <w:pStyle w:val="Heading2"/>
        <w:keepNext/>
      </w:pPr>
      <w:r>
        <w:t>6.1 Listing metadata</w:t>
      </w:r>
    </w:p>
    <w:tbl>
      <w:tblPr>
        <w:tblStyle w:val="TableGrid"/>
        <w:tblW w:type="dxa" w:w="9360"/>
        <w:jc w:val="left"/>
        <w:tblLayout w:type="fixed"/>
        <w:tblLook w:firstColumn="1" w:firstRow="1" w:lastColumn="0" w:lastRow="0" w:noHBand="0" w:noVBand="1" w:val="04A0"/>
        <w:tblInd w:w="120" w:type="dxa"/>
      </w:tblPr>
      <w:tblGrid>
        <w:gridCol w:w="2450"/>
        <w:gridCol w:w="3060"/>
        <w:gridCol w:w="3850"/>
      </w:tblGrid>
      <w:tr>
        <w:trPr>
          <w:tblHeader w:val="true"/>
        </w:trPr>
        <w:tc>
          <w:tcPr>
            <w:tcW w:type="dxa" w:w="2450"/>
            <w:shd w:fill="E8EEF5"/>
            <w:vAlign w:val="center"/>
            <w:tcMar>
              <w:top w:w="80" w:type="dxa"/>
              <w:start w:w="120" w:type="dxa"/>
              <w:bottom w:w="80" w:type="dxa"/>
              <w:end w:w="120" w:type="dxa"/>
            </w:tcMar>
          </w:tcPr>
          <w:p>
            <w:pPr>
              <w:spacing w:after="0"/>
              <w:jc w:val="left"/>
            </w:pPr>
            <w:r>
              <w:rPr>
                <w:rFonts w:ascii="Calibri" w:hAnsi="Calibri"/>
                <w:b/>
                <w:color w:val="243447"/>
                <w:sz w:val="19"/>
              </w:rPr>
              <w:t>Listing item</w:t>
            </w:r>
          </w:p>
        </w:tc>
        <w:tc>
          <w:tcPr>
            <w:tcW w:type="dxa" w:w="3060"/>
            <w:shd w:fill="E8EEF5"/>
            <w:vAlign w:val="center"/>
            <w:tcMar>
              <w:top w:w="80" w:type="dxa"/>
              <w:start w:w="120" w:type="dxa"/>
              <w:bottom w:w="80" w:type="dxa"/>
              <w:end w:w="120" w:type="dxa"/>
            </w:tcMar>
          </w:tcPr>
          <w:p>
            <w:pPr>
              <w:spacing w:after="0"/>
              <w:jc w:val="left"/>
            </w:pPr>
            <w:r>
              <w:rPr>
                <w:rFonts w:ascii="Calibri" w:hAnsi="Calibri"/>
                <w:b/>
                <w:color w:val="243447"/>
                <w:sz w:val="19"/>
              </w:rPr>
              <w:t>Play requirement or target</w:t>
            </w:r>
          </w:p>
        </w:tc>
        <w:tc>
          <w:tcPr>
            <w:tcW w:type="dxa" w:w="3850"/>
            <w:shd w:fill="E8EEF5"/>
            <w:vAlign w:val="center"/>
            <w:tcMar>
              <w:top w:w="80" w:type="dxa"/>
              <w:start w:w="120" w:type="dxa"/>
              <w:bottom w:w="80" w:type="dxa"/>
              <w:end w:w="120" w:type="dxa"/>
            </w:tcMar>
          </w:tcPr>
          <w:p>
            <w:pPr>
              <w:spacing w:after="0"/>
              <w:jc w:val="left"/>
            </w:pPr>
            <w:r>
              <w:rPr>
                <w:rFonts w:ascii="Calibri" w:hAnsi="Calibri"/>
                <w:b/>
                <w:color w:val="243447"/>
                <w:sz w:val="19"/>
              </w:rPr>
              <w:t>Current state</w:t>
            </w:r>
          </w:p>
        </w:tc>
      </w:tr>
      <w:tr>
        <w:tc>
          <w:tcPr>
            <w:tcW w:type="dxa" w:w="2450"/>
            <w:vAlign w:val="center"/>
            <w:tcMar>
              <w:top w:w="80" w:type="dxa"/>
              <w:start w:w="120" w:type="dxa"/>
              <w:bottom w:w="80" w:type="dxa"/>
              <w:end w:w="120" w:type="dxa"/>
            </w:tcMar>
          </w:tcPr>
          <w:p>
            <w:pPr>
              <w:spacing w:after="0" w:line="269" w:lineRule="auto"/>
            </w:pPr>
            <w:r>
              <w:rPr>
                <w:rFonts w:ascii="Calibri" w:hAnsi="Calibri"/>
                <w:b/>
                <w:color w:val="243447"/>
                <w:sz w:val="17"/>
              </w:rPr>
              <w:t>App title</w:t>
            </w:r>
          </w:p>
        </w:tc>
        <w:tc>
          <w:tcPr>
            <w:tcW w:type="dxa" w:w="3060"/>
            <w:vAlign w:val="center"/>
            <w:tcMar>
              <w:top w:w="80" w:type="dxa"/>
              <w:start w:w="120" w:type="dxa"/>
              <w:bottom w:w="80" w:type="dxa"/>
              <w:end w:w="120" w:type="dxa"/>
            </w:tcMar>
          </w:tcPr>
          <w:p>
            <w:pPr>
              <w:spacing w:after="0" w:line="269" w:lineRule="auto"/>
            </w:pPr>
            <w:r>
              <w:rPr>
                <w:rFonts w:ascii="Calibri" w:hAnsi="Calibri"/>
                <w:color w:val="243447"/>
                <w:sz w:val="17"/>
              </w:rPr>
              <w:t>30 characters maximum</w:t>
            </w:r>
          </w:p>
        </w:tc>
        <w:tc>
          <w:tcPr>
            <w:tcW w:type="dxa" w:w="3850"/>
            <w:vAlign w:val="center"/>
            <w:tcMar>
              <w:top w:w="80" w:type="dxa"/>
              <w:start w:w="120" w:type="dxa"/>
              <w:bottom w:w="80" w:type="dxa"/>
              <w:end w:w="120" w:type="dxa"/>
            </w:tcMar>
          </w:tcPr>
          <w:p>
            <w:pPr>
              <w:spacing w:after="0" w:line="269" w:lineRule="auto"/>
            </w:pPr>
            <w:r>
              <w:rPr>
                <w:rFonts w:ascii="Calibri" w:hAnsi="Calibri"/>
                <w:color w:val="243447"/>
                <w:sz w:val="17"/>
              </w:rPr>
              <w:t>Not finalized in a Play listing package.</w:t>
            </w:r>
          </w:p>
        </w:tc>
      </w:tr>
      <w:tr>
        <w:tc>
          <w:tcPr>
            <w:tcW w:type="dxa" w:w="2450"/>
            <w:vAlign w:val="center"/>
            <w:tcMar>
              <w:top w:w="80" w:type="dxa"/>
              <w:start w:w="120" w:type="dxa"/>
              <w:bottom w:w="80" w:type="dxa"/>
              <w:end w:w="120" w:type="dxa"/>
            </w:tcMar>
          </w:tcPr>
          <w:p>
            <w:pPr>
              <w:spacing w:after="0" w:line="269" w:lineRule="auto"/>
            </w:pPr>
            <w:r>
              <w:rPr>
                <w:rFonts w:ascii="Calibri" w:hAnsi="Calibri"/>
                <w:b/>
                <w:color w:val="243447"/>
                <w:sz w:val="17"/>
              </w:rPr>
              <w:t>Short description</w:t>
            </w:r>
          </w:p>
        </w:tc>
        <w:tc>
          <w:tcPr>
            <w:tcW w:type="dxa" w:w="3060"/>
            <w:vAlign w:val="center"/>
            <w:tcMar>
              <w:top w:w="80" w:type="dxa"/>
              <w:start w:w="120" w:type="dxa"/>
              <w:bottom w:w="80" w:type="dxa"/>
              <w:end w:w="120" w:type="dxa"/>
            </w:tcMar>
          </w:tcPr>
          <w:p>
            <w:pPr>
              <w:spacing w:after="0" w:line="269" w:lineRule="auto"/>
            </w:pPr>
            <w:r>
              <w:rPr>
                <w:rFonts w:ascii="Calibri" w:hAnsi="Calibri"/>
                <w:color w:val="243447"/>
                <w:sz w:val="17"/>
              </w:rPr>
              <w:t>80 characters maximum</w:t>
            </w:r>
          </w:p>
        </w:tc>
        <w:tc>
          <w:tcPr>
            <w:tcW w:type="dxa" w:w="3850"/>
            <w:vAlign w:val="center"/>
            <w:tcMar>
              <w:top w:w="80" w:type="dxa"/>
              <w:start w:w="120" w:type="dxa"/>
              <w:bottom w:w="80" w:type="dxa"/>
              <w:end w:w="120" w:type="dxa"/>
            </w:tcMar>
          </w:tcPr>
          <w:p>
            <w:pPr>
              <w:spacing w:after="0" w:line="269" w:lineRule="auto"/>
            </w:pPr>
            <w:r>
              <w:rPr>
                <w:rFonts w:ascii="Calibri" w:hAnsi="Calibri"/>
                <w:color w:val="243447"/>
                <w:sz w:val="17"/>
              </w:rPr>
              <w:t>Missing or unverified.</w:t>
            </w:r>
          </w:p>
        </w:tc>
      </w:tr>
      <w:tr>
        <w:tc>
          <w:tcPr>
            <w:tcW w:type="dxa" w:w="2450"/>
            <w:vAlign w:val="center"/>
            <w:tcMar>
              <w:top w:w="80" w:type="dxa"/>
              <w:start w:w="120" w:type="dxa"/>
              <w:bottom w:w="80" w:type="dxa"/>
              <w:end w:w="120" w:type="dxa"/>
            </w:tcMar>
          </w:tcPr>
          <w:p>
            <w:pPr>
              <w:spacing w:after="0" w:line="269" w:lineRule="auto"/>
            </w:pPr>
            <w:r>
              <w:rPr>
                <w:rFonts w:ascii="Calibri" w:hAnsi="Calibri"/>
                <w:b/>
                <w:color w:val="243447"/>
                <w:sz w:val="17"/>
              </w:rPr>
              <w:t>Full description</w:t>
            </w:r>
          </w:p>
        </w:tc>
        <w:tc>
          <w:tcPr>
            <w:tcW w:type="dxa" w:w="3060"/>
            <w:vAlign w:val="center"/>
            <w:tcMar>
              <w:top w:w="80" w:type="dxa"/>
              <w:start w:w="120" w:type="dxa"/>
              <w:bottom w:w="80" w:type="dxa"/>
              <w:end w:w="120" w:type="dxa"/>
            </w:tcMar>
          </w:tcPr>
          <w:p>
            <w:pPr>
              <w:spacing w:after="0" w:line="269" w:lineRule="auto"/>
            </w:pPr>
            <w:r>
              <w:rPr>
                <w:rFonts w:ascii="Calibri" w:hAnsi="Calibri"/>
                <w:color w:val="243447"/>
                <w:sz w:val="17"/>
              </w:rPr>
              <w:t>4,000 characters maximum</w:t>
            </w:r>
          </w:p>
        </w:tc>
        <w:tc>
          <w:tcPr>
            <w:tcW w:type="dxa" w:w="3850"/>
            <w:vAlign w:val="center"/>
            <w:tcMar>
              <w:top w:w="80" w:type="dxa"/>
              <w:start w:w="120" w:type="dxa"/>
              <w:bottom w:w="80" w:type="dxa"/>
              <w:end w:w="120" w:type="dxa"/>
            </w:tcMar>
          </w:tcPr>
          <w:p>
            <w:pPr>
              <w:spacing w:after="0" w:line="269" w:lineRule="auto"/>
            </w:pPr>
            <w:r>
              <w:rPr>
                <w:rFonts w:ascii="Calibri" w:hAnsi="Calibri"/>
                <w:color w:val="243447"/>
                <w:sz w:val="17"/>
              </w:rPr>
              <w:t>Missing or unverified.</w:t>
            </w:r>
          </w:p>
        </w:tc>
      </w:tr>
      <w:tr>
        <w:tc>
          <w:tcPr>
            <w:tcW w:type="dxa" w:w="2450"/>
            <w:vAlign w:val="center"/>
            <w:tcMar>
              <w:top w:w="80" w:type="dxa"/>
              <w:start w:w="120" w:type="dxa"/>
              <w:bottom w:w="80" w:type="dxa"/>
              <w:end w:w="120" w:type="dxa"/>
            </w:tcMar>
          </w:tcPr>
          <w:p>
            <w:pPr>
              <w:spacing w:after="0" w:line="269" w:lineRule="auto"/>
            </w:pPr>
            <w:r>
              <w:rPr>
                <w:rFonts w:ascii="Calibri" w:hAnsi="Calibri"/>
                <w:b/>
                <w:color w:val="243447"/>
                <w:sz w:val="17"/>
              </w:rPr>
              <w:t>Release notes</w:t>
            </w:r>
          </w:p>
        </w:tc>
        <w:tc>
          <w:tcPr>
            <w:tcW w:type="dxa" w:w="3060"/>
            <w:vAlign w:val="center"/>
            <w:tcMar>
              <w:top w:w="80" w:type="dxa"/>
              <w:start w:w="120" w:type="dxa"/>
              <w:bottom w:w="80" w:type="dxa"/>
              <w:end w:w="120" w:type="dxa"/>
            </w:tcMar>
          </w:tcPr>
          <w:p>
            <w:pPr>
              <w:spacing w:after="0" w:line="269" w:lineRule="auto"/>
            </w:pPr>
            <w:r>
              <w:rPr>
                <w:rFonts w:ascii="Calibri" w:hAnsi="Calibri"/>
                <w:color w:val="243447"/>
                <w:sz w:val="17"/>
              </w:rPr>
              <w:t>Track-specific first-release notes</w:t>
            </w:r>
          </w:p>
        </w:tc>
        <w:tc>
          <w:tcPr>
            <w:tcW w:type="dxa" w:w="3850"/>
            <w:vAlign w:val="center"/>
            <w:tcMar>
              <w:top w:w="80" w:type="dxa"/>
              <w:start w:w="120" w:type="dxa"/>
              <w:bottom w:w="80" w:type="dxa"/>
              <w:end w:w="120" w:type="dxa"/>
            </w:tcMar>
          </w:tcPr>
          <w:p>
            <w:pPr>
              <w:spacing w:after="0" w:line="269" w:lineRule="auto"/>
            </w:pPr>
            <w:r>
              <w:rPr>
                <w:rFonts w:ascii="Calibri" w:hAnsi="Calibri"/>
                <w:color w:val="243447"/>
                <w:sz w:val="17"/>
              </w:rPr>
              <w:t>Missing or unverified.</w:t>
            </w:r>
          </w:p>
        </w:tc>
      </w:tr>
      <w:tr>
        <w:tc>
          <w:tcPr>
            <w:tcW w:type="dxa" w:w="2450"/>
            <w:vAlign w:val="center"/>
            <w:tcMar>
              <w:top w:w="80" w:type="dxa"/>
              <w:start w:w="120" w:type="dxa"/>
              <w:bottom w:w="80" w:type="dxa"/>
              <w:end w:w="120" w:type="dxa"/>
            </w:tcMar>
          </w:tcPr>
          <w:p>
            <w:pPr>
              <w:spacing w:after="0" w:line="269" w:lineRule="auto"/>
            </w:pPr>
            <w:r>
              <w:rPr>
                <w:rFonts w:ascii="Calibri" w:hAnsi="Calibri"/>
                <w:b/>
                <w:color w:val="243447"/>
                <w:sz w:val="17"/>
              </w:rPr>
              <w:t>Category and tags</w:t>
            </w:r>
          </w:p>
        </w:tc>
        <w:tc>
          <w:tcPr>
            <w:tcW w:type="dxa" w:w="3060"/>
            <w:vAlign w:val="center"/>
            <w:tcMar>
              <w:top w:w="80" w:type="dxa"/>
              <w:start w:w="120" w:type="dxa"/>
              <w:bottom w:w="80" w:type="dxa"/>
              <w:end w:w="120" w:type="dxa"/>
            </w:tcMar>
          </w:tcPr>
          <w:p>
            <w:pPr>
              <w:spacing w:after="0" w:line="269" w:lineRule="auto"/>
            </w:pPr>
            <w:r>
              <w:rPr>
                <w:rFonts w:ascii="Calibri" w:hAnsi="Calibri"/>
                <w:color w:val="243447"/>
                <w:sz w:val="17"/>
              </w:rPr>
              <w:t>Accurate product classification</w:t>
            </w:r>
          </w:p>
        </w:tc>
        <w:tc>
          <w:tcPr>
            <w:tcW w:type="dxa" w:w="3850"/>
            <w:vAlign w:val="center"/>
            <w:tcMar>
              <w:top w:w="80" w:type="dxa"/>
              <w:start w:w="120" w:type="dxa"/>
              <w:bottom w:w="80" w:type="dxa"/>
              <w:end w:w="120" w:type="dxa"/>
            </w:tcMar>
          </w:tcPr>
          <w:p>
            <w:pPr>
              <w:spacing w:after="0" w:line="269" w:lineRule="auto"/>
            </w:pPr>
            <w:r>
              <w:rPr>
                <w:rFonts w:ascii="Calibri" w:hAnsi="Calibri"/>
                <w:color w:val="243447"/>
                <w:sz w:val="17"/>
              </w:rPr>
              <w:t>Not verified.</w:t>
            </w:r>
          </w:p>
        </w:tc>
      </w:tr>
      <w:tr>
        <w:tc>
          <w:tcPr>
            <w:tcW w:type="dxa" w:w="2450"/>
            <w:vAlign w:val="center"/>
            <w:tcMar>
              <w:top w:w="80" w:type="dxa"/>
              <w:start w:w="120" w:type="dxa"/>
              <w:bottom w:w="80" w:type="dxa"/>
              <w:end w:w="120" w:type="dxa"/>
            </w:tcMar>
          </w:tcPr>
          <w:p>
            <w:pPr>
              <w:spacing w:after="0" w:line="269" w:lineRule="auto"/>
            </w:pPr>
            <w:r>
              <w:rPr>
                <w:rFonts w:ascii="Calibri" w:hAnsi="Calibri"/>
                <w:b/>
                <w:color w:val="243447"/>
                <w:sz w:val="17"/>
              </w:rPr>
              <w:t>Support contact</w:t>
            </w:r>
          </w:p>
        </w:tc>
        <w:tc>
          <w:tcPr>
            <w:tcW w:type="dxa" w:w="3060"/>
            <w:vAlign w:val="center"/>
            <w:tcMar>
              <w:top w:w="80" w:type="dxa"/>
              <w:start w:w="120" w:type="dxa"/>
              <w:bottom w:w="80" w:type="dxa"/>
              <w:end w:w="120" w:type="dxa"/>
            </w:tcMar>
          </w:tcPr>
          <w:p>
            <w:pPr>
              <w:spacing w:after="0" w:line="269" w:lineRule="auto"/>
            </w:pPr>
            <w:r>
              <w:rPr>
                <w:rFonts w:ascii="Calibri" w:hAnsi="Calibri"/>
                <w:color w:val="243447"/>
                <w:sz w:val="17"/>
              </w:rPr>
              <w:t>Public support email/URL</w:t>
            </w:r>
          </w:p>
        </w:tc>
        <w:tc>
          <w:tcPr>
            <w:tcW w:type="dxa" w:w="3850"/>
            <w:vAlign w:val="center"/>
            <w:tcMar>
              <w:top w:w="80" w:type="dxa"/>
              <w:start w:w="120" w:type="dxa"/>
              <w:bottom w:w="80" w:type="dxa"/>
              <w:end w:w="120" w:type="dxa"/>
            </w:tcMar>
          </w:tcPr>
          <w:p>
            <w:pPr>
              <w:spacing w:after="0" w:line="269" w:lineRule="auto"/>
            </w:pPr>
            <w:r>
              <w:rPr>
                <w:rFonts w:ascii="Calibri" w:hAnsi="Calibri"/>
                <w:color w:val="243447"/>
                <w:sz w:val="17"/>
              </w:rPr>
              <w:t>Production destination not verified.</w:t>
            </w:r>
          </w:p>
        </w:tc>
      </w:tr>
    </w:tbl>
    <w:p>
      <w:pPr>
        <w:spacing w:after="40" w:before="40"/>
      </w:pPr>
    </w:p>
    <w:p>
      <w:pPr>
        <w:pStyle w:val="Heading1"/>
        <w:keepNext/>
      </w:pPr>
      <w:r>
        <w:t>7. Play Console completion checklist</w:t>
      </w:r>
    </w:p>
    <w:tbl>
      <w:tblPr>
        <w:tblStyle w:val="TableGrid"/>
        <w:tblW w:type="dxa" w:w="9360"/>
        <w:jc w:val="left"/>
        <w:tblLayout w:type="fixed"/>
        <w:tblLook w:firstColumn="1" w:firstRow="1" w:lastColumn="0" w:lastRow="0" w:noHBand="0" w:noVBand="1" w:val="04A0"/>
        <w:tblInd w:w="120" w:type="dxa"/>
      </w:tblPr>
      <w:tblGrid>
        <w:gridCol w:w="2700"/>
        <w:gridCol w:w="1450"/>
        <w:gridCol w:w="5210"/>
      </w:tblGrid>
      <w:tr>
        <w:trPr>
          <w:tblHeader w:val="true"/>
        </w:trPr>
        <w:tc>
          <w:tcPr>
            <w:tcW w:type="dxa" w:w="2700"/>
            <w:shd w:fill="E8EEF5"/>
            <w:vAlign w:val="center"/>
            <w:tcMar>
              <w:top w:w="80" w:type="dxa"/>
              <w:start w:w="120" w:type="dxa"/>
              <w:bottom w:w="80" w:type="dxa"/>
              <w:end w:w="120" w:type="dxa"/>
            </w:tcMar>
          </w:tcPr>
          <w:p>
            <w:pPr>
              <w:spacing w:after="0"/>
              <w:jc w:val="left"/>
            </w:pPr>
            <w:r>
              <w:rPr>
                <w:rFonts w:ascii="Calibri" w:hAnsi="Calibri"/>
                <w:b/>
                <w:color w:val="243447"/>
                <w:sz w:val="19"/>
              </w:rPr>
              <w:t>Console item</w:t>
            </w:r>
          </w:p>
        </w:tc>
        <w:tc>
          <w:tcPr>
            <w:tcW w:type="dxa" w:w="1450"/>
            <w:shd w:fill="E8EEF5"/>
            <w:vAlign w:val="center"/>
            <w:tcMar>
              <w:top w:w="80" w:type="dxa"/>
              <w:start w:w="120" w:type="dxa"/>
              <w:bottom w:w="80" w:type="dxa"/>
              <w:end w:w="120" w:type="dxa"/>
            </w:tcMar>
          </w:tcPr>
          <w:p>
            <w:pPr>
              <w:spacing w:after="0"/>
              <w:jc w:val="left"/>
            </w:pPr>
            <w:r>
              <w:rPr>
                <w:rFonts w:ascii="Calibri" w:hAnsi="Calibri"/>
                <w:b/>
                <w:color w:val="243447"/>
                <w:sz w:val="19"/>
              </w:rPr>
              <w:t>Status</w:t>
            </w:r>
          </w:p>
        </w:tc>
        <w:tc>
          <w:tcPr>
            <w:tcW w:type="dxa" w:w="5210"/>
            <w:shd w:fill="E8EEF5"/>
            <w:vAlign w:val="center"/>
            <w:tcMar>
              <w:top w:w="80" w:type="dxa"/>
              <w:start w:w="120" w:type="dxa"/>
              <w:bottom w:w="80" w:type="dxa"/>
              <w:end w:w="120" w:type="dxa"/>
            </w:tcMar>
          </w:tcPr>
          <w:p>
            <w:pPr>
              <w:spacing w:after="0"/>
              <w:jc w:val="left"/>
            </w:pPr>
            <w:r>
              <w:rPr>
                <w:rFonts w:ascii="Calibri" w:hAnsi="Calibri"/>
                <w:b/>
                <w:color w:val="243447"/>
                <w:sz w:val="19"/>
              </w:rPr>
              <w:t>Required action</w:t>
            </w:r>
          </w:p>
        </w:tc>
      </w:tr>
      <w:tr>
        <w:tc>
          <w:tcPr>
            <w:tcW w:type="dxa" w:w="2700"/>
            <w:vAlign w:val="center"/>
            <w:tcMar>
              <w:top w:w="80" w:type="dxa"/>
              <w:start w:w="120" w:type="dxa"/>
              <w:bottom w:w="80" w:type="dxa"/>
              <w:end w:w="120" w:type="dxa"/>
            </w:tcMar>
          </w:tcPr>
          <w:p>
            <w:pPr>
              <w:spacing w:after="0" w:line="269" w:lineRule="auto"/>
            </w:pPr>
            <w:r>
              <w:rPr>
                <w:rFonts w:ascii="Calibri" w:hAnsi="Calibri"/>
                <w:b/>
                <w:color w:val="243447"/>
                <w:sz w:val="17"/>
              </w:rPr>
              <w:t>App record and package name</w:t>
            </w:r>
          </w:p>
        </w:tc>
        <w:tc>
          <w:tcPr>
            <w:tcW w:type="dxa" w:w="1450"/>
            <w:vAlign w:val="center"/>
            <w:tcMar>
              <w:top w:w="80" w:type="dxa"/>
              <w:start w:w="120" w:type="dxa"/>
              <w:bottom w:w="80" w:type="dxa"/>
              <w:end w:w="120" w:type="dxa"/>
            </w:tcMar>
          </w:tcPr>
          <w:p>
            <w:pPr>
              <w:spacing w:after="0" w:line="269" w:lineRule="auto"/>
            </w:pPr>
            <w:r>
              <w:rPr>
                <w:rFonts w:ascii="Calibri" w:hAnsi="Calibri"/>
                <w:color w:val="243447"/>
                <w:sz w:val="17"/>
              </w:rPr>
              <w:t>UNVERIFIED</w:t>
            </w:r>
          </w:p>
        </w:tc>
        <w:tc>
          <w:tcPr>
            <w:tcW w:type="dxa" w:w="5210"/>
            <w:vAlign w:val="center"/>
            <w:tcMar>
              <w:top w:w="80" w:type="dxa"/>
              <w:start w:w="120" w:type="dxa"/>
              <w:bottom w:w="80" w:type="dxa"/>
              <w:end w:w="120" w:type="dxa"/>
            </w:tcMar>
          </w:tcPr>
          <w:p>
            <w:pPr>
              <w:spacing w:after="0" w:line="269" w:lineRule="auto"/>
            </w:pPr>
            <w:r>
              <w:rPr>
                <w:rFonts w:ascii="Calibri" w:hAnsi="Calibri"/>
                <w:color w:val="243447"/>
                <w:sz w:val="17"/>
              </w:rPr>
              <w:t>Confirm com.thirtynights.app is reserved in the intended developer account.</w:t>
            </w:r>
          </w:p>
        </w:tc>
      </w:tr>
      <w:tr>
        <w:tc>
          <w:tcPr>
            <w:tcW w:type="dxa" w:w="2700"/>
            <w:vAlign w:val="center"/>
            <w:tcMar>
              <w:top w:w="80" w:type="dxa"/>
              <w:start w:w="120" w:type="dxa"/>
              <w:bottom w:w="80" w:type="dxa"/>
              <w:end w:w="120" w:type="dxa"/>
            </w:tcMar>
          </w:tcPr>
          <w:p>
            <w:pPr>
              <w:spacing w:after="0" w:line="269" w:lineRule="auto"/>
            </w:pPr>
            <w:r>
              <w:rPr>
                <w:rFonts w:ascii="Calibri" w:hAnsi="Calibri"/>
                <w:b/>
                <w:color w:val="243447"/>
                <w:sz w:val="17"/>
              </w:rPr>
              <w:t>Developer identity</w:t>
            </w:r>
          </w:p>
        </w:tc>
        <w:tc>
          <w:tcPr>
            <w:tcW w:type="dxa" w:w="1450"/>
            <w:vAlign w:val="center"/>
            <w:tcMar>
              <w:top w:w="80" w:type="dxa"/>
              <w:start w:w="120" w:type="dxa"/>
              <w:bottom w:w="80" w:type="dxa"/>
              <w:end w:w="120" w:type="dxa"/>
            </w:tcMar>
          </w:tcPr>
          <w:p>
            <w:pPr>
              <w:spacing w:after="0" w:line="269" w:lineRule="auto"/>
            </w:pPr>
            <w:r>
              <w:rPr>
                <w:rFonts w:ascii="Calibri" w:hAnsi="Calibri"/>
                <w:color w:val="243447"/>
                <w:sz w:val="17"/>
              </w:rPr>
              <w:t>UNVERIFIED</w:t>
            </w:r>
          </w:p>
        </w:tc>
        <w:tc>
          <w:tcPr>
            <w:tcW w:type="dxa" w:w="5210"/>
            <w:vAlign w:val="center"/>
            <w:tcMar>
              <w:top w:w="80" w:type="dxa"/>
              <w:start w:w="120" w:type="dxa"/>
              <w:bottom w:w="80" w:type="dxa"/>
              <w:end w:w="120" w:type="dxa"/>
            </w:tcMar>
          </w:tcPr>
          <w:p>
            <w:pPr>
              <w:spacing w:after="0" w:line="269" w:lineRule="auto"/>
            </w:pPr>
            <w:r>
              <w:rPr>
                <w:rFonts w:ascii="Calibri" w:hAnsi="Calibri"/>
                <w:color w:val="243447"/>
                <w:sz w:val="17"/>
              </w:rPr>
              <w:t>Complete organization/personal verification and public developer details.</w:t>
            </w:r>
          </w:p>
        </w:tc>
      </w:tr>
      <w:tr>
        <w:tc>
          <w:tcPr>
            <w:tcW w:type="dxa" w:w="2700"/>
            <w:vAlign w:val="center"/>
            <w:tcMar>
              <w:top w:w="80" w:type="dxa"/>
              <w:start w:w="120" w:type="dxa"/>
              <w:bottom w:w="80" w:type="dxa"/>
              <w:end w:w="120" w:type="dxa"/>
            </w:tcMar>
          </w:tcPr>
          <w:p>
            <w:pPr>
              <w:spacing w:after="0" w:line="269" w:lineRule="auto"/>
            </w:pPr>
            <w:r>
              <w:rPr>
                <w:rFonts w:ascii="Calibri" w:hAnsi="Calibri"/>
                <w:b/>
                <w:color w:val="243447"/>
                <w:sz w:val="17"/>
              </w:rPr>
              <w:t>Play App Signing</w:t>
            </w:r>
          </w:p>
        </w:tc>
        <w:tc>
          <w:tcPr>
            <w:tcW w:type="dxa" w:w="1450"/>
            <w:vAlign w:val="center"/>
            <w:tcMar>
              <w:top w:w="80" w:type="dxa"/>
              <w:start w:w="120" w:type="dxa"/>
              <w:bottom w:w="80" w:type="dxa"/>
              <w:end w:w="120" w:type="dxa"/>
            </w:tcMar>
          </w:tcPr>
          <w:p>
            <w:pPr>
              <w:spacing w:after="0" w:line="269" w:lineRule="auto"/>
            </w:pPr>
            <w:r>
              <w:rPr>
                <w:rFonts w:ascii="Calibri" w:hAnsi="Calibri"/>
                <w:color w:val="243447"/>
                <w:sz w:val="17"/>
              </w:rPr>
              <w:t>UNVERIFIED</w:t>
            </w:r>
          </w:p>
        </w:tc>
        <w:tc>
          <w:tcPr>
            <w:tcW w:type="dxa" w:w="5210"/>
            <w:vAlign w:val="center"/>
            <w:tcMar>
              <w:top w:w="80" w:type="dxa"/>
              <w:start w:w="120" w:type="dxa"/>
              <w:bottom w:w="80" w:type="dxa"/>
              <w:end w:w="120" w:type="dxa"/>
            </w:tcMar>
          </w:tcPr>
          <w:p>
            <w:pPr>
              <w:spacing w:after="0" w:line="269" w:lineRule="auto"/>
            </w:pPr>
            <w:r>
              <w:rPr>
                <w:rFonts w:ascii="Calibri" w:hAnsi="Calibri"/>
                <w:color w:val="243447"/>
                <w:sz w:val="17"/>
              </w:rPr>
              <w:t>Enroll and secure the upload key/EAS credentials.</w:t>
            </w:r>
          </w:p>
        </w:tc>
      </w:tr>
      <w:tr>
        <w:tc>
          <w:tcPr>
            <w:tcW w:type="dxa" w:w="2700"/>
            <w:vAlign w:val="center"/>
            <w:tcMar>
              <w:top w:w="80" w:type="dxa"/>
              <w:start w:w="120" w:type="dxa"/>
              <w:bottom w:w="80" w:type="dxa"/>
              <w:end w:w="120" w:type="dxa"/>
            </w:tcMar>
          </w:tcPr>
          <w:p>
            <w:pPr>
              <w:spacing w:after="0" w:line="269" w:lineRule="auto"/>
            </w:pPr>
            <w:r>
              <w:rPr>
                <w:rFonts w:ascii="Calibri" w:hAnsi="Calibri"/>
                <w:b/>
                <w:color w:val="243447"/>
                <w:sz w:val="17"/>
              </w:rPr>
              <w:t>Data safety</w:t>
            </w:r>
          </w:p>
        </w:tc>
        <w:tc>
          <w:tcPr>
            <w:tcW w:type="dxa" w:w="1450"/>
            <w:vAlign w:val="center"/>
            <w:tcMar>
              <w:top w:w="80" w:type="dxa"/>
              <w:start w:w="120" w:type="dxa"/>
              <w:bottom w:w="80" w:type="dxa"/>
              <w:end w:w="120" w:type="dxa"/>
            </w:tcMar>
          </w:tcPr>
          <w:p>
            <w:pPr>
              <w:spacing w:after="0" w:line="269" w:lineRule="auto"/>
            </w:pPr>
            <w:r>
              <w:rPr>
                <w:rFonts w:ascii="Calibri" w:hAnsi="Calibri"/>
                <w:color w:val="243447"/>
                <w:sz w:val="17"/>
              </w:rPr>
              <w:t>OPEN</w:t>
            </w:r>
          </w:p>
        </w:tc>
        <w:tc>
          <w:tcPr>
            <w:tcW w:type="dxa" w:w="5210"/>
            <w:vAlign w:val="center"/>
            <w:tcMar>
              <w:top w:w="80" w:type="dxa"/>
              <w:start w:w="120" w:type="dxa"/>
              <w:bottom w:w="80" w:type="dxa"/>
              <w:end w:w="120" w:type="dxa"/>
            </w:tcMar>
          </w:tcPr>
          <w:p>
            <w:pPr>
              <w:spacing w:after="0" w:line="269" w:lineRule="auto"/>
            </w:pPr>
            <w:r>
              <w:rPr>
                <w:rFonts w:ascii="Calibri" w:hAnsi="Calibri"/>
                <w:color w:val="243447"/>
                <w:sz w:val="17"/>
              </w:rPr>
              <w:t>Declare audio, identity, purchases, user content, processors, retention, and deletion.</w:t>
            </w:r>
          </w:p>
        </w:tc>
      </w:tr>
      <w:tr>
        <w:tc>
          <w:tcPr>
            <w:tcW w:type="dxa" w:w="2700"/>
            <w:vAlign w:val="center"/>
            <w:tcMar>
              <w:top w:w="80" w:type="dxa"/>
              <w:start w:w="120" w:type="dxa"/>
              <w:bottom w:w="80" w:type="dxa"/>
              <w:end w:w="120" w:type="dxa"/>
            </w:tcMar>
          </w:tcPr>
          <w:p>
            <w:pPr>
              <w:spacing w:after="0" w:line="269" w:lineRule="auto"/>
            </w:pPr>
            <w:r>
              <w:rPr>
                <w:rFonts w:ascii="Calibri" w:hAnsi="Calibri"/>
                <w:b/>
                <w:color w:val="243447"/>
                <w:sz w:val="17"/>
              </w:rPr>
              <w:t>Privacy policy</w:t>
            </w:r>
          </w:p>
        </w:tc>
        <w:tc>
          <w:tcPr>
            <w:tcW w:type="dxa" w:w="1450"/>
            <w:vAlign w:val="center"/>
            <w:tcMar>
              <w:top w:w="80" w:type="dxa"/>
              <w:start w:w="120" w:type="dxa"/>
              <w:bottom w:w="80" w:type="dxa"/>
              <w:end w:w="120" w:type="dxa"/>
            </w:tcMar>
          </w:tcPr>
          <w:p>
            <w:pPr>
              <w:spacing w:after="0" w:line="269" w:lineRule="auto"/>
            </w:pPr>
            <w:r>
              <w:rPr>
                <w:rFonts w:ascii="Calibri" w:hAnsi="Calibri"/>
                <w:color w:val="243447"/>
                <w:sz w:val="17"/>
              </w:rPr>
              <w:t>OPEN</w:t>
            </w:r>
          </w:p>
        </w:tc>
        <w:tc>
          <w:tcPr>
            <w:tcW w:type="dxa" w:w="5210"/>
            <w:vAlign w:val="center"/>
            <w:tcMar>
              <w:top w:w="80" w:type="dxa"/>
              <w:start w:w="120" w:type="dxa"/>
              <w:bottom w:w="80" w:type="dxa"/>
              <w:end w:w="120" w:type="dxa"/>
            </w:tcMar>
          </w:tcPr>
          <w:p>
            <w:pPr>
              <w:spacing w:after="0" w:line="269" w:lineRule="auto"/>
            </w:pPr>
            <w:r>
              <w:rPr>
                <w:rFonts w:ascii="Calibri" w:hAnsi="Calibri"/>
                <w:color w:val="243447"/>
                <w:sz w:val="17"/>
              </w:rPr>
              <w:t>Publish and submit the final HTTPS page.</w:t>
            </w:r>
          </w:p>
        </w:tc>
      </w:tr>
      <w:tr>
        <w:tc>
          <w:tcPr>
            <w:tcW w:type="dxa" w:w="2700"/>
            <w:vAlign w:val="center"/>
            <w:tcMar>
              <w:top w:w="80" w:type="dxa"/>
              <w:start w:w="120" w:type="dxa"/>
              <w:bottom w:w="80" w:type="dxa"/>
              <w:end w:w="120" w:type="dxa"/>
            </w:tcMar>
          </w:tcPr>
          <w:p>
            <w:pPr>
              <w:spacing w:after="0" w:line="269" w:lineRule="auto"/>
            </w:pPr>
            <w:r>
              <w:rPr>
                <w:rFonts w:ascii="Calibri" w:hAnsi="Calibri"/>
                <w:b/>
                <w:color w:val="243447"/>
                <w:sz w:val="17"/>
              </w:rPr>
              <w:t>Account deletion</w:t>
            </w:r>
          </w:p>
        </w:tc>
        <w:tc>
          <w:tcPr>
            <w:tcW w:type="dxa" w:w="1450"/>
            <w:vAlign w:val="center"/>
            <w:tcMar>
              <w:top w:w="80" w:type="dxa"/>
              <w:start w:w="120" w:type="dxa"/>
              <w:bottom w:w="80" w:type="dxa"/>
              <w:end w:w="120" w:type="dxa"/>
            </w:tcMar>
          </w:tcPr>
          <w:p>
            <w:pPr>
              <w:spacing w:after="0" w:line="269" w:lineRule="auto"/>
            </w:pPr>
            <w:r>
              <w:rPr>
                <w:rFonts w:ascii="Calibri" w:hAnsi="Calibri"/>
                <w:color w:val="243447"/>
                <w:sz w:val="17"/>
              </w:rPr>
              <w:t>OPEN</w:t>
            </w:r>
          </w:p>
        </w:tc>
        <w:tc>
          <w:tcPr>
            <w:tcW w:type="dxa" w:w="5210"/>
            <w:vAlign w:val="center"/>
            <w:tcMar>
              <w:top w:w="80" w:type="dxa"/>
              <w:start w:w="120" w:type="dxa"/>
              <w:bottom w:w="80" w:type="dxa"/>
              <w:end w:w="120" w:type="dxa"/>
            </w:tcMar>
          </w:tcPr>
          <w:p>
            <w:pPr>
              <w:spacing w:after="0" w:line="269" w:lineRule="auto"/>
            </w:pPr>
            <w:r>
              <w:rPr>
                <w:rFonts w:ascii="Calibri" w:hAnsi="Calibri"/>
                <w:color w:val="243447"/>
                <w:sz w:val="17"/>
              </w:rPr>
              <w:t>Submit the public web deletion URL and prove the in-app flow.</w:t>
            </w:r>
          </w:p>
        </w:tc>
      </w:tr>
      <w:tr>
        <w:tc>
          <w:tcPr>
            <w:tcW w:type="dxa" w:w="2700"/>
            <w:vAlign w:val="center"/>
            <w:tcMar>
              <w:top w:w="80" w:type="dxa"/>
              <w:start w:w="120" w:type="dxa"/>
              <w:bottom w:w="80" w:type="dxa"/>
              <w:end w:w="120" w:type="dxa"/>
            </w:tcMar>
          </w:tcPr>
          <w:p>
            <w:pPr>
              <w:spacing w:after="0" w:line="269" w:lineRule="auto"/>
            </w:pPr>
            <w:r>
              <w:rPr>
                <w:rFonts w:ascii="Calibri" w:hAnsi="Calibri"/>
                <w:b/>
                <w:color w:val="243447"/>
                <w:sz w:val="17"/>
              </w:rPr>
              <w:t>Health-app declaration</w:t>
            </w:r>
          </w:p>
        </w:tc>
        <w:tc>
          <w:tcPr>
            <w:tcW w:type="dxa" w:w="1450"/>
            <w:vAlign w:val="center"/>
            <w:tcMar>
              <w:top w:w="80" w:type="dxa"/>
              <w:start w:w="120" w:type="dxa"/>
              <w:bottom w:w="80" w:type="dxa"/>
              <w:end w:w="120" w:type="dxa"/>
            </w:tcMar>
          </w:tcPr>
          <w:p>
            <w:pPr>
              <w:spacing w:after="0" w:line="269" w:lineRule="auto"/>
            </w:pPr>
            <w:r>
              <w:rPr>
                <w:rFonts w:ascii="Calibri" w:hAnsi="Calibri"/>
                <w:color w:val="243447"/>
                <w:sz w:val="17"/>
              </w:rPr>
              <w:t>OPEN</w:t>
            </w:r>
          </w:p>
        </w:tc>
        <w:tc>
          <w:tcPr>
            <w:tcW w:type="dxa" w:w="5210"/>
            <w:vAlign w:val="center"/>
            <w:tcMar>
              <w:top w:w="80" w:type="dxa"/>
              <w:start w:w="120" w:type="dxa"/>
              <w:bottom w:w="80" w:type="dxa"/>
              <w:end w:w="120" w:type="dxa"/>
            </w:tcMar>
          </w:tcPr>
          <w:p>
            <w:pPr>
              <w:spacing w:after="0" w:line="269" w:lineRule="auto"/>
            </w:pPr>
            <w:r>
              <w:rPr>
                <w:rFonts w:ascii="Calibri" w:hAnsi="Calibri"/>
                <w:color w:val="243447"/>
                <w:sz w:val="17"/>
              </w:rPr>
              <w:t>Choose the accurate category or state that no health features apply.</w:t>
            </w:r>
          </w:p>
        </w:tc>
      </w:tr>
      <w:tr>
        <w:tc>
          <w:tcPr>
            <w:tcW w:type="dxa" w:w="2700"/>
            <w:vAlign w:val="center"/>
            <w:tcMar>
              <w:top w:w="80" w:type="dxa"/>
              <w:start w:w="120" w:type="dxa"/>
              <w:bottom w:w="80" w:type="dxa"/>
              <w:end w:w="120" w:type="dxa"/>
            </w:tcMar>
          </w:tcPr>
          <w:p>
            <w:pPr>
              <w:spacing w:after="0" w:line="269" w:lineRule="auto"/>
            </w:pPr>
            <w:r>
              <w:rPr>
                <w:rFonts w:ascii="Calibri" w:hAnsi="Calibri"/>
                <w:b/>
                <w:color w:val="243447"/>
                <w:sz w:val="17"/>
              </w:rPr>
              <w:t>Content rating</w:t>
            </w:r>
          </w:p>
        </w:tc>
        <w:tc>
          <w:tcPr>
            <w:tcW w:type="dxa" w:w="1450"/>
            <w:vAlign w:val="center"/>
            <w:tcMar>
              <w:top w:w="80" w:type="dxa"/>
              <w:start w:w="120" w:type="dxa"/>
              <w:bottom w:w="80" w:type="dxa"/>
              <w:end w:w="120" w:type="dxa"/>
            </w:tcMar>
          </w:tcPr>
          <w:p>
            <w:pPr>
              <w:spacing w:after="0" w:line="269" w:lineRule="auto"/>
            </w:pPr>
            <w:r>
              <w:rPr>
                <w:rFonts w:ascii="Calibri" w:hAnsi="Calibri"/>
                <w:color w:val="243447"/>
                <w:sz w:val="17"/>
              </w:rPr>
              <w:t>OPEN</w:t>
            </w:r>
          </w:p>
        </w:tc>
        <w:tc>
          <w:tcPr>
            <w:tcW w:type="dxa" w:w="5210"/>
            <w:vAlign w:val="center"/>
            <w:tcMar>
              <w:top w:w="80" w:type="dxa"/>
              <w:start w:w="120" w:type="dxa"/>
              <w:bottom w:w="80" w:type="dxa"/>
              <w:end w:w="120" w:type="dxa"/>
            </w:tcMar>
          </w:tcPr>
          <w:p>
            <w:pPr>
              <w:spacing w:after="0" w:line="269" w:lineRule="auto"/>
            </w:pPr>
            <w:r>
              <w:rPr>
                <w:rFonts w:ascii="Calibri" w:hAnsi="Calibri"/>
                <w:color w:val="243447"/>
                <w:sz w:val="17"/>
              </w:rPr>
              <w:t>Complete the IARC questionnaire accurately.</w:t>
            </w:r>
          </w:p>
        </w:tc>
      </w:tr>
    </w:tbl>
    <w:p>
      <w:pPr>
        <w:spacing w:after="40" w:before="40"/>
      </w:pPr>
    </w:p>
    <w:p>
      <w:pPr>
        <w:pStyle w:val="Heading2"/>
        <w:keepNext/>
      </w:pPr>
      <w:r>
        <w:t>7.1 Release and testing controls</w:t>
      </w:r>
    </w:p>
    <w:tbl>
      <w:tblPr>
        <w:tblStyle w:val="TableGrid"/>
        <w:tblW w:type="dxa" w:w="9360"/>
        <w:jc w:val="left"/>
        <w:tblLayout w:type="fixed"/>
        <w:tblLook w:firstColumn="1" w:firstRow="1" w:lastColumn="0" w:lastRow="0" w:noHBand="0" w:noVBand="1" w:val="04A0"/>
        <w:tblInd w:w="120" w:type="dxa"/>
      </w:tblPr>
      <w:tblGrid>
        <w:gridCol w:w="2700"/>
        <w:gridCol w:w="1450"/>
        <w:gridCol w:w="5210"/>
      </w:tblGrid>
      <w:tr>
        <w:trPr>
          <w:tblHeader w:val="true"/>
        </w:trPr>
        <w:tc>
          <w:tcPr>
            <w:tcW w:type="dxa" w:w="2700"/>
            <w:shd w:fill="E8EEF5"/>
            <w:vAlign w:val="center"/>
            <w:tcMar>
              <w:top w:w="80" w:type="dxa"/>
              <w:start w:w="120" w:type="dxa"/>
              <w:bottom w:w="80" w:type="dxa"/>
              <w:end w:w="120" w:type="dxa"/>
            </w:tcMar>
          </w:tcPr>
          <w:p>
            <w:pPr>
              <w:spacing w:after="0"/>
              <w:jc w:val="left"/>
            </w:pPr>
            <w:r>
              <w:rPr>
                <w:rFonts w:ascii="Calibri" w:hAnsi="Calibri"/>
                <w:b/>
                <w:color w:val="243447"/>
                <w:sz w:val="19"/>
              </w:rPr>
              <w:t>Console item</w:t>
            </w:r>
          </w:p>
        </w:tc>
        <w:tc>
          <w:tcPr>
            <w:tcW w:type="dxa" w:w="1450"/>
            <w:shd w:fill="E8EEF5"/>
            <w:vAlign w:val="center"/>
            <w:tcMar>
              <w:top w:w="80" w:type="dxa"/>
              <w:start w:w="120" w:type="dxa"/>
              <w:bottom w:w="80" w:type="dxa"/>
              <w:end w:w="120" w:type="dxa"/>
            </w:tcMar>
          </w:tcPr>
          <w:p>
            <w:pPr>
              <w:spacing w:after="0"/>
              <w:jc w:val="left"/>
            </w:pPr>
            <w:r>
              <w:rPr>
                <w:rFonts w:ascii="Calibri" w:hAnsi="Calibri"/>
                <w:b/>
                <w:color w:val="243447"/>
                <w:sz w:val="19"/>
              </w:rPr>
              <w:t>Status</w:t>
            </w:r>
          </w:p>
        </w:tc>
        <w:tc>
          <w:tcPr>
            <w:tcW w:type="dxa" w:w="5210"/>
            <w:shd w:fill="E8EEF5"/>
            <w:vAlign w:val="center"/>
            <w:tcMar>
              <w:top w:w="80" w:type="dxa"/>
              <w:start w:w="120" w:type="dxa"/>
              <w:bottom w:w="80" w:type="dxa"/>
              <w:end w:w="120" w:type="dxa"/>
            </w:tcMar>
          </w:tcPr>
          <w:p>
            <w:pPr>
              <w:spacing w:after="0"/>
              <w:jc w:val="left"/>
            </w:pPr>
            <w:r>
              <w:rPr>
                <w:rFonts w:ascii="Calibri" w:hAnsi="Calibri"/>
                <w:b/>
                <w:color w:val="243447"/>
                <w:sz w:val="19"/>
              </w:rPr>
              <w:t>Required action</w:t>
            </w:r>
          </w:p>
        </w:tc>
      </w:tr>
      <w:tr>
        <w:tc>
          <w:tcPr>
            <w:tcW w:type="dxa" w:w="2700"/>
            <w:vAlign w:val="center"/>
            <w:tcMar>
              <w:top w:w="80" w:type="dxa"/>
              <w:start w:w="120" w:type="dxa"/>
              <w:bottom w:w="80" w:type="dxa"/>
              <w:end w:w="120" w:type="dxa"/>
            </w:tcMar>
          </w:tcPr>
          <w:p>
            <w:pPr>
              <w:spacing w:after="0" w:line="269" w:lineRule="auto"/>
            </w:pPr>
            <w:r>
              <w:rPr>
                <w:rFonts w:ascii="Calibri" w:hAnsi="Calibri"/>
                <w:b/>
                <w:color w:val="243447"/>
                <w:sz w:val="17"/>
              </w:rPr>
              <w:t>Target audience</w:t>
            </w:r>
          </w:p>
        </w:tc>
        <w:tc>
          <w:tcPr>
            <w:tcW w:type="dxa" w:w="1450"/>
            <w:vAlign w:val="center"/>
            <w:tcMar>
              <w:top w:w="80" w:type="dxa"/>
              <w:start w:w="120" w:type="dxa"/>
              <w:bottom w:w="80" w:type="dxa"/>
              <w:end w:w="120" w:type="dxa"/>
            </w:tcMar>
          </w:tcPr>
          <w:p>
            <w:pPr>
              <w:spacing w:after="0" w:line="269" w:lineRule="auto"/>
            </w:pPr>
            <w:r>
              <w:rPr>
                <w:rFonts w:ascii="Calibri" w:hAnsi="Calibri"/>
                <w:color w:val="243447"/>
                <w:sz w:val="17"/>
              </w:rPr>
              <w:t>OPEN</w:t>
            </w:r>
          </w:p>
        </w:tc>
        <w:tc>
          <w:tcPr>
            <w:tcW w:type="dxa" w:w="5210"/>
            <w:vAlign w:val="center"/>
            <w:tcMar>
              <w:top w:w="80" w:type="dxa"/>
              <w:start w:w="120" w:type="dxa"/>
              <w:bottom w:w="80" w:type="dxa"/>
              <w:end w:w="120" w:type="dxa"/>
            </w:tcMar>
          </w:tcPr>
          <w:p>
            <w:pPr>
              <w:spacing w:after="0" w:line="269" w:lineRule="auto"/>
            </w:pPr>
            <w:r>
              <w:rPr>
                <w:rFonts w:ascii="Calibri" w:hAnsi="Calibri"/>
                <w:color w:val="243447"/>
                <w:sz w:val="17"/>
              </w:rPr>
              <w:t>Select intended age groups and review Families policy implications.</w:t>
            </w:r>
          </w:p>
        </w:tc>
      </w:tr>
      <w:tr>
        <w:tc>
          <w:tcPr>
            <w:tcW w:type="dxa" w:w="2700"/>
            <w:vAlign w:val="center"/>
            <w:tcMar>
              <w:top w:w="80" w:type="dxa"/>
              <w:start w:w="120" w:type="dxa"/>
              <w:bottom w:w="80" w:type="dxa"/>
              <w:end w:w="120" w:type="dxa"/>
            </w:tcMar>
          </w:tcPr>
          <w:p>
            <w:pPr>
              <w:spacing w:after="0" w:line="269" w:lineRule="auto"/>
            </w:pPr>
            <w:r>
              <w:rPr>
                <w:rFonts w:ascii="Calibri" w:hAnsi="Calibri"/>
                <w:b/>
                <w:color w:val="243447"/>
                <w:sz w:val="17"/>
              </w:rPr>
              <w:t>Ads declaration</w:t>
            </w:r>
          </w:p>
        </w:tc>
        <w:tc>
          <w:tcPr>
            <w:tcW w:type="dxa" w:w="1450"/>
            <w:vAlign w:val="center"/>
            <w:tcMar>
              <w:top w:w="80" w:type="dxa"/>
              <w:start w:w="120" w:type="dxa"/>
              <w:bottom w:w="80" w:type="dxa"/>
              <w:end w:w="120" w:type="dxa"/>
            </w:tcMar>
          </w:tcPr>
          <w:p>
            <w:pPr>
              <w:spacing w:after="0" w:line="269" w:lineRule="auto"/>
            </w:pPr>
            <w:r>
              <w:rPr>
                <w:rFonts w:ascii="Calibri" w:hAnsi="Calibri"/>
                <w:color w:val="243447"/>
                <w:sz w:val="17"/>
              </w:rPr>
              <w:t>OPEN</w:t>
            </w:r>
          </w:p>
        </w:tc>
        <w:tc>
          <w:tcPr>
            <w:tcW w:type="dxa" w:w="5210"/>
            <w:vAlign w:val="center"/>
            <w:tcMar>
              <w:top w:w="80" w:type="dxa"/>
              <w:start w:w="120" w:type="dxa"/>
              <w:bottom w:w="80" w:type="dxa"/>
              <w:end w:w="120" w:type="dxa"/>
            </w:tcMar>
          </w:tcPr>
          <w:p>
            <w:pPr>
              <w:spacing w:after="0" w:line="269" w:lineRule="auto"/>
            </w:pPr>
            <w:r>
              <w:rPr>
                <w:rFonts w:ascii="Calibri" w:hAnsi="Calibri"/>
                <w:color w:val="243447"/>
                <w:sz w:val="17"/>
              </w:rPr>
              <w:t>Declare whether any ads are present.</w:t>
            </w:r>
          </w:p>
        </w:tc>
      </w:tr>
      <w:tr>
        <w:tc>
          <w:tcPr>
            <w:tcW w:type="dxa" w:w="2700"/>
            <w:vAlign w:val="center"/>
            <w:tcMar>
              <w:top w:w="80" w:type="dxa"/>
              <w:start w:w="120" w:type="dxa"/>
              <w:bottom w:w="80" w:type="dxa"/>
              <w:end w:w="120" w:type="dxa"/>
            </w:tcMar>
          </w:tcPr>
          <w:p>
            <w:pPr>
              <w:spacing w:after="0" w:line="269" w:lineRule="auto"/>
            </w:pPr>
            <w:r>
              <w:rPr>
                <w:rFonts w:ascii="Calibri" w:hAnsi="Calibri"/>
                <w:b/>
                <w:color w:val="243447"/>
                <w:sz w:val="17"/>
              </w:rPr>
              <w:t>App access</w:t>
            </w:r>
          </w:p>
        </w:tc>
        <w:tc>
          <w:tcPr>
            <w:tcW w:type="dxa" w:w="1450"/>
            <w:vAlign w:val="center"/>
            <w:tcMar>
              <w:top w:w="80" w:type="dxa"/>
              <w:start w:w="120" w:type="dxa"/>
              <w:bottom w:w="80" w:type="dxa"/>
              <w:end w:w="120" w:type="dxa"/>
            </w:tcMar>
          </w:tcPr>
          <w:p>
            <w:pPr>
              <w:spacing w:after="0" w:line="269" w:lineRule="auto"/>
            </w:pPr>
            <w:r>
              <w:rPr>
                <w:rFonts w:ascii="Calibri" w:hAnsi="Calibri"/>
                <w:color w:val="243447"/>
                <w:sz w:val="17"/>
              </w:rPr>
              <w:t>OPEN</w:t>
            </w:r>
          </w:p>
        </w:tc>
        <w:tc>
          <w:tcPr>
            <w:tcW w:type="dxa" w:w="5210"/>
            <w:vAlign w:val="center"/>
            <w:tcMar>
              <w:top w:w="80" w:type="dxa"/>
              <w:start w:w="120" w:type="dxa"/>
              <w:bottom w:w="80" w:type="dxa"/>
              <w:end w:w="120" w:type="dxa"/>
            </w:tcMar>
          </w:tcPr>
          <w:p>
            <w:pPr>
              <w:spacing w:after="0" w:line="269" w:lineRule="auto"/>
            </w:pPr>
            <w:r>
              <w:rPr>
                <w:rFonts w:ascii="Calibri" w:hAnsi="Calibri"/>
                <w:color w:val="243447"/>
                <w:sz w:val="17"/>
              </w:rPr>
              <w:t>Provide reviewer instructions and a test account/path if gated content exists.</w:t>
            </w:r>
          </w:p>
        </w:tc>
      </w:tr>
      <w:tr>
        <w:tc>
          <w:tcPr>
            <w:tcW w:type="dxa" w:w="2700"/>
            <w:vAlign w:val="center"/>
            <w:tcMar>
              <w:top w:w="80" w:type="dxa"/>
              <w:start w:w="120" w:type="dxa"/>
              <w:bottom w:w="80" w:type="dxa"/>
              <w:end w:w="120" w:type="dxa"/>
            </w:tcMar>
          </w:tcPr>
          <w:p>
            <w:pPr>
              <w:spacing w:after="0" w:line="269" w:lineRule="auto"/>
            </w:pPr>
            <w:r>
              <w:rPr>
                <w:rFonts w:ascii="Calibri" w:hAnsi="Calibri"/>
                <w:b/>
                <w:color w:val="243447"/>
                <w:sz w:val="17"/>
              </w:rPr>
              <w:t>Foreground service</w:t>
            </w:r>
          </w:p>
        </w:tc>
        <w:tc>
          <w:tcPr>
            <w:tcW w:type="dxa" w:w="1450"/>
            <w:vAlign w:val="center"/>
            <w:tcMar>
              <w:top w:w="80" w:type="dxa"/>
              <w:start w:w="120" w:type="dxa"/>
              <w:bottom w:w="80" w:type="dxa"/>
              <w:end w:w="120" w:type="dxa"/>
            </w:tcMar>
          </w:tcPr>
          <w:p>
            <w:pPr>
              <w:spacing w:after="0" w:line="269" w:lineRule="auto"/>
            </w:pPr>
            <w:r>
              <w:rPr>
                <w:rFonts w:ascii="Calibri" w:hAnsi="Calibri"/>
                <w:color w:val="243447"/>
                <w:sz w:val="17"/>
              </w:rPr>
              <w:t>OPEN</w:t>
            </w:r>
          </w:p>
        </w:tc>
        <w:tc>
          <w:tcPr>
            <w:tcW w:type="dxa" w:w="5210"/>
            <w:vAlign w:val="center"/>
            <w:tcMar>
              <w:top w:w="80" w:type="dxa"/>
              <w:start w:w="120" w:type="dxa"/>
              <w:bottom w:w="80" w:type="dxa"/>
              <w:end w:w="120" w:type="dxa"/>
            </w:tcMar>
          </w:tcPr>
          <w:p>
            <w:pPr>
              <w:spacing w:after="0" w:line="269" w:lineRule="auto"/>
            </w:pPr>
            <w:r>
              <w:rPr>
                <w:rFonts w:ascii="Calibri" w:hAnsi="Calibri"/>
                <w:color w:val="243447"/>
                <w:sz w:val="17"/>
              </w:rPr>
              <w:t>Remove background media service or submit its declaration/demo.</w:t>
            </w:r>
          </w:p>
        </w:tc>
      </w:tr>
      <w:tr>
        <w:tc>
          <w:tcPr>
            <w:tcW w:type="dxa" w:w="2700"/>
            <w:vAlign w:val="center"/>
            <w:tcMar>
              <w:top w:w="80" w:type="dxa"/>
              <w:start w:w="120" w:type="dxa"/>
              <w:bottom w:w="80" w:type="dxa"/>
              <w:end w:w="120" w:type="dxa"/>
            </w:tcMar>
          </w:tcPr>
          <w:p>
            <w:pPr>
              <w:spacing w:after="0" w:line="269" w:lineRule="auto"/>
            </w:pPr>
            <w:r>
              <w:rPr>
                <w:rFonts w:ascii="Calibri" w:hAnsi="Calibri"/>
                <w:b/>
                <w:color w:val="243447"/>
                <w:sz w:val="17"/>
              </w:rPr>
              <w:t>Financial features</w:t>
            </w:r>
          </w:p>
        </w:tc>
        <w:tc>
          <w:tcPr>
            <w:tcW w:type="dxa" w:w="1450"/>
            <w:vAlign w:val="center"/>
            <w:tcMar>
              <w:top w:w="80" w:type="dxa"/>
              <w:start w:w="120" w:type="dxa"/>
              <w:bottom w:w="80" w:type="dxa"/>
              <w:end w:w="120" w:type="dxa"/>
            </w:tcMar>
          </w:tcPr>
          <w:p>
            <w:pPr>
              <w:spacing w:after="0" w:line="269" w:lineRule="auto"/>
            </w:pPr>
            <w:r>
              <w:rPr>
                <w:rFonts w:ascii="Calibri" w:hAnsi="Calibri"/>
                <w:color w:val="243447"/>
                <w:sz w:val="17"/>
              </w:rPr>
              <w:t>REVIEW</w:t>
            </w:r>
          </w:p>
        </w:tc>
        <w:tc>
          <w:tcPr>
            <w:tcW w:type="dxa" w:w="5210"/>
            <w:vAlign w:val="center"/>
            <w:tcMar>
              <w:top w:w="80" w:type="dxa"/>
              <w:start w:w="120" w:type="dxa"/>
              <w:bottom w:w="80" w:type="dxa"/>
              <w:end w:w="120" w:type="dxa"/>
            </w:tcMar>
          </w:tcPr>
          <w:p>
            <w:pPr>
              <w:spacing w:after="0" w:line="269" w:lineRule="auto"/>
            </w:pPr>
            <w:r>
              <w:rPr>
                <w:rFonts w:ascii="Calibri" w:hAnsi="Calibri"/>
                <w:color w:val="243447"/>
                <w:sz w:val="17"/>
              </w:rPr>
              <w:t>Confirm one-time digital purchases are represented only through Play Billing.</w:t>
            </w:r>
          </w:p>
        </w:tc>
      </w:tr>
      <w:tr>
        <w:tc>
          <w:tcPr>
            <w:tcW w:type="dxa" w:w="2700"/>
            <w:vAlign w:val="center"/>
            <w:tcMar>
              <w:top w:w="80" w:type="dxa"/>
              <w:start w:w="120" w:type="dxa"/>
              <w:bottom w:w="80" w:type="dxa"/>
              <w:end w:w="120" w:type="dxa"/>
            </w:tcMar>
          </w:tcPr>
          <w:p>
            <w:pPr>
              <w:spacing w:after="0" w:line="269" w:lineRule="auto"/>
            </w:pPr>
            <w:r>
              <w:rPr>
                <w:rFonts w:ascii="Calibri" w:hAnsi="Calibri"/>
                <w:b/>
                <w:color w:val="243447"/>
                <w:sz w:val="17"/>
              </w:rPr>
              <w:t>Internal testing</w:t>
            </w:r>
          </w:p>
        </w:tc>
        <w:tc>
          <w:tcPr>
            <w:tcW w:type="dxa" w:w="1450"/>
            <w:vAlign w:val="center"/>
            <w:tcMar>
              <w:top w:w="80" w:type="dxa"/>
              <w:start w:w="120" w:type="dxa"/>
              <w:bottom w:w="80" w:type="dxa"/>
              <w:end w:w="120" w:type="dxa"/>
            </w:tcMar>
          </w:tcPr>
          <w:p>
            <w:pPr>
              <w:spacing w:after="0" w:line="269" w:lineRule="auto"/>
            </w:pPr>
            <w:r>
              <w:rPr>
                <w:rFonts w:ascii="Calibri" w:hAnsi="Calibri"/>
                <w:color w:val="243447"/>
                <w:sz w:val="17"/>
              </w:rPr>
              <w:t>OPEN</w:t>
            </w:r>
          </w:p>
        </w:tc>
        <w:tc>
          <w:tcPr>
            <w:tcW w:type="dxa" w:w="5210"/>
            <w:vAlign w:val="center"/>
            <w:tcMar>
              <w:top w:w="80" w:type="dxa"/>
              <w:start w:w="120" w:type="dxa"/>
              <w:bottom w:w="80" w:type="dxa"/>
              <w:end w:w="120" w:type="dxa"/>
            </w:tcMar>
          </w:tcPr>
          <w:p>
            <w:pPr>
              <w:spacing w:after="0" w:line="269" w:lineRule="auto"/>
            </w:pPr>
            <w:r>
              <w:rPr>
                <w:rFonts w:ascii="Calibri" w:hAnsi="Calibri"/>
                <w:color w:val="243447"/>
                <w:sz w:val="17"/>
              </w:rPr>
              <w:t>Upload signed AAB and execute the release test matrix.</w:t>
            </w:r>
          </w:p>
        </w:tc>
      </w:tr>
      <w:tr>
        <w:tc>
          <w:tcPr>
            <w:tcW w:type="dxa" w:w="2700"/>
            <w:vAlign w:val="center"/>
            <w:tcMar>
              <w:top w:w="80" w:type="dxa"/>
              <w:start w:w="120" w:type="dxa"/>
              <w:bottom w:w="80" w:type="dxa"/>
              <w:end w:w="120" w:type="dxa"/>
            </w:tcMar>
          </w:tcPr>
          <w:p>
            <w:pPr>
              <w:spacing w:after="0" w:line="269" w:lineRule="auto"/>
            </w:pPr>
            <w:r>
              <w:rPr>
                <w:rFonts w:ascii="Calibri" w:hAnsi="Calibri"/>
                <w:b/>
                <w:color w:val="243447"/>
                <w:sz w:val="17"/>
              </w:rPr>
              <w:t>Closed testing</w:t>
            </w:r>
          </w:p>
        </w:tc>
        <w:tc>
          <w:tcPr>
            <w:tcW w:type="dxa" w:w="1450"/>
            <w:vAlign w:val="center"/>
            <w:tcMar>
              <w:top w:w="80" w:type="dxa"/>
              <w:start w:w="120" w:type="dxa"/>
              <w:bottom w:w="80" w:type="dxa"/>
              <w:end w:w="120" w:type="dxa"/>
            </w:tcMar>
          </w:tcPr>
          <w:p>
            <w:pPr>
              <w:spacing w:after="0" w:line="269" w:lineRule="auto"/>
            </w:pPr>
            <w:r>
              <w:rPr>
                <w:rFonts w:ascii="Calibri" w:hAnsi="Calibri"/>
                <w:color w:val="243447"/>
                <w:sz w:val="17"/>
              </w:rPr>
              <w:t>CONDITIONAL</w:t>
            </w:r>
          </w:p>
        </w:tc>
        <w:tc>
          <w:tcPr>
            <w:tcW w:type="dxa" w:w="5210"/>
            <w:vAlign w:val="center"/>
            <w:tcMar>
              <w:top w:w="80" w:type="dxa"/>
              <w:start w:w="120" w:type="dxa"/>
              <w:bottom w:w="80" w:type="dxa"/>
              <w:end w:w="120" w:type="dxa"/>
            </w:tcMar>
          </w:tcPr>
          <w:p>
            <w:pPr>
              <w:spacing w:after="0" w:line="269" w:lineRule="auto"/>
            </w:pPr>
            <w:r>
              <w:rPr>
                <w:rFonts w:ascii="Calibri" w:hAnsi="Calibri"/>
                <w:color w:val="243447"/>
                <w:sz w:val="17"/>
              </w:rPr>
              <w:t>Run 12-testers/14-days program if the account is subject to the rule.</w:t>
            </w:r>
          </w:p>
        </w:tc>
      </w:tr>
      <w:tr>
        <w:tc>
          <w:tcPr>
            <w:tcW w:type="dxa" w:w="2700"/>
            <w:vAlign w:val="center"/>
            <w:tcMar>
              <w:top w:w="80" w:type="dxa"/>
              <w:start w:w="120" w:type="dxa"/>
              <w:bottom w:w="80" w:type="dxa"/>
              <w:end w:w="120" w:type="dxa"/>
            </w:tcMar>
          </w:tcPr>
          <w:p>
            <w:pPr>
              <w:spacing w:after="0" w:line="269" w:lineRule="auto"/>
            </w:pPr>
            <w:r>
              <w:rPr>
                <w:rFonts w:ascii="Calibri" w:hAnsi="Calibri"/>
                <w:b/>
                <w:color w:val="243447"/>
                <w:sz w:val="17"/>
              </w:rPr>
              <w:t>Production access</w:t>
            </w:r>
          </w:p>
        </w:tc>
        <w:tc>
          <w:tcPr>
            <w:tcW w:type="dxa" w:w="1450"/>
            <w:vAlign w:val="center"/>
            <w:tcMar>
              <w:top w:w="80" w:type="dxa"/>
              <w:start w:w="120" w:type="dxa"/>
              <w:bottom w:w="80" w:type="dxa"/>
              <w:end w:w="120" w:type="dxa"/>
            </w:tcMar>
          </w:tcPr>
          <w:p>
            <w:pPr>
              <w:spacing w:after="0" w:line="269" w:lineRule="auto"/>
            </w:pPr>
            <w:r>
              <w:rPr>
                <w:rFonts w:ascii="Calibri" w:hAnsi="Calibri"/>
                <w:color w:val="243447"/>
                <w:sz w:val="17"/>
              </w:rPr>
              <w:t>BLOCKED</w:t>
            </w:r>
          </w:p>
        </w:tc>
        <w:tc>
          <w:tcPr>
            <w:tcW w:type="dxa" w:w="5210"/>
            <w:vAlign w:val="center"/>
            <w:tcMar>
              <w:top w:w="80" w:type="dxa"/>
              <w:start w:w="120" w:type="dxa"/>
              <w:bottom w:w="80" w:type="dxa"/>
              <w:end w:w="120" w:type="dxa"/>
            </w:tcMar>
          </w:tcPr>
          <w:p>
            <w:pPr>
              <w:spacing w:after="0" w:line="269" w:lineRule="auto"/>
            </w:pPr>
            <w:r>
              <w:rPr>
                <w:rFonts w:ascii="Calibri" w:hAnsi="Calibri"/>
                <w:color w:val="243447"/>
                <w:sz w:val="17"/>
              </w:rPr>
              <w:t>Proceed only after all blockers and track testing are closed.</w:t>
            </w:r>
          </w:p>
        </w:tc>
      </w:tr>
    </w:tbl>
    <w:p>
      <w:pPr>
        <w:spacing w:after="40" w:before="40"/>
      </w:pPr>
    </w:p>
    <w:p>
      <w:pPr>
        <w:pStyle w:val="Heading1"/>
        <w:keepNext/>
      </w:pPr>
      <w:r>
        <w:t>8. Verified strengths and completed checks</w:t>
      </w:r>
    </w:p>
    <w:tbl>
      <w:tblPr>
        <w:tblStyle w:val="TableGrid"/>
        <w:tblW w:type="dxa" w:w="9360"/>
        <w:jc w:val="left"/>
        <w:tblLayout w:type="fixed"/>
        <w:tblLook w:firstColumn="1" w:firstRow="1" w:lastColumn="0" w:lastRow="0" w:noHBand="0" w:noVBand="1" w:val="04A0"/>
        <w:tblInd w:w="120" w:type="dxa"/>
      </w:tblPr>
      <w:tblGrid>
        <w:gridCol w:w="5700"/>
        <w:gridCol w:w="3660"/>
      </w:tblGrid>
      <w:tr>
        <w:trPr>
          <w:tblHeader w:val="true"/>
        </w:trPr>
        <w:tc>
          <w:tcPr>
            <w:tcW w:type="dxa" w:w="5700"/>
            <w:shd w:fill="E8EEF5"/>
            <w:vAlign w:val="center"/>
            <w:tcMar>
              <w:top w:w="80" w:type="dxa"/>
              <w:start w:w="120" w:type="dxa"/>
              <w:bottom w:w="80" w:type="dxa"/>
              <w:end w:w="120" w:type="dxa"/>
            </w:tcMar>
          </w:tcPr>
          <w:p>
            <w:pPr>
              <w:spacing w:after="0"/>
              <w:jc w:val="left"/>
            </w:pPr>
            <w:r>
              <w:rPr>
                <w:rFonts w:ascii="Calibri" w:hAnsi="Calibri"/>
                <w:b/>
                <w:color w:val="243447"/>
                <w:sz w:val="19"/>
              </w:rPr>
              <w:t>Check</w:t>
            </w:r>
          </w:p>
        </w:tc>
        <w:tc>
          <w:tcPr>
            <w:tcW w:type="dxa" w:w="3660"/>
            <w:shd w:fill="E8EEF5"/>
            <w:vAlign w:val="center"/>
            <w:tcMar>
              <w:top w:w="80" w:type="dxa"/>
              <w:start w:w="120" w:type="dxa"/>
              <w:bottom w:w="80" w:type="dxa"/>
              <w:end w:w="120" w:type="dxa"/>
            </w:tcMar>
          </w:tcPr>
          <w:p>
            <w:pPr>
              <w:spacing w:after="0"/>
              <w:jc w:val="left"/>
            </w:pPr>
            <w:r>
              <w:rPr>
                <w:rFonts w:ascii="Calibri" w:hAnsi="Calibri"/>
                <w:b/>
                <w:color w:val="243447"/>
                <w:sz w:val="19"/>
              </w:rPr>
              <w:t>Result</w:t>
            </w:r>
          </w:p>
        </w:tc>
      </w:tr>
      <w:tr>
        <w:tc>
          <w:tcPr>
            <w:tcW w:type="dxa" w:w="5700"/>
            <w:vAlign w:val="center"/>
            <w:tcMar>
              <w:top w:w="80" w:type="dxa"/>
              <w:start w:w="120" w:type="dxa"/>
              <w:bottom w:w="80" w:type="dxa"/>
              <w:end w:w="120" w:type="dxa"/>
            </w:tcMar>
          </w:tcPr>
          <w:p>
            <w:pPr>
              <w:spacing w:after="0" w:line="269" w:lineRule="auto"/>
            </w:pPr>
            <w:r>
              <w:rPr>
                <w:rFonts w:ascii="Calibri" w:hAnsi="Calibri"/>
                <w:b/>
                <w:color w:val="243447"/>
                <w:sz w:val="18"/>
              </w:rPr>
              <w:t>Application type checking</w:t>
            </w:r>
          </w:p>
        </w:tc>
        <w:tc>
          <w:tcPr>
            <w:tcW w:type="dxa" w:w="3660"/>
            <w:vAlign w:val="center"/>
            <w:tcMar>
              <w:top w:w="80" w:type="dxa"/>
              <w:start w:w="120" w:type="dxa"/>
              <w:bottom w:w="80" w:type="dxa"/>
              <w:end w:w="120" w:type="dxa"/>
            </w:tcMar>
          </w:tcPr>
          <w:p>
            <w:pPr>
              <w:spacing w:after="0" w:line="269" w:lineRule="auto"/>
            </w:pPr>
            <w:r>
              <w:rPr>
                <w:rFonts w:ascii="Calibri" w:hAnsi="Calibri"/>
                <w:color w:val="243447"/>
                <w:sz w:val="18"/>
              </w:rPr>
              <w:t>PASS</w:t>
            </w:r>
          </w:p>
        </w:tc>
      </w:tr>
      <w:tr>
        <w:tc>
          <w:tcPr>
            <w:tcW w:type="dxa" w:w="5700"/>
            <w:vAlign w:val="center"/>
            <w:tcMar>
              <w:top w:w="80" w:type="dxa"/>
              <w:start w:w="120" w:type="dxa"/>
              <w:bottom w:w="80" w:type="dxa"/>
              <w:end w:w="120" w:type="dxa"/>
            </w:tcMar>
          </w:tcPr>
          <w:p>
            <w:pPr>
              <w:spacing w:after="0" w:line="269" w:lineRule="auto"/>
            </w:pPr>
            <w:r>
              <w:rPr>
                <w:rFonts w:ascii="Calibri" w:hAnsi="Calibri"/>
                <w:b/>
                <w:color w:val="243447"/>
                <w:sz w:val="18"/>
              </w:rPr>
              <w:t>Application automated tests</w:t>
            </w:r>
          </w:p>
        </w:tc>
        <w:tc>
          <w:tcPr>
            <w:tcW w:type="dxa" w:w="3660"/>
            <w:vAlign w:val="center"/>
            <w:tcMar>
              <w:top w:w="80" w:type="dxa"/>
              <w:start w:w="120" w:type="dxa"/>
              <w:bottom w:w="80" w:type="dxa"/>
              <w:end w:w="120" w:type="dxa"/>
            </w:tcMar>
          </w:tcPr>
          <w:p>
            <w:pPr>
              <w:spacing w:after="0" w:line="269" w:lineRule="auto"/>
            </w:pPr>
            <w:r>
              <w:rPr>
                <w:rFonts w:ascii="Calibri" w:hAnsi="Calibri"/>
                <w:color w:val="243447"/>
                <w:sz w:val="18"/>
              </w:rPr>
              <w:t>PASS - 14 files, 109 tests</w:t>
            </w:r>
          </w:p>
        </w:tc>
      </w:tr>
      <w:tr>
        <w:tc>
          <w:tcPr>
            <w:tcW w:type="dxa" w:w="5700"/>
            <w:vAlign w:val="center"/>
            <w:tcMar>
              <w:top w:w="80" w:type="dxa"/>
              <w:start w:w="120" w:type="dxa"/>
              <w:bottom w:w="80" w:type="dxa"/>
              <w:end w:w="120" w:type="dxa"/>
            </w:tcMar>
          </w:tcPr>
          <w:p>
            <w:pPr>
              <w:spacing w:after="0" w:line="269" w:lineRule="auto"/>
            </w:pPr>
            <w:r>
              <w:rPr>
                <w:rFonts w:ascii="Calibri" w:hAnsi="Calibri"/>
                <w:b/>
                <w:color w:val="243447"/>
                <w:sz w:val="18"/>
              </w:rPr>
              <w:t>Worker type checking</w:t>
            </w:r>
          </w:p>
        </w:tc>
        <w:tc>
          <w:tcPr>
            <w:tcW w:type="dxa" w:w="3660"/>
            <w:vAlign w:val="center"/>
            <w:tcMar>
              <w:top w:w="80" w:type="dxa"/>
              <w:start w:w="120" w:type="dxa"/>
              <w:bottom w:w="80" w:type="dxa"/>
              <w:end w:w="120" w:type="dxa"/>
            </w:tcMar>
          </w:tcPr>
          <w:p>
            <w:pPr>
              <w:spacing w:after="0" w:line="269" w:lineRule="auto"/>
            </w:pPr>
            <w:r>
              <w:rPr>
                <w:rFonts w:ascii="Calibri" w:hAnsi="Calibri"/>
                <w:color w:val="243447"/>
                <w:sz w:val="18"/>
              </w:rPr>
              <w:t>PASS</w:t>
            </w:r>
          </w:p>
        </w:tc>
      </w:tr>
      <w:tr>
        <w:tc>
          <w:tcPr>
            <w:tcW w:type="dxa" w:w="5700"/>
            <w:vAlign w:val="center"/>
            <w:tcMar>
              <w:top w:w="80" w:type="dxa"/>
              <w:start w:w="120" w:type="dxa"/>
              <w:bottom w:w="80" w:type="dxa"/>
              <w:end w:w="120" w:type="dxa"/>
            </w:tcMar>
          </w:tcPr>
          <w:p>
            <w:pPr>
              <w:spacing w:after="0" w:line="269" w:lineRule="auto"/>
            </w:pPr>
            <w:r>
              <w:rPr>
                <w:rFonts w:ascii="Calibri" w:hAnsi="Calibri"/>
                <w:b/>
                <w:color w:val="243447"/>
                <w:sz w:val="18"/>
              </w:rPr>
              <w:t>Web export</w:t>
            </w:r>
          </w:p>
        </w:tc>
        <w:tc>
          <w:tcPr>
            <w:tcW w:type="dxa" w:w="3660"/>
            <w:vAlign w:val="center"/>
            <w:tcMar>
              <w:top w:w="80" w:type="dxa"/>
              <w:start w:w="120" w:type="dxa"/>
              <w:bottom w:w="80" w:type="dxa"/>
              <w:end w:w="120" w:type="dxa"/>
            </w:tcMar>
          </w:tcPr>
          <w:p>
            <w:pPr>
              <w:spacing w:after="0" w:line="269" w:lineRule="auto"/>
            </w:pPr>
            <w:r>
              <w:rPr>
                <w:rFonts w:ascii="Calibri" w:hAnsi="Calibri"/>
                <w:color w:val="243447"/>
                <w:sz w:val="18"/>
              </w:rPr>
              <w:t>PASS</w:t>
            </w:r>
          </w:p>
        </w:tc>
      </w:tr>
      <w:tr>
        <w:tc>
          <w:tcPr>
            <w:tcW w:type="dxa" w:w="5700"/>
            <w:vAlign w:val="center"/>
            <w:tcMar>
              <w:top w:w="80" w:type="dxa"/>
              <w:start w:w="120" w:type="dxa"/>
              <w:bottom w:w="80" w:type="dxa"/>
              <w:end w:w="120" w:type="dxa"/>
            </w:tcMar>
          </w:tcPr>
          <w:p>
            <w:pPr>
              <w:spacing w:after="0" w:line="269" w:lineRule="auto"/>
            </w:pPr>
            <w:r>
              <w:rPr>
                <w:rFonts w:ascii="Calibri" w:hAnsi="Calibri"/>
                <w:b/>
                <w:color w:val="243447"/>
                <w:sz w:val="18"/>
              </w:rPr>
              <w:t>Native Android bundleRelease</w:t>
            </w:r>
          </w:p>
        </w:tc>
        <w:tc>
          <w:tcPr>
            <w:tcW w:type="dxa" w:w="3660"/>
            <w:vAlign w:val="center"/>
            <w:tcMar>
              <w:top w:w="80" w:type="dxa"/>
              <w:start w:w="120" w:type="dxa"/>
              <w:bottom w:w="80" w:type="dxa"/>
              <w:end w:w="120" w:type="dxa"/>
            </w:tcMar>
          </w:tcPr>
          <w:p>
            <w:pPr>
              <w:spacing w:after="0" w:line="269" w:lineRule="auto"/>
            </w:pPr>
            <w:r>
              <w:rPr>
                <w:rFonts w:ascii="Calibri" w:hAnsi="Calibri"/>
                <w:color w:val="243447"/>
                <w:sz w:val="18"/>
              </w:rPr>
              <w:t>PASS - Java/Kotlin/C++/lint/AAB</w:t>
            </w:r>
          </w:p>
        </w:tc>
      </w:tr>
      <w:tr>
        <w:tc>
          <w:tcPr>
            <w:tcW w:type="dxa" w:w="5700"/>
            <w:vAlign w:val="center"/>
            <w:tcMar>
              <w:top w:w="80" w:type="dxa"/>
              <w:start w:w="120" w:type="dxa"/>
              <w:bottom w:w="80" w:type="dxa"/>
              <w:end w:w="120" w:type="dxa"/>
            </w:tcMar>
          </w:tcPr>
          <w:p>
            <w:pPr>
              <w:spacing w:after="0" w:line="269" w:lineRule="auto"/>
            </w:pPr>
            <w:r>
              <w:rPr>
                <w:rFonts w:ascii="Calibri" w:hAnsi="Calibri"/>
                <w:b/>
                <w:color w:val="243447"/>
                <w:sz w:val="18"/>
              </w:rPr>
              <w:t>Target API</w:t>
            </w:r>
          </w:p>
        </w:tc>
        <w:tc>
          <w:tcPr>
            <w:tcW w:type="dxa" w:w="3660"/>
            <w:vAlign w:val="center"/>
            <w:tcMar>
              <w:top w:w="80" w:type="dxa"/>
              <w:start w:w="120" w:type="dxa"/>
              <w:bottom w:w="80" w:type="dxa"/>
              <w:end w:w="120" w:type="dxa"/>
            </w:tcMar>
          </w:tcPr>
          <w:p>
            <w:pPr>
              <w:spacing w:after="0" w:line="269" w:lineRule="auto"/>
            </w:pPr>
            <w:r>
              <w:rPr>
                <w:rFonts w:ascii="Calibri" w:hAnsi="Calibri"/>
                <w:color w:val="243447"/>
                <w:sz w:val="18"/>
              </w:rPr>
              <w:t>PASS - API 36</w:t>
            </w:r>
          </w:p>
        </w:tc>
      </w:tr>
      <w:tr>
        <w:tc>
          <w:tcPr>
            <w:tcW w:type="dxa" w:w="5700"/>
            <w:vAlign w:val="center"/>
            <w:tcMar>
              <w:top w:w="80" w:type="dxa"/>
              <w:start w:w="120" w:type="dxa"/>
              <w:bottom w:w="80" w:type="dxa"/>
              <w:end w:w="120" w:type="dxa"/>
            </w:tcMar>
          </w:tcPr>
          <w:p>
            <w:pPr>
              <w:spacing w:after="0" w:line="269" w:lineRule="auto"/>
            </w:pPr>
            <w:r>
              <w:rPr>
                <w:rFonts w:ascii="Calibri" w:hAnsi="Calibri"/>
                <w:b/>
                <w:color w:val="243447"/>
                <w:sz w:val="18"/>
              </w:rPr>
              <w:t>Play Billing dependency</w:t>
            </w:r>
          </w:p>
        </w:tc>
        <w:tc>
          <w:tcPr>
            <w:tcW w:type="dxa" w:w="3660"/>
            <w:vAlign w:val="center"/>
            <w:tcMar>
              <w:top w:w="80" w:type="dxa"/>
              <w:start w:w="120" w:type="dxa"/>
              <w:bottom w:w="80" w:type="dxa"/>
              <w:end w:w="120" w:type="dxa"/>
            </w:tcMar>
          </w:tcPr>
          <w:p>
            <w:pPr>
              <w:spacing w:after="0" w:line="269" w:lineRule="auto"/>
            </w:pPr>
            <w:r>
              <w:rPr>
                <w:rFonts w:ascii="Calibri" w:hAnsi="Calibri"/>
                <w:color w:val="243447"/>
                <w:sz w:val="18"/>
              </w:rPr>
              <w:t>PASS - Billing 8.3.0</w:t>
            </w:r>
          </w:p>
        </w:tc>
      </w:tr>
      <w:tr>
        <w:tc>
          <w:tcPr>
            <w:tcW w:type="dxa" w:w="5700"/>
            <w:vAlign w:val="center"/>
            <w:tcMar>
              <w:top w:w="80" w:type="dxa"/>
              <w:start w:w="120" w:type="dxa"/>
              <w:bottom w:w="80" w:type="dxa"/>
              <w:end w:w="120" w:type="dxa"/>
            </w:tcMar>
          </w:tcPr>
          <w:p>
            <w:pPr>
              <w:spacing w:after="0" w:line="269" w:lineRule="auto"/>
            </w:pPr>
            <w:r>
              <w:rPr>
                <w:rFonts w:ascii="Calibri" w:hAnsi="Calibri"/>
                <w:b/>
                <w:color w:val="243447"/>
                <w:sz w:val="18"/>
              </w:rPr>
              <w:t>Supabase migrations</w:t>
            </w:r>
          </w:p>
        </w:tc>
        <w:tc>
          <w:tcPr>
            <w:tcW w:type="dxa" w:w="3660"/>
            <w:vAlign w:val="center"/>
            <w:tcMar>
              <w:top w:w="80" w:type="dxa"/>
              <w:start w:w="120" w:type="dxa"/>
              <w:bottom w:w="80" w:type="dxa"/>
              <w:end w:w="120" w:type="dxa"/>
            </w:tcMar>
          </w:tcPr>
          <w:p>
            <w:pPr>
              <w:spacing w:after="0" w:line="269" w:lineRule="auto"/>
            </w:pPr>
            <w:r>
              <w:rPr>
                <w:rFonts w:ascii="Calibri" w:hAnsi="Calibri"/>
                <w:color w:val="243447"/>
                <w:sz w:val="18"/>
              </w:rPr>
              <w:t>PASS - all expected migrations live</w:t>
            </w:r>
          </w:p>
        </w:tc>
      </w:tr>
      <w:tr>
        <w:tc>
          <w:tcPr>
            <w:tcW w:type="dxa" w:w="5700"/>
            <w:vAlign w:val="center"/>
            <w:tcMar>
              <w:top w:w="80" w:type="dxa"/>
              <w:start w:w="120" w:type="dxa"/>
              <w:bottom w:w="80" w:type="dxa"/>
              <w:end w:w="120" w:type="dxa"/>
            </w:tcMar>
          </w:tcPr>
          <w:p>
            <w:pPr>
              <w:spacing w:after="0" w:line="269" w:lineRule="auto"/>
            </w:pPr>
            <w:r>
              <w:rPr>
                <w:rFonts w:ascii="Calibri" w:hAnsi="Calibri"/>
                <w:b/>
                <w:color w:val="243447"/>
                <w:sz w:val="18"/>
              </w:rPr>
              <w:t>Storage buckets</w:t>
            </w:r>
          </w:p>
        </w:tc>
        <w:tc>
          <w:tcPr>
            <w:tcW w:type="dxa" w:w="3660"/>
            <w:vAlign w:val="center"/>
            <w:tcMar>
              <w:top w:w="80" w:type="dxa"/>
              <w:start w:w="120" w:type="dxa"/>
              <w:bottom w:w="80" w:type="dxa"/>
              <w:end w:w="120" w:type="dxa"/>
            </w:tcMar>
          </w:tcPr>
          <w:p>
            <w:pPr>
              <w:spacing w:after="0" w:line="269" w:lineRule="auto"/>
            </w:pPr>
            <w:r>
              <w:rPr>
                <w:rFonts w:ascii="Calibri" w:hAnsi="Calibri"/>
                <w:color w:val="243447"/>
                <w:sz w:val="18"/>
              </w:rPr>
              <w:t>PASS - private recordings/report-audio buckets present</w:t>
            </w:r>
          </w:p>
        </w:tc>
      </w:tr>
      <w:tr>
        <w:tc>
          <w:tcPr>
            <w:tcW w:type="dxa" w:w="5700"/>
            <w:vAlign w:val="center"/>
            <w:tcMar>
              <w:top w:w="80" w:type="dxa"/>
              <w:start w:w="120" w:type="dxa"/>
              <w:bottom w:w="80" w:type="dxa"/>
              <w:end w:w="120" w:type="dxa"/>
            </w:tcMar>
          </w:tcPr>
          <w:p>
            <w:pPr>
              <w:spacing w:after="0" w:line="269" w:lineRule="auto"/>
            </w:pPr>
            <w:r>
              <w:rPr>
                <w:rFonts w:ascii="Calibri" w:hAnsi="Calibri"/>
                <w:b/>
                <w:color w:val="243447"/>
                <w:sz w:val="18"/>
              </w:rPr>
              <w:t>Report processing</w:t>
            </w:r>
          </w:p>
        </w:tc>
        <w:tc>
          <w:tcPr>
            <w:tcW w:type="dxa" w:w="3660"/>
            <w:vAlign w:val="center"/>
            <w:tcMar>
              <w:top w:w="80" w:type="dxa"/>
              <w:start w:w="120" w:type="dxa"/>
              <w:bottom w:w="80" w:type="dxa"/>
              <w:end w:w="120" w:type="dxa"/>
            </w:tcMar>
          </w:tcPr>
          <w:p>
            <w:pPr>
              <w:spacing w:after="0" w:line="269" w:lineRule="auto"/>
            </w:pPr>
            <w:r>
              <w:rPr>
                <w:rFonts w:ascii="Calibri" w:hAnsi="Calibri"/>
                <w:color w:val="243447"/>
                <w:sz w:val="18"/>
              </w:rPr>
              <w:t>PASS - at least one completed report, no failed jobs found</w:t>
            </w:r>
          </w:p>
        </w:tc>
      </w:tr>
      <w:tr>
        <w:tc>
          <w:tcPr>
            <w:tcW w:type="dxa" w:w="5700"/>
            <w:vAlign w:val="center"/>
            <w:tcMar>
              <w:top w:w="80" w:type="dxa"/>
              <w:start w:w="120" w:type="dxa"/>
              <w:bottom w:w="80" w:type="dxa"/>
              <w:end w:w="120" w:type="dxa"/>
            </w:tcMar>
          </w:tcPr>
          <w:p>
            <w:pPr>
              <w:spacing w:after="0" w:line="269" w:lineRule="auto"/>
            </w:pPr>
            <w:r>
              <w:rPr>
                <w:rFonts w:ascii="Calibri" w:hAnsi="Calibri"/>
                <w:b/>
                <w:color w:val="243447"/>
                <w:sz w:val="18"/>
              </w:rPr>
              <w:t>Railway worker</w:t>
            </w:r>
          </w:p>
        </w:tc>
        <w:tc>
          <w:tcPr>
            <w:tcW w:type="dxa" w:w="3660"/>
            <w:vAlign w:val="center"/>
            <w:tcMar>
              <w:top w:w="80" w:type="dxa"/>
              <w:start w:w="120" w:type="dxa"/>
              <w:bottom w:w="80" w:type="dxa"/>
              <w:end w:w="120" w:type="dxa"/>
            </w:tcMar>
          </w:tcPr>
          <w:p>
            <w:pPr>
              <w:spacing w:after="0" w:line="269" w:lineRule="auto"/>
            </w:pPr>
            <w:r>
              <w:rPr>
                <w:rFonts w:ascii="Calibri" w:hAnsi="Calibri"/>
                <w:color w:val="243447"/>
                <w:sz w:val="18"/>
              </w:rPr>
              <w:t>PASS - production deployment healthy</w:t>
            </w:r>
          </w:p>
        </w:tc>
      </w:tr>
      <w:tr>
        <w:tc>
          <w:tcPr>
            <w:tcW w:type="dxa" w:w="5700"/>
            <w:vAlign w:val="center"/>
            <w:tcMar>
              <w:top w:w="80" w:type="dxa"/>
              <w:start w:w="120" w:type="dxa"/>
              <w:bottom w:w="80" w:type="dxa"/>
              <w:end w:w="120" w:type="dxa"/>
            </w:tcMar>
          </w:tcPr>
          <w:p>
            <w:pPr>
              <w:spacing w:after="0" w:line="269" w:lineRule="auto"/>
            </w:pPr>
            <w:r>
              <w:rPr>
                <w:rFonts w:ascii="Calibri" w:hAnsi="Calibri"/>
                <w:b/>
                <w:color w:val="243447"/>
                <w:sz w:val="18"/>
              </w:rPr>
              <w:t>Worker production audit</w:t>
            </w:r>
          </w:p>
        </w:tc>
        <w:tc>
          <w:tcPr>
            <w:tcW w:type="dxa" w:w="3660"/>
            <w:vAlign w:val="center"/>
            <w:tcMar>
              <w:top w:w="80" w:type="dxa"/>
              <w:start w:w="120" w:type="dxa"/>
              <w:bottom w:w="80" w:type="dxa"/>
              <w:end w:w="120" w:type="dxa"/>
            </w:tcMar>
          </w:tcPr>
          <w:p>
            <w:pPr>
              <w:spacing w:after="0" w:line="269" w:lineRule="auto"/>
            </w:pPr>
            <w:r>
              <w:rPr>
                <w:rFonts w:ascii="Calibri" w:hAnsi="Calibri"/>
                <w:color w:val="243447"/>
                <w:sz w:val="18"/>
              </w:rPr>
              <w:t>PASS - zero known vulnerabilities</w:t>
            </w:r>
          </w:p>
        </w:tc>
      </w:tr>
      <w:tr>
        <w:tc>
          <w:tcPr>
            <w:tcW w:type="dxa" w:w="5700"/>
            <w:vAlign w:val="center"/>
            <w:tcMar>
              <w:top w:w="80" w:type="dxa"/>
              <w:start w:w="120" w:type="dxa"/>
              <w:bottom w:w="80" w:type="dxa"/>
              <w:end w:w="120" w:type="dxa"/>
            </w:tcMar>
          </w:tcPr>
          <w:p>
            <w:pPr>
              <w:spacing w:after="0" w:line="269" w:lineRule="auto"/>
            </w:pPr>
            <w:r>
              <w:rPr>
                <w:rFonts w:ascii="Calibri" w:hAnsi="Calibri"/>
                <w:b/>
                <w:color w:val="243447"/>
                <w:sz w:val="18"/>
              </w:rPr>
              <w:t>Primary UI smoke test</w:t>
            </w:r>
          </w:p>
        </w:tc>
        <w:tc>
          <w:tcPr>
            <w:tcW w:type="dxa" w:w="3660"/>
            <w:vAlign w:val="center"/>
            <w:tcMar>
              <w:top w:w="80" w:type="dxa"/>
              <w:start w:w="120" w:type="dxa"/>
              <w:bottom w:w="80" w:type="dxa"/>
              <w:end w:w="120" w:type="dxa"/>
            </w:tcMar>
          </w:tcPr>
          <w:p>
            <w:pPr>
              <w:spacing w:after="0" w:line="269" w:lineRule="auto"/>
            </w:pPr>
            <w:r>
              <w:rPr>
                <w:rFonts w:ascii="Calibri" w:hAnsi="Calibri"/>
                <w:color w:val="243447"/>
                <w:sz w:val="18"/>
              </w:rPr>
              <w:t>PASS - Tonight, Gallery, Light Map, settings, paywall rendered</w:t>
            </w:r>
          </w:p>
        </w:tc>
      </w:tr>
      <w:tr>
        <w:tc>
          <w:tcPr>
            <w:tcW w:type="dxa" w:w="5700"/>
            <w:vAlign w:val="center"/>
            <w:tcMar>
              <w:top w:w="80" w:type="dxa"/>
              <w:start w:w="120" w:type="dxa"/>
              <w:bottom w:w="80" w:type="dxa"/>
              <w:end w:w="120" w:type="dxa"/>
            </w:tcMar>
          </w:tcPr>
          <w:p>
            <w:pPr>
              <w:spacing w:after="0" w:line="269" w:lineRule="auto"/>
            </w:pPr>
            <w:r>
              <w:rPr>
                <w:rFonts w:ascii="Calibri" w:hAnsi="Calibri"/>
                <w:b/>
                <w:color w:val="243447"/>
                <w:sz w:val="18"/>
              </w:rPr>
              <w:t>Expo doctor</w:t>
            </w:r>
          </w:p>
        </w:tc>
        <w:tc>
          <w:tcPr>
            <w:tcW w:type="dxa" w:w="3660"/>
            <w:vAlign w:val="center"/>
            <w:tcMar>
              <w:top w:w="80" w:type="dxa"/>
              <w:start w:w="120" w:type="dxa"/>
              <w:bottom w:w="80" w:type="dxa"/>
              <w:end w:w="120" w:type="dxa"/>
            </w:tcMar>
          </w:tcPr>
          <w:p>
            <w:pPr>
              <w:spacing w:after="0" w:line="269" w:lineRule="auto"/>
            </w:pPr>
            <w:r>
              <w:rPr>
                <w:rFonts w:ascii="Calibri" w:hAnsi="Calibri"/>
                <w:color w:val="243447"/>
                <w:sz w:val="18"/>
              </w:rPr>
              <w:t>PARTIAL - 20/21 checks; patch updates required</w:t>
            </w:r>
          </w:p>
        </w:tc>
      </w:tr>
      <w:tr>
        <w:tc>
          <w:tcPr>
            <w:tcW w:type="dxa" w:w="5700"/>
            <w:vAlign w:val="center"/>
            <w:tcMar>
              <w:top w:w="80" w:type="dxa"/>
              <w:start w:w="120" w:type="dxa"/>
              <w:bottom w:w="80" w:type="dxa"/>
              <w:end w:w="120" w:type="dxa"/>
            </w:tcMar>
          </w:tcPr>
          <w:p>
            <w:pPr>
              <w:spacing w:after="0" w:line="269" w:lineRule="auto"/>
            </w:pPr>
            <w:r>
              <w:rPr>
                <w:rFonts w:ascii="Calibri" w:hAnsi="Calibri"/>
                <w:b/>
                <w:color w:val="243447"/>
                <w:sz w:val="18"/>
              </w:rPr>
              <w:t>Root dependency audit</w:t>
            </w:r>
          </w:p>
        </w:tc>
        <w:tc>
          <w:tcPr>
            <w:tcW w:type="dxa" w:w="3660"/>
            <w:vAlign w:val="center"/>
            <w:tcMar>
              <w:top w:w="80" w:type="dxa"/>
              <w:start w:w="120" w:type="dxa"/>
              <w:bottom w:w="80" w:type="dxa"/>
              <w:end w:w="120" w:type="dxa"/>
            </w:tcMar>
          </w:tcPr>
          <w:p>
            <w:pPr>
              <w:spacing w:after="0" w:line="269" w:lineRule="auto"/>
            </w:pPr>
            <w:r>
              <w:rPr>
                <w:rFonts w:ascii="Calibri" w:hAnsi="Calibri"/>
                <w:color w:val="243447"/>
                <w:sz w:val="18"/>
              </w:rPr>
              <w:t>FAIL - 12 high and 9 moderate findings</w:t>
            </w:r>
          </w:p>
        </w:tc>
      </w:tr>
    </w:tbl>
    <w:p>
      <w:pPr>
        <w:spacing w:after="40" w:before="40"/>
      </w:pPr>
    </w:p>
    <w:p>
      <w:pPr>
        <w:pStyle w:val="Heading1"/>
        <w:keepNext/>
      </w:pPr>
      <w:r>
        <w:t>9. Required release test matrix</w:t>
      </w:r>
    </w:p>
    <w:p>
      <w:r>
        <w:t>Execute these tests from the signed AAB installed through Google Play internal testing, using production-like services and licensed test accounts:</w:t>
      </w:r>
    </w:p>
    <w:p>
      <w:pPr>
        <w:numPr>
          <w:ilvl w:val="0"/>
          <w:numId w:val="41"/>
        </w:numPr>
      </w:pPr>
      <w:r>
        <w:t>Fresh install and first-night onboarding on at least one current Android device and one API 24-compatible device/emulator.</w:t>
      </w:r>
    </w:p>
    <w:p>
      <w:pPr>
        <w:numPr>
          <w:ilvl w:val="0"/>
          <w:numId w:val="41"/>
        </w:numPr>
      </w:pPr>
      <w:r>
        <w:t>Microphone permission denial, later approval, interruption, recording completion, playback, and local persistence.</w:t>
      </w:r>
    </w:p>
    <w:p>
      <w:pPr>
        <w:numPr>
          <w:ilvl w:val="0"/>
          <w:numId w:val="41"/>
        </w:numPr>
      </w:pPr>
      <w:r>
        <w:t>Anonymous identity creation, email upgrade, email recovery, Google/Apple paths if retained, logout, and reconnect.</w:t>
      </w:r>
    </w:p>
    <w:p>
      <w:pPr>
        <w:numPr>
          <w:ilvl w:val="0"/>
          <w:numId w:val="41"/>
        </w:numPr>
      </w:pPr>
      <w:r>
        <w:t>Backup upload over Wi-Fi and cellular, retry after failure, duplicate prevention, checksum verification, and playback from signed URLs.</w:t>
      </w:r>
    </w:p>
    <w:p>
      <w:pPr>
        <w:numPr>
          <w:ilvl w:val="0"/>
          <w:numId w:val="41"/>
        </w:numPr>
      </w:pPr>
      <w:r>
        <w:t>Reflection-processing consent opt-in, server reconciliation, worker completion, report playback, retry, and consent withdrawal behavior.</w:t>
      </w:r>
    </w:p>
    <w:p>
      <w:pPr>
        <w:numPr>
          <w:ilvl w:val="0"/>
          <w:numId w:val="41"/>
        </w:numPr>
      </w:pPr>
      <w:r>
        <w:t>Purchase each one-time product with a license tester; verify localized price, cancellation, pending transaction, successful webhook grant, app unlock, and relaunch persistence.</w:t>
      </w:r>
    </w:p>
    <w:p>
      <w:pPr>
        <w:numPr>
          <w:ilvl w:val="0"/>
          <w:numId w:val="41"/>
        </w:numPr>
      </w:pPr>
      <w:r>
        <w:t>Restore purchases after reinstall and on a second device/account-compatible scenario.</w:t>
      </w:r>
    </w:p>
    <w:p>
      <w:pPr>
        <w:numPr>
          <w:ilvl w:val="0"/>
          <w:numId w:val="41"/>
        </w:numPr>
      </w:pPr>
      <w:r>
        <w:t>In-app cloud deletion, public web deletion request, complete data/storage cleanup, RevenueCat cleanup, and safe handling of failed deletion.</w:t>
      </w:r>
    </w:p>
    <w:p>
      <w:pPr>
        <w:numPr>
          <w:ilvl w:val="0"/>
          <w:numId w:val="41"/>
        </w:numPr>
      </w:pPr>
      <w:r>
        <w:t>Offline launch, offline recording, reconnect/synchronize behavior, worker outage messaging, and Supabase outage messaging.</w:t>
      </w:r>
    </w:p>
    <w:p>
      <w:pPr>
        <w:numPr>
          <w:ilvl w:val="0"/>
          <w:numId w:val="41"/>
        </w:numPr>
      </w:pPr>
      <w:r>
        <w:t>Notifications/reminders on Android 13+ with both approval and denial of POST_NOTIFICATIONS.</w:t>
      </w:r>
    </w:p>
    <w:p>
      <w:pPr>
        <w:numPr>
          <w:ilvl w:val="0"/>
          <w:numId w:val="41"/>
        </w:numPr>
      </w:pPr>
      <w:r>
        <w:t>All Privacy, Terms, Support, and Delete Account links from every relevant screen.</w:t>
      </w:r>
    </w:p>
    <w:p>
      <w:pPr>
        <w:numPr>
          <w:ilvl w:val="0"/>
          <w:numId w:val="41"/>
        </w:numPr>
      </w:pPr>
      <w:r>
        <w:t>Google Play pre-launch report, device catalog exclusions, Android vitals baseline, 16 KB page compatibility, and policy warnings on the uploaded artifact.</w:t>
      </w:r>
    </w:p>
    <w:p>
      <w:pPr>
        <w:pStyle w:val="Heading1"/>
        <w:keepNext/>
      </w:pPr>
      <w:r>
        <w:t>10. Sequenced publication plan</w:t>
      </w:r>
    </w:p>
    <w:p>
      <w:pPr>
        <w:numPr>
          <w:ilvl w:val="0"/>
          <w:numId w:val="43"/>
        </w:numPr>
      </w:pPr>
      <w:r>
        <w:rPr>
          <w:b/>
        </w:rPr>
        <w:t>Repair and freeze the release baseline.</w:t>
      </w:r>
      <w:r>
        <w:t xml:space="preserve"> Remove invalid eas.json fields, update stale comments, commit all intended fixes, pin Node 22, and create a release branch/tag.</w:t>
      </w:r>
    </w:p>
    <w:p>
      <w:pPr>
        <w:numPr>
          <w:ilvl w:val="0"/>
          <w:numId w:val="43"/>
        </w:numPr>
      </w:pPr>
      <w:r>
        <w:rPr>
          <w:b/>
        </w:rPr>
        <w:t>Connect EAS and Play credentials.</w:t>
      </w:r>
      <w:r>
        <w:t xml:space="preserve"> Authenticate EAS, link the production project, configure Android signing/upload credentials, verify remote versioning, and set production environment variables.</w:t>
      </w:r>
    </w:p>
    <w:p>
      <w:pPr>
        <w:numPr>
          <w:ilvl w:val="0"/>
          <w:numId w:val="43"/>
        </w:numPr>
      </w:pPr>
      <w:r>
        <w:rPr>
          <w:b/>
        </w:rPr>
        <w:t>Complete production auth.</w:t>
      </w:r>
      <w:r>
        <w:t xml:space="preserve"> Configure Google and Apple providers fully or hide them; configure SMTP and make email confirmation behavior match the UI.</w:t>
      </w:r>
    </w:p>
    <w:p>
      <w:pPr>
        <w:numPr>
          <w:ilvl w:val="0"/>
          <w:numId w:val="43"/>
        </w:numPr>
      </w:pPr>
      <w:r>
        <w:rPr>
          <w:b/>
        </w:rPr>
        <w:t>Complete purchases.</w:t>
      </w:r>
      <w:r>
        <w:t xml:space="preserve"> Create/activate Play one-time products, connect RevenueCat, configure offering and webhook secrets, and prove purchase/restore/server grants.</w:t>
      </w:r>
    </w:p>
    <w:p>
      <w:pPr>
        <w:numPr>
          <w:ilvl w:val="0"/>
          <w:numId w:val="43"/>
        </w:numPr>
      </w:pPr>
      <w:r>
        <w:rPr>
          <w:b/>
        </w:rPr>
        <w:t>Complete deletion and legal pages.</w:t>
      </w:r>
      <w:r>
        <w:t xml:space="preserve"> Publish legal/support/delete pages, configure RevenueCat cleanup, and pass both in-app and web deletion tests.</w:t>
      </w:r>
    </w:p>
    <w:p>
      <w:pPr>
        <w:numPr>
          <w:ilvl w:val="0"/>
          <w:numId w:val="43"/>
        </w:numPr>
      </w:pPr>
      <w:r>
        <w:rPr>
          <w:b/>
        </w:rPr>
        <w:t>Reduce Android policy surface.</w:t>
      </w:r>
      <w:r>
        <w:t xml:space="preserve"> Remove overlay permission, disable unnecessary background playback/foreground service, update Expo patches, and rerun doctor/audits.</w:t>
      </w:r>
    </w:p>
    <w:p>
      <w:pPr>
        <w:numPr>
          <w:ilvl w:val="0"/>
          <w:numId w:val="43"/>
        </w:numPr>
      </w:pPr>
      <w:r>
        <w:rPr>
          <w:b/>
        </w:rPr>
        <w:t>Prepare listing and forms.</w:t>
      </w:r>
      <w:r>
        <w:t xml:space="preserve"> Produce clean creative assets and copy; complete Data safety, health, content rating, target audience, app access, ads, and deletion declarations.</w:t>
      </w:r>
    </w:p>
    <w:p>
      <w:pPr>
        <w:numPr>
          <w:ilvl w:val="0"/>
          <w:numId w:val="43"/>
        </w:numPr>
      </w:pPr>
      <w:r>
        <w:rPr>
          <w:b/>
        </w:rPr>
        <w:t>Build and test the signed candidate.</w:t>
      </w:r>
      <w:r>
        <w:t xml:space="preserve"> Create the EAS production AAB, upload to internal testing, execute the full test matrix, and resolve Play pre-launch findings.</w:t>
      </w:r>
    </w:p>
    <w:p>
      <w:pPr>
        <w:numPr>
          <w:ilvl w:val="0"/>
          <w:numId w:val="43"/>
        </w:numPr>
      </w:pPr>
      <w:r>
        <w:rPr>
          <w:b/>
        </w:rPr>
        <w:t>Complete required closed testing.</w:t>
      </w:r>
      <w:r>
        <w:t xml:space="preserve"> If applicable, maintain 12 opted-in testers for 14 continuous days and submit the production-access application.</w:t>
      </w:r>
    </w:p>
    <w:p>
      <w:pPr>
        <w:numPr>
          <w:ilvl w:val="0"/>
          <w:numId w:val="43"/>
        </w:numPr>
      </w:pPr>
      <w:r>
        <w:rPr>
          <w:b/>
        </w:rPr>
        <w:t>Promote with monitoring.</w:t>
      </w:r>
      <w:r>
        <w:t xml:space="preserve"> Use a staged production rollout, monitor purchases, webhook errors, queue age, crashes, ANRs, and support traffic, then expand cautiously.</w:t>
      </w:r>
    </w:p>
    <w:p>
      <w:pPr>
        <w:pStyle w:val="Heading1"/>
        <w:keepNext/>
      </w:pPr>
      <w:r>
        <w:t>11. Release acceptance criteria</w:t>
      </w:r>
    </w:p>
    <w:p>
      <w:r>
        <w:t>The app is ready for production submission only when all of the following are true:</w:t>
      </w:r>
    </w:p>
    <w:p>
      <w:pPr>
        <w:numPr>
          <w:ilvl w:val="0"/>
          <w:numId w:val="41"/>
        </w:numPr>
      </w:pPr>
      <w:r>
        <w:t>A clean, committed release candidate builds through EAS and the exact signed AAB is archived.</w:t>
      </w:r>
    </w:p>
    <w:p>
      <w:pPr>
        <w:numPr>
          <w:ilvl w:val="0"/>
          <w:numId w:val="41"/>
        </w:numPr>
      </w:pPr>
      <w:r>
        <w:t>All EAS production variables, Android credentials, package metadata, and version codes are verified.</w:t>
      </w:r>
    </w:p>
    <w:p>
      <w:pPr>
        <w:numPr>
          <w:ilvl w:val="0"/>
          <w:numId w:val="41"/>
        </w:numPr>
      </w:pPr>
      <w:r>
        <w:t>Google/Apple/email authentication choices shown in the app work in production.</w:t>
      </w:r>
    </w:p>
    <w:p>
      <w:pPr>
        <w:numPr>
          <w:ilvl w:val="0"/>
          <w:numId w:val="41"/>
        </w:numPr>
      </w:pPr>
      <w:r>
        <w:t>Both one-time products display localized prices and pass purchase, cancellation, webhook, unlock, and restore tests.</w:t>
      </w:r>
    </w:p>
    <w:p>
      <w:pPr>
        <w:numPr>
          <w:ilvl w:val="0"/>
          <w:numId w:val="41"/>
        </w:numPr>
      </w:pPr>
      <w:r>
        <w:t>Backups and reflection processing complete reliably from the signed Play build.</w:t>
      </w:r>
    </w:p>
    <w:p>
      <w:pPr>
        <w:numPr>
          <w:ilvl w:val="0"/>
          <w:numId w:val="41"/>
        </w:numPr>
      </w:pPr>
      <w:r>
        <w:t>In-app and web account deletion complete safely, including storage and RevenueCat cleanup.</w:t>
      </w:r>
    </w:p>
    <w:p>
      <w:pPr>
        <w:numPr>
          <w:ilvl w:val="0"/>
          <w:numId w:val="41"/>
        </w:numPr>
      </w:pPr>
      <w:r>
        <w:t>The release manifest contains only justified permissions and services; any retained foreground service is declared in Play Console.</w:t>
      </w:r>
    </w:p>
    <w:p>
      <w:pPr>
        <w:numPr>
          <w:ilvl w:val="0"/>
          <w:numId w:val="41"/>
        </w:numPr>
      </w:pPr>
      <w:r>
        <w:t>Expo doctor and dependency findings are resolved or explicitly risk-accepted with evidence.</w:t>
      </w:r>
    </w:p>
    <w:p>
      <w:pPr>
        <w:numPr>
          <w:ilvl w:val="0"/>
          <w:numId w:val="41"/>
        </w:numPr>
      </w:pPr>
      <w:r>
        <w:t>All legal URLs are public, accurate, and reachable from the app and Play listing.</w:t>
      </w:r>
    </w:p>
    <w:p>
      <w:pPr>
        <w:numPr>
          <w:ilvl w:val="0"/>
          <w:numId w:val="41"/>
        </w:numPr>
      </w:pPr>
      <w:r>
        <w:t>Store assets and listing copy are final and contain no development UI or placeholder states.</w:t>
      </w:r>
    </w:p>
    <w:p>
      <w:pPr>
        <w:numPr>
          <w:ilvl w:val="0"/>
          <w:numId w:val="41"/>
        </w:numPr>
      </w:pPr>
      <w:r>
        <w:t>Every Play Console declaration is complete and consistent with actual application behavior.</w:t>
      </w:r>
    </w:p>
    <w:p>
      <w:pPr>
        <w:numPr>
          <w:ilvl w:val="0"/>
          <w:numId w:val="41"/>
        </w:numPr>
      </w:pPr>
      <w:r>
        <w:t>Internal testing and any required closed-testing period are complete with no unresolved launch-severity defects.</w:t>
      </w:r>
    </w:p>
    <w:p>
      <w:pPr>
        <w:numPr>
          <w:ilvl w:val="0"/>
          <w:numId w:val="41"/>
        </w:numPr>
      </w:pPr>
      <w:r>
        <w:t>Crash, ANR, purchase-webhook, queue-failure, and support monitoring are active before rollout.</w:t>
      </w:r>
    </w:p>
    <w:p>
      <w:pPr>
        <w:spacing w:before="120" w:after="200"/>
        <w:ind w:left="173" w:right="173"/>
        <w:shd w:fill="FFF6DD"/>
        <w:pBdr>
          <w:left w:val="single" w:sz="18" w:space="6" w:color="7A5A00"/>
        </w:pBdr>
      </w:pPr>
      <w:r>
        <w:rPr>
          <w:rFonts w:ascii="Calibri" w:hAnsi="Calibri"/>
          <w:b/>
          <w:color w:val="7A5A00"/>
          <w:sz w:val="22"/>
        </w:rPr>
        <w:t xml:space="preserve">Final recommendation: </w:t>
      </w:r>
      <w:r>
        <w:rPr>
          <w:rFonts w:ascii="Calibri" w:hAnsi="Calibri"/>
          <w:color w:val="243447"/>
          <w:sz w:val="22"/>
        </w:rPr>
        <w:t>Treat this as a controlled launch-readiness sprint rather than a direct submission. The build foundation is sound; closing the integration, compliance, and operational gaps should produce a credible Google Play candidate without a major rewrite.</w:t>
      </w:r>
    </w:p>
    <w:p>
      <w:pPr>
        <w:pStyle w:val="Heading1"/>
        <w:keepNext/>
      </w:pPr>
      <w:r>
        <w:t>12. Official references</w:t>
      </w:r>
    </w:p>
    <w:p>
      <w:pPr>
        <w:numPr>
          <w:ilvl w:val="0"/>
          <w:numId w:val="41"/>
        </w:numPr>
      </w:pPr>
      <w:hyperlink r:id="rId11">
        <w:r>
          <w:rPr>
            <w:color w:val="2E74B5"/>
            <w:u w:val="single"/>
          </w:rPr>
          <w:t>Google Play target API level requirements</w:t>
        </w:r>
      </w:hyperlink>
      <w:r>
        <w:rPr>
          <w:rFonts w:ascii="Calibri" w:hAnsi="Calibri"/>
          <w:color w:val="667085"/>
          <w:sz w:val="18"/>
        </w:rPr>
        <w:t xml:space="preserve"> - https://support.google.com/googleplay/android-developer/answer/11926878</w:t>
      </w:r>
    </w:p>
    <w:p>
      <w:pPr>
        <w:numPr>
          <w:ilvl w:val="0"/>
          <w:numId w:val="41"/>
        </w:numPr>
      </w:pPr>
      <w:hyperlink r:id="rId12">
        <w:r>
          <w:rPr>
            <w:color w:val="2E74B5"/>
            <w:u w:val="single"/>
          </w:rPr>
          <w:t>Google Play Billing deprecation FAQ</w:t>
        </w:r>
      </w:hyperlink>
      <w:r>
        <w:rPr>
          <w:rFonts w:ascii="Calibri" w:hAnsi="Calibri"/>
          <w:color w:val="667085"/>
          <w:sz w:val="18"/>
        </w:rPr>
        <w:t xml:space="preserve"> - https://developer.android.com/google/play/billing/deprecation-faq</w:t>
      </w:r>
    </w:p>
    <w:p>
      <w:pPr>
        <w:numPr>
          <w:ilvl w:val="0"/>
          <w:numId w:val="41"/>
        </w:numPr>
      </w:pPr>
      <w:hyperlink r:id="rId13">
        <w:r>
          <w:rPr>
            <w:color w:val="2E74B5"/>
            <w:u w:val="single"/>
          </w:rPr>
          <w:t>Google Play testing requirements for new personal accounts</w:t>
        </w:r>
      </w:hyperlink>
      <w:r>
        <w:rPr>
          <w:rFonts w:ascii="Calibri" w:hAnsi="Calibri"/>
          <w:color w:val="667085"/>
          <w:sz w:val="18"/>
        </w:rPr>
        <w:t xml:space="preserve"> - https://support.google.com/googleplay/android-developer/answer/14151465</w:t>
      </w:r>
    </w:p>
    <w:p>
      <w:pPr>
        <w:numPr>
          <w:ilvl w:val="0"/>
          <w:numId w:val="41"/>
        </w:numPr>
      </w:pPr>
      <w:hyperlink r:id="rId14">
        <w:r>
          <w:rPr>
            <w:color w:val="2E74B5"/>
            <w:u w:val="single"/>
          </w:rPr>
          <w:t>Google Play account deletion requirements</w:t>
        </w:r>
      </w:hyperlink>
      <w:r>
        <w:rPr>
          <w:rFonts w:ascii="Calibri" w:hAnsi="Calibri"/>
          <w:color w:val="667085"/>
          <w:sz w:val="18"/>
        </w:rPr>
        <w:t xml:space="preserve"> - https://support.google.com/googleplay/android-developer/answer/13327111</w:t>
      </w:r>
    </w:p>
    <w:p>
      <w:pPr>
        <w:numPr>
          <w:ilvl w:val="0"/>
          <w:numId w:val="41"/>
        </w:numPr>
      </w:pPr>
      <w:hyperlink r:id="rId15">
        <w:r>
          <w:rPr>
            <w:color w:val="2E74B5"/>
            <w:u w:val="single"/>
          </w:rPr>
          <w:t>Google Play Data safety form guidance</w:t>
        </w:r>
      </w:hyperlink>
      <w:r>
        <w:rPr>
          <w:rFonts w:ascii="Calibri" w:hAnsi="Calibri"/>
          <w:color w:val="667085"/>
          <w:sz w:val="18"/>
        </w:rPr>
        <w:t xml:space="preserve"> - https://support.google.com/googleplay/android-developer/answer/10787469</w:t>
      </w:r>
    </w:p>
    <w:p>
      <w:pPr>
        <w:numPr>
          <w:ilvl w:val="0"/>
          <w:numId w:val="41"/>
        </w:numPr>
      </w:pPr>
      <w:hyperlink r:id="rId16">
        <w:r>
          <w:rPr>
            <w:color w:val="2E74B5"/>
            <w:u w:val="single"/>
          </w:rPr>
          <w:t>Google Play health-app declaration</w:t>
        </w:r>
      </w:hyperlink>
      <w:r>
        <w:rPr>
          <w:rFonts w:ascii="Calibri" w:hAnsi="Calibri"/>
          <w:color w:val="667085"/>
          <w:sz w:val="18"/>
        </w:rPr>
        <w:t xml:space="preserve"> - https://support.google.com/googleplay/android-developer/answer/14738291</w:t>
      </w:r>
    </w:p>
    <w:p>
      <w:pPr>
        <w:numPr>
          <w:ilvl w:val="0"/>
          <w:numId w:val="41"/>
        </w:numPr>
      </w:pPr>
      <w:hyperlink r:id="rId17">
        <w:r>
          <w:rPr>
            <w:color w:val="2E74B5"/>
            <w:u w:val="single"/>
          </w:rPr>
          <w:t>Google Play health content and services policy</w:t>
        </w:r>
      </w:hyperlink>
      <w:r>
        <w:rPr>
          <w:rFonts w:ascii="Calibri" w:hAnsi="Calibri"/>
          <w:color w:val="667085"/>
          <w:sz w:val="18"/>
        </w:rPr>
        <w:t xml:space="preserve"> - https://support.google.com/googleplay/android-developer/answer/16679511</w:t>
      </w:r>
    </w:p>
    <w:p>
      <w:pPr>
        <w:numPr>
          <w:ilvl w:val="0"/>
          <w:numId w:val="41"/>
        </w:numPr>
      </w:pPr>
      <w:hyperlink r:id="rId18">
        <w:r>
          <w:rPr>
            <w:color w:val="2E74B5"/>
            <w:u w:val="single"/>
          </w:rPr>
          <w:t>Google Play preview asset specifications</w:t>
        </w:r>
      </w:hyperlink>
      <w:r>
        <w:rPr>
          <w:rFonts w:ascii="Calibri" w:hAnsi="Calibri"/>
          <w:color w:val="667085"/>
          <w:sz w:val="18"/>
        </w:rPr>
        <w:t xml:space="preserve"> - https://support.google.com/googleplay/android-developer/answer/9866151</w:t>
      </w:r>
    </w:p>
    <w:p>
      <w:pPr>
        <w:numPr>
          <w:ilvl w:val="0"/>
          <w:numId w:val="41"/>
        </w:numPr>
      </w:pPr>
      <w:hyperlink r:id="rId19">
        <w:r>
          <w:rPr>
            <w:color w:val="2E74B5"/>
            <w:u w:val="single"/>
          </w:rPr>
          <w:t>Google Play foreground-service requirements</w:t>
        </w:r>
      </w:hyperlink>
      <w:r>
        <w:rPr>
          <w:rFonts w:ascii="Calibri" w:hAnsi="Calibri"/>
          <w:color w:val="667085"/>
          <w:sz w:val="18"/>
        </w:rPr>
        <w:t xml:space="preserve"> - https://support.google.com/googleplay/android-developer/answer/13392821</w:t>
      </w:r>
    </w:p>
    <w:p>
      <w:pPr>
        <w:numPr>
          <w:ilvl w:val="0"/>
          <w:numId w:val="41"/>
        </w:numPr>
      </w:pPr>
      <w:hyperlink r:id="rId20">
        <w:r>
          <w:rPr>
            <w:color w:val="2E74B5"/>
            <w:u w:val="single"/>
          </w:rPr>
          <w:t>Android 14 foreground-service types</w:t>
        </w:r>
      </w:hyperlink>
      <w:r>
        <w:rPr>
          <w:rFonts w:ascii="Calibri" w:hAnsi="Calibri"/>
          <w:color w:val="667085"/>
          <w:sz w:val="18"/>
        </w:rPr>
        <w:t xml:space="preserve"> - https://developer.android.com/about/versions/14/changes/fgs-types-required</w:t>
      </w:r>
    </w:p>
    <w:p>
      <w:pPr>
        <w:numPr>
          <w:ilvl w:val="0"/>
          <w:numId w:val="41"/>
        </w:numPr>
      </w:pPr>
      <w:hyperlink r:id="rId21">
        <w:r>
          <w:rPr>
            <w:color w:val="2E74B5"/>
            <w:u w:val="single"/>
          </w:rPr>
          <w:t>Android special permissions guidance</w:t>
        </w:r>
      </w:hyperlink>
      <w:r>
        <w:rPr>
          <w:rFonts w:ascii="Calibri" w:hAnsi="Calibri"/>
          <w:color w:val="667085"/>
          <w:sz w:val="18"/>
        </w:rPr>
        <w:t xml:space="preserve"> - https://developer.android.com/training/permissions/requesting-special</w:t>
      </w:r>
    </w:p>
    <w:p>
      <w:pPr>
        <w:numPr>
          <w:ilvl w:val="0"/>
          <w:numId w:val="41"/>
        </w:numPr>
      </w:pPr>
      <w:hyperlink r:id="rId22">
        <w:r>
          <w:rPr>
            <w:color w:val="2E74B5"/>
            <w:u w:val="single"/>
          </w:rPr>
          <w:t>Expo Audio documentation</w:t>
        </w:r>
      </w:hyperlink>
      <w:r>
        <w:rPr>
          <w:rFonts w:ascii="Calibri" w:hAnsi="Calibri"/>
          <w:color w:val="667085"/>
          <w:sz w:val="18"/>
        </w:rPr>
        <w:t xml:space="preserve"> - https://docs.expo.dev/versions/latest/sdk/audio/</w:t>
      </w:r>
    </w:p>
    <w:p>
      <w:pPr>
        <w:numPr>
          <w:ilvl w:val="0"/>
          <w:numId w:val="41"/>
        </w:numPr>
      </w:pPr>
      <w:hyperlink r:id="rId23">
        <w:r>
          <w:rPr>
            <w:color w:val="2E74B5"/>
            <w:u w:val="single"/>
          </w:rPr>
          <w:t>Expo app configuration - blockedPermissions</w:t>
        </w:r>
      </w:hyperlink>
      <w:r>
        <w:rPr>
          <w:rFonts w:ascii="Calibri" w:hAnsi="Calibri"/>
          <w:color w:val="667085"/>
          <w:sz w:val="18"/>
        </w:rPr>
        <w:t xml:space="preserve"> - https://docs.expo.dev/versions/latest/config/app/</w:t>
      </w:r>
    </w:p>
    <w:p>
      <w:pPr>
        <w:numPr>
          <w:ilvl w:val="0"/>
          <w:numId w:val="41"/>
        </w:numPr>
      </w:pPr>
      <w:hyperlink r:id="rId24">
        <w:r>
          <w:rPr>
            <w:color w:val="2E74B5"/>
            <w:u w:val="single"/>
          </w:rPr>
          <w:t>Expo build for app stores</w:t>
        </w:r>
      </w:hyperlink>
      <w:r>
        <w:rPr>
          <w:rFonts w:ascii="Calibri" w:hAnsi="Calibri"/>
          <w:color w:val="667085"/>
          <w:sz w:val="18"/>
        </w:rPr>
        <w:t xml:space="preserve"> - https://docs.expo.dev/deploy/build-project/</w:t>
      </w:r>
    </w:p>
    <w:p>
      <w:pPr>
        <w:pStyle w:val="Heading1"/>
        <w:keepNext/>
      </w:pPr>
      <w:r>
        <w:t>13. Audit scope and limitations</w:t>
      </w:r>
    </w:p>
    <w:p>
      <w:r>
        <w:t>This report reflects the repository and connected production services inspected on 18 August 2026. It includes local code/configuration review, automated tests, a locally generated native release AAB, live Supabase database/function/advisor inspection, live Railway deployment inspection, and browser smoke testing of the primary application screens.</w:t>
      </w:r>
    </w:p>
    <w:p>
      <w:r>
        <w:t>The audit did not have authenticated access to EAS or Google Play Console and therefore could not verify developer-account status, app-signing configuration, Play product activation, console declarations, production environment variables, tester eligibility, or the exact artifact that will be submitted. Those items remain explicit acceptance gates rather than assumed passes. No application or infrastructure changes were made as part of the audit itself.</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color w:val="667085"/>
        <w:sz w:val="17"/>
      </w:rPr>
      <w:t xml:space="preserve">Google Play Publication Readiness Audit  |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67085"/>
        <w:sz w:val="17"/>
      </w:rPr>
      <w:t>THIRTY NIGHTS  |  RELEASE READINESS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41">
    <w:multiLevelType w:val="singleLevel"/>
    <w:lvl w:ilvl="0">
      <w:start w:val="1"/>
      <w:numFmt w:val="bullet"/>
      <w:lvlText w:val="•"/>
      <w:lvlJc w:val="left"/>
      <w:pPr>
        <w:tabs>
          <w:tab w:val="num" w:pos="540"/>
        </w:tabs>
        <w:ind w:left="540" w:hanging="271"/>
        <w:spacing w:after="80" w:line="300" w:lineRule="auto"/>
      </w:pPr>
      <w:rPr>
        <w:rFonts w:ascii="Symbol" w:hAnsi="Symbol"/>
      </w:rPr>
    </w:lvl>
  </w:abstractNum>
  <w:num w:numId="41">
    <w:abstractNumId w:val="41"/>
  </w:num>
  <w:abstractNum w:abstractNumId="42">
    <w:multiLevelType w:val="singleLevel"/>
    <w:lvl w:ilvl="0">
      <w:start w:val="1"/>
      <w:numFmt w:val="decimal"/>
      <w:lvlText w:val="%1."/>
      <w:lvlJc w:val="left"/>
      <w:pPr>
        <w:tabs>
          <w:tab w:val="num" w:pos="540"/>
        </w:tabs>
        <w:ind w:left="540" w:hanging="271"/>
        <w:spacing w:after="80" w:line="300" w:lineRule="auto"/>
      </w:pPr>
    </w:lvl>
  </w:abstractNum>
  <w:num w:numId="42">
    <w:abstractNumId w:val="42"/>
  </w:num>
  <w:abstractNum w:abstractNumId="43">
    <w:multiLevelType w:val="singleLevel"/>
    <w:lvl w:ilvl="0">
      <w:start w:val="1"/>
      <w:numFmt w:val="decimal"/>
      <w:lvlText w:val="%1."/>
      <w:lvlJc w:val="left"/>
      <w:pPr>
        <w:tabs>
          <w:tab w:val="num" w:pos="720"/>
        </w:tabs>
        <w:ind w:left="720" w:hanging="360"/>
        <w:spacing w:after="80" w:line="300" w:lineRule="auto"/>
      </w:pPr>
    </w:lvl>
  </w:abstract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4344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upport.google.com/googleplay/android-developer/answer/11926878" TargetMode="External"/><Relationship Id="rId12" Type="http://schemas.openxmlformats.org/officeDocument/2006/relationships/hyperlink" Target="https://developer.android.com/google/play/billing/deprecation-faq" TargetMode="External"/><Relationship Id="rId13" Type="http://schemas.openxmlformats.org/officeDocument/2006/relationships/hyperlink" Target="https://support.google.com/googleplay/android-developer/answer/14151465" TargetMode="External"/><Relationship Id="rId14" Type="http://schemas.openxmlformats.org/officeDocument/2006/relationships/hyperlink" Target="https://support.google.com/googleplay/android-developer/answer/13327111" TargetMode="External"/><Relationship Id="rId15" Type="http://schemas.openxmlformats.org/officeDocument/2006/relationships/hyperlink" Target="https://support.google.com/googleplay/android-developer/answer/10787469" TargetMode="External"/><Relationship Id="rId16" Type="http://schemas.openxmlformats.org/officeDocument/2006/relationships/hyperlink" Target="https://support.google.com/googleplay/android-developer/answer/14738291" TargetMode="External"/><Relationship Id="rId17" Type="http://schemas.openxmlformats.org/officeDocument/2006/relationships/hyperlink" Target="https://support.google.com/googleplay/android-developer/answer/16679511" TargetMode="External"/><Relationship Id="rId18" Type="http://schemas.openxmlformats.org/officeDocument/2006/relationships/hyperlink" Target="https://support.google.com/googleplay/android-developer/answer/9866151" TargetMode="External"/><Relationship Id="rId19" Type="http://schemas.openxmlformats.org/officeDocument/2006/relationships/hyperlink" Target="https://support.google.com/googleplay/android-developer/answer/13392821" TargetMode="External"/><Relationship Id="rId20" Type="http://schemas.openxmlformats.org/officeDocument/2006/relationships/hyperlink" Target="https://developer.android.com/about/versions/14/changes/fgs-types-required" TargetMode="External"/><Relationship Id="rId21" Type="http://schemas.openxmlformats.org/officeDocument/2006/relationships/hyperlink" Target="https://developer.android.com/training/permissions/requesting-special" TargetMode="External"/><Relationship Id="rId22" Type="http://schemas.openxmlformats.org/officeDocument/2006/relationships/hyperlink" Target="https://docs.expo.dev/versions/latest/sdk/audio/" TargetMode="External"/><Relationship Id="rId23" Type="http://schemas.openxmlformats.org/officeDocument/2006/relationships/hyperlink" Target="https://docs.expo.dev/versions/latest/config/app/" TargetMode="External"/><Relationship Id="rId24" Type="http://schemas.openxmlformats.org/officeDocument/2006/relationships/hyperlink" Target="https://docs.expo.dev/deploy/build-proj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Thirty Nights - Google Play Publication Readiness Audit</dc:title>
  <dc:subject>Google Play publication readiness, blockers, compliance, and release plan</dc:subject>
  <dc:creator>Thirty Nights</dc:creator>
  <cp:keywords>Google Play, Android, release readiness, Supabase, Railway, RevenueCat, Expo</cp:keywords>
  <dc:description>Prepared from the 18 August 2026 technical and publication-readiness audit.</dc:description>
  <cp:lastModifiedBy/>
  <cp:revision>1</cp:revision>
  <dcterms:created xsi:type="dcterms:W3CDTF">2013-12-23T23:15:00Z</dcterms:created>
  <dcterms:modified xsi:type="dcterms:W3CDTF">2013-12-23T23:15:00Z</dcterms:modified>
  <cp:category/>
</cp:coreProperties>
</file>