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2x1 bricks =&gt;  24</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2x1 flats =&gt; 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Hinges =&gt; 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2x2 flats =&gt; 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Inverted brackets =&gt; 8</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Set an inverted bracket so that the 2x1 segment is the base (Repeat 8 times)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Take two of the 2x1 bricks and place them on the 2x1 segment of the inverted bracket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Repeat step 2 eight times (once for each inverted bracket)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Take one inverted bracket and place it so that the 2x1 segment is the base and the bumps on the 2x2 end are facing left. Then place another inverted bracket to the right of the previous one with the bumps on the 2x2 side facing up and the the bumps on the 2x1 side facing towards you.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Repeat step 4 with the first inverted bracket facing the opposite direction (right)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Repeat step 4 with another pair of inverted brackets, then repeat step 5 with another pair</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Take a hinge and shut it so that it resembles a 2x2 piece. Then place it so that it is connected to the 2x1 segment facing upward and the two adjacent studs on the other inverted bracket with the 2x2 side facing up. Make sure that the semicircle on the hinge is facing toward you. (repeat 4 times - once for each pair of inverted brackets)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Take a 2x1 segment and place it on the two remaining studs facing upward, either to the left or right of the hinge. (Repeat 4 times - once for each block)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Take two pieces from step 7 (with one having the 2x2 side of the inverted bracket with a 2x1 base facing right, and the other having it face left). Place the pieces so that the 2x1 segments facing towards you are touching. (repeat 2 times - once for each pair)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Take one of the pairs from step 8, then rotate them 90 degrees away from you (repeat 2 times - once for each pair) so that they appear to be a “couch”</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Take one of the pairs from step 9, then connect a fully opened hinge (similar to 4x1 piece) on the 4x1 segment on the top of the pair of “couches” from step 9, with the semicircle on the hinge facing towards you. (repeat 2 times).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Take 2 of the 2x1 flat pieces and connect them to the hinge connected in step 10, with one on the left 2 studs, and the other on the right 2. (repeat 2 times)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Take 2 of the 2x1 pieces. Connect one to the 2 studs closest to you on the 2x2 segment facing right, and do the same for the 2x2 side facing left. (repeat 2 times - once for each “couch”)</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Turn each “couch” 90 degrees towards you so that eight studs are facing upward for each one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Place a flat 2x1 piece on the two leftmost studs, then do the same for the two rightmost studs. (repeat 2 times - one for each “couch”)</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Place 2 of the 2x2 flat pieces on the remaining studs (repeat 2 times - one for each “couch”)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Place one “couch” to the left of the other. Turn the left couch 90 degrees to the right, then turn the right couch 90 degrees to the left. Hold them together so that the flat pieces on each couch are touching.</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