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Employee</w:t>
      </w:r>
      <w:r>
        <w:t xml:space="preserve"> </w:t>
      </w:r>
      <w:r>
        <w:t xml:space="preserve">Handbook</w:t>
      </w:r>
    </w:p>
    <w:p>
      <w:pPr>
        <w:pStyle w:val="Subtitle"/>
      </w:pPr>
      <w:r>
        <w:t xml:space="preserve">Pawan</w:t>
      </w:r>
      <w:r>
        <w:t xml:space="preserve"> </w:t>
      </w:r>
      <w:r>
        <w:t xml:space="preserve">Pvt</w:t>
      </w:r>
      <w:r>
        <w:t xml:space="preserve"> </w:t>
      </w:r>
      <w:r>
        <w:t xml:space="preserve">Ltd</w:t>
      </w:r>
      <w:r>
        <w:t xml:space="preserve"> </w:t>
      </w:r>
      <w:r>
        <w:t xml:space="preserve">—</w:t>
      </w:r>
      <w:r>
        <w:t xml:space="preserve"> </w:t>
      </w:r>
      <w:r>
        <w:t xml:space="preserve">Human</w:t>
      </w:r>
      <w:r>
        <w:t xml:space="preserve"> </w:t>
      </w:r>
      <w:r>
        <w:t xml:space="preserve">Resources</w:t>
      </w:r>
      <w:r>
        <w:t xml:space="preserve"> </w:t>
      </w:r>
      <w:r>
        <w:t xml:space="preserve">Department</w:t>
      </w:r>
    </w:p>
    <w:p>
      <w:pPr>
        <w:pStyle w:val="Date"/>
      </w:pPr>
      <w:r>
        <w:t xml:space="preserve">Version</w:t>
      </w:r>
      <w:r>
        <w:t xml:space="preserve"> </w:t>
      </w:r>
      <w:r>
        <w:t xml:space="preserve">4.2</w:t>
      </w:r>
      <w:r>
        <w:t xml:space="preserve"> </w:t>
      </w:r>
      <w:r>
        <w:t xml:space="preserve">|</w:t>
      </w:r>
      <w:r>
        <w:t xml:space="preserve"> </w:t>
      </w:r>
      <w:r>
        <w:t xml:space="preserve">Effective</w:t>
      </w:r>
      <w:r>
        <w:t xml:space="preserve"> </w:t>
      </w:r>
      <w:r>
        <w:t xml:space="preserve">1</w:t>
      </w:r>
      <w:r>
        <w:t xml:space="preserve"> </w:t>
      </w:r>
      <w:r>
        <w:t xml:space="preserve">April</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introduction"/>
    <w:p>
      <w:pPr>
        <w:pStyle w:val="Heading1"/>
      </w:pPr>
      <w:r>
        <w:t xml:space="preserve">1. Introduction</w:t>
      </w:r>
    </w:p>
    <w:p>
      <w:pPr>
        <w:pStyle w:val="FirstParagraph"/>
      </w:pPr>
      <w:r>
        <w:t xml:space="preserve">Welcome to Pawan Pvt Ltd. This Employee Handbook describes the working conditions, benefits, and policies that apply to all employees of the company. It applies to full-time employees, part-time employees, and fixed-term contract staff across all offices in India.</w:t>
      </w:r>
    </w:p>
    <w:p>
      <w:pPr>
        <w:pStyle w:val="BodyText"/>
      </w:pPr>
      <w:r>
        <w:t xml:space="preserve">This handbook replaces all previous versions issued before 1 April 2025. Where a policy in this handbook conflicts with an individual employment contract, the terms of the employment contract prevail.</w:t>
      </w:r>
    </w:p>
    <w:p>
      <w:pPr>
        <w:pStyle w:val="BodyText"/>
      </w:pPr>
      <w:r>
        <w:t xml:space="preserve">The Human Resources Department maintains this document. Questions about any section should be directed to hr@pawanpvtltd.example or to the HR business partner assigned to your department.</w:t>
      </w:r>
    </w:p>
    <w:bookmarkStart w:id="20" w:name="company-overview"/>
    <w:p>
      <w:pPr>
        <w:pStyle w:val="Heading2"/>
      </w:pPr>
      <w:r>
        <w:t xml:space="preserve">1.1 Company Overview</w:t>
      </w:r>
    </w:p>
    <w:p>
      <w:pPr>
        <w:pStyle w:val="FirstParagraph"/>
      </w:pPr>
      <w:r>
        <w:t xml:space="preserve">Pawan Pvt Ltd was incorporated in 2011 and operates in the industrial equipment and logistics services sector. The company has offices in Pune, Bengaluru, and Noida, with a registered head office in Pune. As of March 2025, the company employs 1,240 people.</w:t>
      </w:r>
    </w:p>
    <w:p>
      <w:pPr>
        <w:pStyle w:val="BodyText"/>
      </w:pPr>
      <w:r>
        <w:t xml:space="preserve">The company operates three business divisions:</w:t>
      </w:r>
    </w:p>
    <w:p>
      <w:pPr>
        <w:numPr>
          <w:ilvl w:val="0"/>
          <w:numId w:val="1001"/>
        </w:numPr>
        <w:pStyle w:val="Compact"/>
      </w:pPr>
      <w:r>
        <w:rPr>
          <w:bCs/>
          <w:b/>
        </w:rPr>
        <w:t xml:space="preserve">Equipment Division</w:t>
      </w:r>
      <w:r>
        <w:t xml:space="preserve"> </w:t>
      </w:r>
      <w:r>
        <w:t xml:space="preserve">— manufacture and distribution of industrial pumps, motors, and control panels.</w:t>
      </w:r>
    </w:p>
    <w:p>
      <w:pPr>
        <w:numPr>
          <w:ilvl w:val="0"/>
          <w:numId w:val="1001"/>
        </w:numPr>
        <w:pStyle w:val="Compact"/>
      </w:pPr>
      <w:r>
        <w:rPr>
          <w:bCs/>
          <w:b/>
        </w:rPr>
        <w:t xml:space="preserve">Services Division</w:t>
      </w:r>
      <w:r>
        <w:t xml:space="preserve"> </w:t>
      </w:r>
      <w:r>
        <w:t xml:space="preserve">— installation, maintenance, and annual service contracts.</w:t>
      </w:r>
    </w:p>
    <w:p>
      <w:pPr>
        <w:numPr>
          <w:ilvl w:val="0"/>
          <w:numId w:val="1001"/>
        </w:numPr>
        <w:pStyle w:val="Compact"/>
      </w:pPr>
      <w:r>
        <w:rPr>
          <w:bCs/>
          <w:b/>
        </w:rPr>
        <w:t xml:space="preserve">Logistics Division</w:t>
      </w:r>
      <w:r>
        <w:t xml:space="preserve"> </w:t>
      </w:r>
      <w:r>
        <w:t xml:space="preserve">— warehousing and last-mile distribution for industrial clients.</w:t>
      </w:r>
    </w:p>
    <w:bookmarkEnd w:id="20"/>
    <w:bookmarkStart w:id="21" w:name="how-to-use-this-handbook"/>
    <w:p>
      <w:pPr>
        <w:pStyle w:val="Heading2"/>
      </w:pPr>
      <w:r>
        <w:t xml:space="preserve">1.2 How to Use This Handbook</w:t>
      </w:r>
    </w:p>
    <w:p>
      <w:pPr>
        <w:pStyle w:val="FirstParagraph"/>
      </w:pPr>
      <w:r>
        <w:t xml:space="preserve">Each section is self-contained. Policies that carry legal or statutory obligations are marked as mandatory. Policies described as guidelines allow managerial discretion within stated limits.</w:t>
      </w:r>
    </w:p>
    <w:bookmarkEnd w:id="21"/>
    <w:bookmarkEnd w:id="22"/>
    <w:bookmarkStart w:id="27" w:name="employment-terms"/>
    <w:p>
      <w:pPr>
        <w:pStyle w:val="Heading1"/>
      </w:pPr>
      <w:r>
        <w:t xml:space="preserve">2. Employment Terms</w:t>
      </w:r>
    </w:p>
    <w:bookmarkStart w:id="23" w:name="probation-period"/>
    <w:p>
      <w:pPr>
        <w:pStyle w:val="Heading2"/>
      </w:pPr>
      <w:r>
        <w:t xml:space="preserve">2.1 Probation Period</w:t>
      </w:r>
    </w:p>
    <w:p>
      <w:pPr>
        <w:pStyle w:val="FirstParagraph"/>
      </w:pPr>
      <w:r>
        <w:t xml:space="preserve">All new employees serve a probation period of six months from the date of joining. During probation, either party may terminate employment with 15 days’ written notice or payment in lieu of notice.</w:t>
      </w:r>
    </w:p>
    <w:p>
      <w:pPr>
        <w:pStyle w:val="BodyText"/>
      </w:pPr>
      <w:r>
        <w:t xml:space="preserve">Probation may be extended once, by a maximum of three months, where the reporting manager and HR jointly determine that additional assessment is required. Extension must be communicated in writing before the original probation period ends.</w:t>
      </w:r>
    </w:p>
    <w:p>
      <w:pPr>
        <w:pStyle w:val="BodyText"/>
      </w:pPr>
      <w:r>
        <w:t xml:space="preserve">On successful completion of probation, the employee is confirmed in writing and becomes eligible for the full benefits described in Section 5.</w:t>
      </w:r>
    </w:p>
    <w:bookmarkEnd w:id="23"/>
    <w:bookmarkStart w:id="24" w:name="working-hours"/>
    <w:p>
      <w:pPr>
        <w:pStyle w:val="Heading2"/>
      </w:pPr>
      <w:r>
        <w:t xml:space="preserve">2.2 Working Hours</w:t>
      </w:r>
    </w:p>
    <w:p>
      <w:pPr>
        <w:pStyle w:val="FirstParagraph"/>
      </w:pPr>
      <w:r>
        <w:t xml:space="preserve">Standard working hours are 9:30 AM to 6:30 PM, Monday through Friday, with a one-hour lunch break. This constitutes a 40-hour working week.</w:t>
      </w:r>
    </w:p>
    <w:p>
      <w:pPr>
        <w:pStyle w:val="BodyText"/>
      </w:pPr>
      <w:r>
        <w:t xml:space="preserve">Employees in the Services Division and Logistics Division may work shift schedules as determined by operational requirements. Shift rosters are published at least seven days in advance.</w:t>
      </w:r>
    </w:p>
    <w:p>
      <w:pPr>
        <w:pStyle w:val="BodyText"/>
      </w:pPr>
      <w:r>
        <w:t xml:space="preserve">Employees are expected to be available during core hours of 11:00 AM to 4:00 PM regardless of shift or flexible working arrangement.</w:t>
      </w:r>
    </w:p>
    <w:bookmarkEnd w:id="24"/>
    <w:bookmarkStart w:id="25" w:name="flexible-working"/>
    <w:p>
      <w:pPr>
        <w:pStyle w:val="Heading2"/>
      </w:pPr>
      <w:r>
        <w:t xml:space="preserve">2.3 Flexible Working</w:t>
      </w:r>
    </w:p>
    <w:p>
      <w:pPr>
        <w:pStyle w:val="FirstParagraph"/>
      </w:pPr>
      <w:r>
        <w:t xml:space="preserve">Employees who have completed probation may request a flexible working arrangement. Two options are available:</w:t>
      </w:r>
    </w:p>
    <w:p>
      <w:pPr>
        <w:numPr>
          <w:ilvl w:val="0"/>
          <w:numId w:val="1002"/>
        </w:numPr>
        <w:pStyle w:val="Compact"/>
      </w:pPr>
      <w:r>
        <w:rPr>
          <w:bCs/>
          <w:b/>
        </w:rPr>
        <w:t xml:space="preserve">Flexible start time</w:t>
      </w:r>
      <w:r>
        <w:t xml:space="preserve"> </w:t>
      </w:r>
      <w:r>
        <w:t xml:space="preserve">— start any time between 8:00 AM and 10:30 AM, completing eight hours from the chosen start time.</w:t>
      </w:r>
    </w:p>
    <w:p>
      <w:pPr>
        <w:numPr>
          <w:ilvl w:val="0"/>
          <w:numId w:val="1002"/>
        </w:numPr>
        <w:pStyle w:val="Compact"/>
      </w:pPr>
      <w:r>
        <w:rPr>
          <w:bCs/>
          <w:b/>
        </w:rPr>
        <w:t xml:space="preserve">Hybrid working</w:t>
      </w:r>
      <w:r>
        <w:t xml:space="preserve"> </w:t>
      </w:r>
      <w:r>
        <w:t xml:space="preserve">— up to two days per week working remotely, subject to role suitability and manager approval.</w:t>
      </w:r>
    </w:p>
    <w:p>
      <w:pPr>
        <w:pStyle w:val="FirstParagraph"/>
      </w:pPr>
      <w:r>
        <w:t xml:space="preserve">Requests must be submitted through the HR portal at least 15 days before the intended start date. Approval is at the discretion of the reporting manager, who must respond in writing within 10 working days. Refusals must state a business reason.</w:t>
      </w:r>
    </w:p>
    <w:p>
      <w:pPr>
        <w:pStyle w:val="BodyText"/>
      </w:pPr>
      <w:r>
        <w:t xml:space="preserve">Roles requiring physical presence — manufacturing floor, warehouse operations, on-site service engineering — are not eligible for hybrid working.</w:t>
      </w:r>
    </w:p>
    <w:bookmarkEnd w:id="25"/>
    <w:bookmarkStart w:id="26" w:name="notice-period"/>
    <w:p>
      <w:pPr>
        <w:pStyle w:val="Heading2"/>
      </w:pPr>
      <w:r>
        <w:t xml:space="preserve">2.4 Notice Period</w:t>
      </w:r>
    </w:p>
    <w:p>
      <w:pPr>
        <w:pStyle w:val="FirstParagraph"/>
      </w:pPr>
      <w:r>
        <w:t xml:space="preserve">After confirmation, the notice period is:</w:t>
      </w:r>
    </w:p>
    <w:p>
      <w:pPr>
        <w:numPr>
          <w:ilvl w:val="0"/>
          <w:numId w:val="1003"/>
        </w:numPr>
        <w:pStyle w:val="Compact"/>
      </w:pPr>
      <w:r>
        <w:t xml:space="preserve">30 days for employees at Grade 1 to Grade 3.</w:t>
      </w:r>
    </w:p>
    <w:p>
      <w:pPr>
        <w:numPr>
          <w:ilvl w:val="0"/>
          <w:numId w:val="1003"/>
        </w:numPr>
        <w:pStyle w:val="Compact"/>
      </w:pPr>
      <w:r>
        <w:t xml:space="preserve">60 days for employees at Grade 4 to Grade 6.</w:t>
      </w:r>
    </w:p>
    <w:p>
      <w:pPr>
        <w:numPr>
          <w:ilvl w:val="0"/>
          <w:numId w:val="1003"/>
        </w:numPr>
        <w:pStyle w:val="Compact"/>
      </w:pPr>
      <w:r>
        <w:t xml:space="preserve">90 days for employees at Grade 7 and above.</w:t>
      </w:r>
    </w:p>
    <w:p>
      <w:pPr>
        <w:pStyle w:val="FirstParagraph"/>
      </w:pPr>
      <w:r>
        <w:t xml:space="preserve">Notice must be given in writing. The company may, at its discretion, accept payment in lieu of notice or waive part of the notice period. Employees who fail to serve notice without agreement forfeit their relieving letter and experience certificate.</w:t>
      </w:r>
    </w:p>
    <w:bookmarkEnd w:id="26"/>
    <w:bookmarkEnd w:id="27"/>
    <w:bookmarkStart w:id="32" w:name="code-of-conduct"/>
    <w:p>
      <w:pPr>
        <w:pStyle w:val="Heading1"/>
      </w:pPr>
      <w:r>
        <w:t xml:space="preserve">3. Code of Conduct</w:t>
      </w:r>
    </w:p>
    <w:bookmarkStart w:id="28" w:name="general-standards"/>
    <w:p>
      <w:pPr>
        <w:pStyle w:val="Heading2"/>
      </w:pPr>
      <w:r>
        <w:t xml:space="preserve">3.1 General Standards</w:t>
      </w:r>
    </w:p>
    <w:p>
      <w:pPr>
        <w:pStyle w:val="FirstParagraph"/>
      </w:pPr>
      <w:r>
        <w:t xml:space="preserve">All employees are expected to act with honesty and professionalism, treat colleagues and clients with respect, and comply with applicable law and company policy.</w:t>
      </w:r>
    </w:p>
    <w:p>
      <w:pPr>
        <w:pStyle w:val="BodyText"/>
      </w:pPr>
      <w:r>
        <w:t xml:space="preserve">The following are treated as serious misconduct and may result in termination without notice:</w:t>
      </w:r>
    </w:p>
    <w:p>
      <w:pPr>
        <w:numPr>
          <w:ilvl w:val="0"/>
          <w:numId w:val="1004"/>
        </w:numPr>
        <w:pStyle w:val="Compact"/>
      </w:pPr>
      <w:r>
        <w:t xml:space="preserve">Theft, fraud, or falsification of company records.</w:t>
      </w:r>
    </w:p>
    <w:p>
      <w:pPr>
        <w:numPr>
          <w:ilvl w:val="0"/>
          <w:numId w:val="1004"/>
        </w:numPr>
        <w:pStyle w:val="Compact"/>
      </w:pPr>
      <w:r>
        <w:t xml:space="preserve">Deliberate breach of safety procedures.</w:t>
      </w:r>
    </w:p>
    <w:p>
      <w:pPr>
        <w:numPr>
          <w:ilvl w:val="0"/>
          <w:numId w:val="1004"/>
        </w:numPr>
        <w:pStyle w:val="Compact"/>
      </w:pPr>
      <w:r>
        <w:t xml:space="preserve">Harassment or discrimination of any kind.</w:t>
      </w:r>
    </w:p>
    <w:p>
      <w:pPr>
        <w:numPr>
          <w:ilvl w:val="0"/>
          <w:numId w:val="1004"/>
        </w:numPr>
        <w:pStyle w:val="Compact"/>
      </w:pPr>
      <w:r>
        <w:t xml:space="preserve">Unauthorised disclosure of confidential information.</w:t>
      </w:r>
    </w:p>
    <w:p>
      <w:pPr>
        <w:numPr>
          <w:ilvl w:val="0"/>
          <w:numId w:val="1004"/>
        </w:numPr>
        <w:pStyle w:val="Compact"/>
      </w:pPr>
      <w:r>
        <w:t xml:space="preserve">Being under the influence of alcohol or prohibited substances during working hours.</w:t>
      </w:r>
    </w:p>
    <w:bookmarkEnd w:id="28"/>
    <w:bookmarkStart w:id="29" w:name="conflict-of-interest"/>
    <w:p>
      <w:pPr>
        <w:pStyle w:val="Heading2"/>
      </w:pPr>
      <w:r>
        <w:t xml:space="preserve">3.2 Conflict of Interest</w:t>
      </w:r>
    </w:p>
    <w:p>
      <w:pPr>
        <w:pStyle w:val="FirstParagraph"/>
      </w:pPr>
      <w:r>
        <w:t xml:space="preserve">Employees must disclose any personal, financial, or family interest that could reasonably be seen to conflict with their duties. Disclosure is made in writing to HR within 15 days of the interest arising.</w:t>
      </w:r>
    </w:p>
    <w:p>
      <w:pPr>
        <w:pStyle w:val="BodyText"/>
      </w:pPr>
      <w:r>
        <w:t xml:space="preserve">Employees may not hold outside employment or consultancy that competes with the company’s business, or that materially interferes with their ability to perform their role. Outside employment that does not compete requires written approval from the department head.</w:t>
      </w:r>
    </w:p>
    <w:bookmarkEnd w:id="29"/>
    <w:bookmarkStart w:id="30" w:name="anti-harassment"/>
    <w:p>
      <w:pPr>
        <w:pStyle w:val="Heading2"/>
      </w:pPr>
      <w:r>
        <w:t xml:space="preserve">3.3 Anti-Harassment</w:t>
      </w:r>
    </w:p>
    <w:p>
      <w:pPr>
        <w:pStyle w:val="FirstParagraph"/>
      </w:pPr>
      <w:r>
        <w:t xml:space="preserve">The company maintains a zero-tolerance position on harassment. An Internal Complaints Committee (ICC) has been constituted in accordance with the Sexual Harassment of Women at Workplace (Prevention, Prohibition and Redressal) Act, 2013.</w:t>
      </w:r>
    </w:p>
    <w:p>
      <w:pPr>
        <w:pStyle w:val="BodyText"/>
      </w:pPr>
      <w:r>
        <w:t xml:space="preserve">Complaints may be made in writing to icc@pawanpvtltd.example. The ICC acknowledges every complaint within three working days and completes inquiry within 90 days. Retaliation against a complainant is itself treated as serious misconduct.</w:t>
      </w:r>
    </w:p>
    <w:bookmarkEnd w:id="30"/>
    <w:bookmarkStart w:id="31" w:name="use-of-company-property"/>
    <w:p>
      <w:pPr>
        <w:pStyle w:val="Heading2"/>
      </w:pPr>
      <w:r>
        <w:t xml:space="preserve">3.4 Use of Company Property</w:t>
      </w:r>
    </w:p>
    <w:p>
      <w:pPr>
        <w:pStyle w:val="FirstParagraph"/>
      </w:pPr>
      <w:r>
        <w:t xml:space="preserve">Company equipment, including laptops, mobile devices, vehicles, and tools, is provided for business use. Limited personal use of laptops and mobile devices is permitted where it does not interfere with work or breach the IT Security Policy.</w:t>
      </w:r>
    </w:p>
    <w:p>
      <w:pPr>
        <w:pStyle w:val="BodyText"/>
      </w:pPr>
      <w:r>
        <w:t xml:space="preserve">Employees are responsible for the reasonable care of assets issued to them. Loss or damage caused by negligence may be recovered from the employee, up to a maximum of one month’s basic salary, following a written explanation process.</w:t>
      </w:r>
    </w:p>
    <w:bookmarkEnd w:id="31"/>
    <w:bookmarkEnd w:id="32"/>
    <w:bookmarkStart w:id="39" w:name="leave-policy"/>
    <w:p>
      <w:pPr>
        <w:pStyle w:val="Heading1"/>
      </w:pPr>
      <w:r>
        <w:t xml:space="preserve">4. Leave Policy</w:t>
      </w:r>
    </w:p>
    <w:bookmarkStart w:id="33" w:name="annual-leave"/>
    <w:p>
      <w:pPr>
        <w:pStyle w:val="Heading2"/>
      </w:pPr>
      <w:r>
        <w:t xml:space="preserve">4.1 Annual Leave</w:t>
      </w:r>
    </w:p>
    <w:p>
      <w:pPr>
        <w:pStyle w:val="FirstParagraph"/>
      </w:pPr>
      <w:r>
        <w:t xml:space="preserve">Confirmed employees are entitled to 21 days of paid annual leave per calendar year, accrued at 1.75 days per completed month of service.</w:t>
      </w:r>
    </w:p>
    <w:p>
      <w:pPr>
        <w:pStyle w:val="BodyText"/>
      </w:pPr>
      <w:r>
        <w:t xml:space="preserve">Employees on probation accrue leave at the same rate but may only take leave with the written approval of their department head.</w:t>
      </w:r>
    </w:p>
    <w:p>
      <w:pPr>
        <w:pStyle w:val="BodyText"/>
      </w:pPr>
      <w:r>
        <w:t xml:space="preserve">Annual leave must be applied for through the HR portal at least seven days in advance for leave of three days or fewer, and at least 21 days in advance for leave exceeding three days.</w:t>
      </w:r>
    </w:p>
    <w:p>
      <w:pPr>
        <w:pStyle w:val="BodyText"/>
      </w:pPr>
      <w:r>
        <w:t xml:space="preserve">Up to 15 days of unused annual leave may be carried forward to the following calendar year. Leave in excess of 15 days lapses on 31 December and is not encashable.</w:t>
      </w:r>
    </w:p>
    <w:bookmarkEnd w:id="33"/>
    <w:bookmarkStart w:id="34" w:name="sick-leave"/>
    <w:p>
      <w:pPr>
        <w:pStyle w:val="Heading2"/>
      </w:pPr>
      <w:r>
        <w:t xml:space="preserve">4.2 Sick Leave</w:t>
      </w:r>
    </w:p>
    <w:p>
      <w:pPr>
        <w:pStyle w:val="FirstParagraph"/>
      </w:pPr>
      <w:r>
        <w:t xml:space="preserve">Employees are entitled to 12 days of paid sick leave per calendar year. Sick leave does not carry forward and is not encashable.</w:t>
      </w:r>
    </w:p>
    <w:p>
      <w:pPr>
        <w:pStyle w:val="BodyText"/>
      </w:pPr>
      <w:r>
        <w:t xml:space="preserve">A medical certificate from a registered practitioner is required for any absence of three or more consecutive days. The company may, at its discretion, request a certificate for shorter absences where a pattern of absence is observed.</w:t>
      </w:r>
    </w:p>
    <w:p>
      <w:pPr>
        <w:pStyle w:val="BodyText"/>
      </w:pPr>
      <w:r>
        <w:t xml:space="preserve">Sick leave exhausted before the end of the year may be offset against annual leave, or taken as unpaid leave with the approval of the department head.</w:t>
      </w:r>
    </w:p>
    <w:bookmarkEnd w:id="34"/>
    <w:bookmarkStart w:id="35" w:name="casual-leave"/>
    <w:p>
      <w:pPr>
        <w:pStyle w:val="Heading2"/>
      </w:pPr>
      <w:r>
        <w:t xml:space="preserve">4.3 Casual Leave</w:t>
      </w:r>
    </w:p>
    <w:p>
      <w:pPr>
        <w:pStyle w:val="FirstParagraph"/>
      </w:pPr>
      <w:r>
        <w:t xml:space="preserve">Employees are entitled to seven days of casual leave per calendar year for personal matters that cannot be scheduled outside working hours. Casual leave may not be taken for more than three consecutive days and may not be combined with annual leave.</w:t>
      </w:r>
    </w:p>
    <w:bookmarkEnd w:id="35"/>
    <w:bookmarkStart w:id="36" w:name="maternity-and-paternity-leave"/>
    <w:p>
      <w:pPr>
        <w:pStyle w:val="Heading2"/>
      </w:pPr>
      <w:r>
        <w:t xml:space="preserve">4.4 Maternity and Paternity Leave</w:t>
      </w:r>
    </w:p>
    <w:p>
      <w:pPr>
        <w:pStyle w:val="FirstParagraph"/>
      </w:pPr>
      <w:r>
        <w:t xml:space="preserve">Female employees are entitled to 26 weeks of paid maternity leave for the first two children, and 12 weeks for the third child onwards, in accordance with the Maternity Benefit Act. Leave may commence up to eight weeks before the expected date of delivery.</w:t>
      </w:r>
    </w:p>
    <w:p>
      <w:pPr>
        <w:pStyle w:val="BodyText"/>
      </w:pPr>
      <w:r>
        <w:t xml:space="preserve">Male employees are entitled to 15 days of paid paternity leave, to be taken within three months of the date of birth.</w:t>
      </w:r>
    </w:p>
    <w:p>
      <w:pPr>
        <w:pStyle w:val="BodyText"/>
      </w:pPr>
      <w:r>
        <w:t xml:space="preserve">Employees adopting a child below the age of three months are entitled to 12 weeks of adoption leave.</w:t>
      </w:r>
    </w:p>
    <w:bookmarkEnd w:id="36"/>
    <w:bookmarkStart w:id="37" w:name="bereavement-leave"/>
    <w:p>
      <w:pPr>
        <w:pStyle w:val="Heading2"/>
      </w:pPr>
      <w:r>
        <w:t xml:space="preserve">4.5 Bereavement Leave</w:t>
      </w:r>
    </w:p>
    <w:p>
      <w:pPr>
        <w:pStyle w:val="FirstParagraph"/>
      </w:pPr>
      <w:r>
        <w:t xml:space="preserve">Five days of paid bereavement leave are available on the death of an immediate family member, defined as spouse, child, parent, sibling, or parent-in-law. Two days are available on the death of a grandparent.</w:t>
      </w:r>
    </w:p>
    <w:bookmarkEnd w:id="37"/>
    <w:bookmarkStart w:id="38" w:name="public-holidays"/>
    <w:p>
      <w:pPr>
        <w:pStyle w:val="Heading2"/>
      </w:pPr>
      <w:r>
        <w:t xml:space="preserve">4.6 Public Holidays</w:t>
      </w:r>
    </w:p>
    <w:p>
      <w:pPr>
        <w:pStyle w:val="FirstParagraph"/>
      </w:pPr>
      <w:r>
        <w:t xml:space="preserve">The company observes 10 public holidays each year. The holiday calendar is published in December for the following year. Three of the ten holidays are designated as optional, allowing employees to select holidays of personal or religious significance.</w:t>
      </w:r>
    </w:p>
    <w:p>
      <w:pPr>
        <w:pStyle w:val="BodyText"/>
      </w:pPr>
      <w:r>
        <w:t xml:space="preserve">Employees required to work on a public holiday receive compensatory time off within 30 days, or double pay for the day, at the employee’s election.</w:t>
      </w:r>
    </w:p>
    <w:bookmarkEnd w:id="38"/>
    <w:bookmarkEnd w:id="39"/>
    <w:bookmarkStart w:id="45" w:name="compensation-and-benefits"/>
    <w:p>
      <w:pPr>
        <w:pStyle w:val="Heading1"/>
      </w:pPr>
      <w:r>
        <w:t xml:space="preserve">5. Compensation and Benefits</w:t>
      </w:r>
    </w:p>
    <w:bookmarkStart w:id="40" w:name="salary-payment"/>
    <w:p>
      <w:pPr>
        <w:pStyle w:val="Heading2"/>
      </w:pPr>
      <w:r>
        <w:t xml:space="preserve">5.1 Salary Payment</w:t>
      </w:r>
    </w:p>
    <w:p>
      <w:pPr>
        <w:pStyle w:val="FirstParagraph"/>
      </w:pPr>
      <w:r>
        <w:t xml:space="preserve">Salaries are paid monthly, on the last working day of each month, by direct bank transfer. Payslips are issued through the HR portal on the same day.</w:t>
      </w:r>
    </w:p>
    <w:p>
      <w:pPr>
        <w:pStyle w:val="BodyText"/>
      </w:pPr>
      <w:r>
        <w:t xml:space="preserve">Any discrepancy in salary payment should be reported to payroll@pawanpvtltd.example within 15 days of the payment date.</w:t>
      </w:r>
    </w:p>
    <w:bookmarkEnd w:id="40"/>
    <w:bookmarkStart w:id="41" w:name="annual-review"/>
    <w:p>
      <w:pPr>
        <w:pStyle w:val="Heading2"/>
      </w:pPr>
      <w:r>
        <w:t xml:space="preserve">5.2 Annual Review</w:t>
      </w:r>
    </w:p>
    <w:p>
      <w:pPr>
        <w:pStyle w:val="FirstParagraph"/>
      </w:pPr>
      <w:r>
        <w:t xml:space="preserve">Performance reviews are conducted annually in March, with revised compensation effective 1 April. Review outcomes consider individual performance against agreed objectives, division performance, and market benchmarks.</w:t>
      </w:r>
    </w:p>
    <w:p>
      <w:pPr>
        <w:pStyle w:val="BodyText"/>
      </w:pPr>
      <w:r>
        <w:t xml:space="preserve">Employees who joined after 1 October are not eligible for a revision in the immediately following cycle, but are considered in the subsequent cycle.</w:t>
      </w:r>
    </w:p>
    <w:bookmarkEnd w:id="41"/>
    <w:bookmarkStart w:id="42" w:name="provident-fund-and-gratuity"/>
    <w:p>
      <w:pPr>
        <w:pStyle w:val="Heading2"/>
      </w:pPr>
      <w:r>
        <w:t xml:space="preserve">5.3 Provident Fund and Gratuity</w:t>
      </w:r>
    </w:p>
    <w:p>
      <w:pPr>
        <w:pStyle w:val="FirstParagraph"/>
      </w:pPr>
      <w:r>
        <w:t xml:space="preserve">The company contributes 12% of basic salary to the Employees’ Provident Fund, matched by an equal employee contribution, in accordance with statutory requirements.</w:t>
      </w:r>
    </w:p>
    <w:p>
      <w:pPr>
        <w:pStyle w:val="BodyText"/>
      </w:pPr>
      <w:r>
        <w:t xml:space="preserve">Gratuity is payable in accordance with the Payment of Gratuity Act to employees who complete five years of continuous service.</w:t>
      </w:r>
    </w:p>
    <w:bookmarkEnd w:id="42"/>
    <w:bookmarkStart w:id="43" w:name="medical-insurance"/>
    <w:p>
      <w:pPr>
        <w:pStyle w:val="Heading2"/>
      </w:pPr>
      <w:r>
        <w:t xml:space="preserve">5.4 Medical Insurance</w:t>
      </w:r>
    </w:p>
    <w:p>
      <w:pPr>
        <w:pStyle w:val="FirstParagraph"/>
      </w:pPr>
      <w:r>
        <w:t xml:space="preserve">All confirmed employees are covered by a group medical insurance policy with a sum insured of Rs 5,00,000 per family per year. Coverage extends to spouse and up to two dependent children.</w:t>
      </w:r>
    </w:p>
    <w:p>
      <w:pPr>
        <w:pStyle w:val="BodyText"/>
      </w:pPr>
      <w:r>
        <w:t xml:space="preserve">Employees may extend coverage to dependent parents by paying an additional premium through salary deduction. Enrolment for parental coverage is available within 30 days of joining or during the annual enrolment window in March.</w:t>
      </w:r>
    </w:p>
    <w:bookmarkEnd w:id="43"/>
    <w:bookmarkStart w:id="44" w:name="reimbursements"/>
    <w:p>
      <w:pPr>
        <w:pStyle w:val="Heading2"/>
      </w:pPr>
      <w:r>
        <w:t xml:space="preserve">5.5 Reimbursements</w:t>
      </w:r>
    </w:p>
    <w:p>
      <w:pPr>
        <w:pStyle w:val="FirstParagraph"/>
      </w:pPr>
      <w:r>
        <w:t xml:space="preserve">Reimbursements for business expenses are governed by the Travel and Expense Policy. Claims must be submitted within 45 days of the expense being incurred, with original receipts attached.</w:t>
      </w:r>
    </w:p>
    <w:bookmarkEnd w:id="44"/>
    <w:bookmarkEnd w:id="45"/>
    <w:bookmarkStart w:id="49" w:name="performance-management"/>
    <w:p>
      <w:pPr>
        <w:pStyle w:val="Heading1"/>
      </w:pPr>
      <w:r>
        <w:t xml:space="preserve">6. Performance Management</w:t>
      </w:r>
    </w:p>
    <w:bookmarkStart w:id="46" w:name="objectives"/>
    <w:p>
      <w:pPr>
        <w:pStyle w:val="Heading2"/>
      </w:pPr>
      <w:r>
        <w:t xml:space="preserve">6.1 Objectives</w:t>
      </w:r>
    </w:p>
    <w:p>
      <w:pPr>
        <w:pStyle w:val="FirstParagraph"/>
      </w:pPr>
      <w:r>
        <w:t xml:space="preserve">Objectives are set at the start of each financial year, in April, through a discussion between the employee and the reporting manager. Objectives are recorded in the HR portal and reviewed at the midpoint of the year, in October.</w:t>
      </w:r>
    </w:p>
    <w:p>
      <w:pPr>
        <w:pStyle w:val="BodyText"/>
      </w:pPr>
      <w:r>
        <w:t xml:space="preserve">Each employee has between three and six objectives. Objectives should be specific and measurable, and should reflect both individual contribution and collaboration.</w:t>
      </w:r>
    </w:p>
    <w:bookmarkEnd w:id="46"/>
    <w:bookmarkStart w:id="47" w:name="rating-scale"/>
    <w:p>
      <w:pPr>
        <w:pStyle w:val="Heading2"/>
      </w:pPr>
      <w:r>
        <w:t xml:space="preserve">6.2 Rating Scale</w:t>
      </w:r>
    </w:p>
    <w:p>
      <w:pPr>
        <w:pStyle w:val="FirstParagraph"/>
      </w:pPr>
      <w:r>
        <w:t xml:space="preserve">Performance is rated on a five-point scale: Outstanding, Exceeds Expectations, Meets Expectations, Partially Meets Expectations, and Does Not Meet Expectations.</w:t>
      </w:r>
    </w:p>
    <w:p>
      <w:pPr>
        <w:pStyle w:val="BodyText"/>
      </w:pPr>
      <w:r>
        <w:t xml:space="preserve">Ratings are moderated at division level to ensure consistency across teams. Moderation outcomes are communicated to the employee by the reporting manager within 10 working days of the moderation meeting.</w:t>
      </w:r>
    </w:p>
    <w:bookmarkEnd w:id="47"/>
    <w:bookmarkStart w:id="48" w:name="performance-improvement"/>
    <w:p>
      <w:pPr>
        <w:pStyle w:val="Heading2"/>
      </w:pPr>
      <w:r>
        <w:t xml:space="preserve">6.3 Performance Improvement</w:t>
      </w:r>
    </w:p>
    <w:p>
      <w:pPr>
        <w:pStyle w:val="FirstParagraph"/>
      </w:pPr>
      <w:r>
        <w:t xml:space="preserve">Employees rated as Does Not Meet Expectations are placed on a Performance Improvement Plan (PIP) of 90 days. The PIP sets out specific, measurable improvements required and the support the company will provide.</w:t>
      </w:r>
    </w:p>
    <w:p>
      <w:pPr>
        <w:pStyle w:val="BodyText"/>
      </w:pPr>
      <w:r>
        <w:t xml:space="preserve">Progress is reviewed at 30, 60, and 90 days. Successful completion returns the employee to normal performance management. Failure to meet the PIP requirements may result in reassignment or termination of employment.</w:t>
      </w:r>
    </w:p>
    <w:bookmarkEnd w:id="48"/>
    <w:bookmarkEnd w:id="49"/>
    <w:bookmarkStart w:id="53" w:name="grievance-procedure"/>
    <w:p>
      <w:pPr>
        <w:pStyle w:val="Heading1"/>
      </w:pPr>
      <w:r>
        <w:t xml:space="preserve">7. Grievance Procedure</w:t>
      </w:r>
    </w:p>
    <w:bookmarkStart w:id="50" w:name="informal-resolution"/>
    <w:p>
      <w:pPr>
        <w:pStyle w:val="Heading2"/>
      </w:pPr>
      <w:r>
        <w:t xml:space="preserve">7.1 Informal Resolution</w:t>
      </w:r>
    </w:p>
    <w:p>
      <w:pPr>
        <w:pStyle w:val="FirstParagraph"/>
      </w:pPr>
      <w:r>
        <w:t xml:space="preserve">Employees are encouraged to raise concerns directly with their reporting manager in the first instance. Most concerns are resolved at this stage.</w:t>
      </w:r>
    </w:p>
    <w:bookmarkEnd w:id="50"/>
    <w:bookmarkStart w:id="51" w:name="formal-grievance"/>
    <w:p>
      <w:pPr>
        <w:pStyle w:val="Heading2"/>
      </w:pPr>
      <w:r>
        <w:t xml:space="preserve">7.2 Formal Grievance</w:t>
      </w:r>
    </w:p>
    <w:p>
      <w:pPr>
        <w:pStyle w:val="FirstParagraph"/>
      </w:pPr>
      <w:r>
        <w:t xml:space="preserve">Where informal resolution is unsuccessful or inappropriate, a formal grievance may be submitted in writing to HR. The grievance must describe the issue, the resolution sought, and any steps already taken.</w:t>
      </w:r>
    </w:p>
    <w:p>
      <w:pPr>
        <w:pStyle w:val="BodyText"/>
      </w:pPr>
      <w:r>
        <w:t xml:space="preserve">HR acknowledges the grievance within three working days and appoints an investigating officer who is independent of the matter. The investigation is normally completed within 21 working days.</w:t>
      </w:r>
    </w:p>
    <w:p>
      <w:pPr>
        <w:pStyle w:val="BodyText"/>
      </w:pPr>
      <w:r>
        <w:t xml:space="preserve">The outcome is communicated in writing. An employee dissatisfied with the outcome may appeal to the Head of Human Resources within 10 working days. The appeal decision is final.</w:t>
      </w:r>
    </w:p>
    <w:bookmarkEnd w:id="51"/>
    <w:bookmarkStart w:id="52" w:name="confidentiality"/>
    <w:p>
      <w:pPr>
        <w:pStyle w:val="Heading2"/>
      </w:pPr>
      <w:r>
        <w:t xml:space="preserve">7.3 Confidentiality</w:t>
      </w:r>
    </w:p>
    <w:p>
      <w:pPr>
        <w:pStyle w:val="FirstParagraph"/>
      </w:pPr>
      <w:r>
        <w:t xml:space="preserve">All grievances are handled confidentially. Information is shared only with those who need it to investigate or resolve the matter. Employees who breach the confidentiality of a grievance process may face disciplinary action.</w:t>
      </w:r>
    </w:p>
    <w:bookmarkEnd w:id="52"/>
    <w:bookmarkEnd w:id="53"/>
    <w:bookmarkStart w:id="57" w:name="exit-process"/>
    <w:p>
      <w:pPr>
        <w:pStyle w:val="Heading1"/>
      </w:pPr>
      <w:r>
        <w:t xml:space="preserve">8. Exit Process</w:t>
      </w:r>
    </w:p>
    <w:bookmarkStart w:id="54" w:name="resignation"/>
    <w:p>
      <w:pPr>
        <w:pStyle w:val="Heading2"/>
      </w:pPr>
      <w:r>
        <w:t xml:space="preserve">8.1 Resignation</w:t>
      </w:r>
    </w:p>
    <w:p>
      <w:pPr>
        <w:pStyle w:val="FirstParagraph"/>
      </w:pPr>
      <w:r>
        <w:t xml:space="preserve">Resignation must be submitted in writing to the reporting manager, with a copy to HR. The notice period runs from the date HR receives the resignation.</w:t>
      </w:r>
    </w:p>
    <w:p>
      <w:pPr>
        <w:pStyle w:val="BodyText"/>
      </w:pPr>
      <w:r>
        <w:t xml:space="preserve">An exit interview is scheduled during the final week of employment. Participation is voluntary but encouraged.</w:t>
      </w:r>
    </w:p>
    <w:bookmarkEnd w:id="54"/>
    <w:bookmarkStart w:id="55" w:name="clearance"/>
    <w:p>
      <w:pPr>
        <w:pStyle w:val="Heading2"/>
      </w:pPr>
      <w:r>
        <w:t xml:space="preserve">8.2 Clearance</w:t>
      </w:r>
    </w:p>
    <w:p>
      <w:pPr>
        <w:pStyle w:val="FirstParagraph"/>
      </w:pPr>
      <w:r>
        <w:t xml:space="preserve">Before the last working day, employees must return all company property, complete a handover document approved by the reporting manager, and obtain clearance from IT, Finance, and Administration.</w:t>
      </w:r>
    </w:p>
    <w:p>
      <w:pPr>
        <w:pStyle w:val="BodyText"/>
      </w:pPr>
      <w:r>
        <w:t xml:space="preserve">Final settlement, including any leave encashment and outstanding reimbursements, is processed within 45 days of the last working day.</w:t>
      </w:r>
    </w:p>
    <w:bookmarkEnd w:id="55"/>
    <w:bookmarkStart w:id="56" w:name="documents-issued"/>
    <w:p>
      <w:pPr>
        <w:pStyle w:val="Heading2"/>
      </w:pPr>
      <w:r>
        <w:t xml:space="preserve">8.3 Documents Issued</w:t>
      </w:r>
    </w:p>
    <w:p>
      <w:pPr>
        <w:pStyle w:val="FirstParagraph"/>
      </w:pPr>
      <w:r>
        <w:t xml:space="preserve">On completion of clearance, the company issues a relieving letter and an experience certificate. Reference requests from prospective employers are handled by HR and are limited to confirming dates of employment and job title.</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Handbook</dc:title>
  <dc:creator/>
  <cp:keywords/>
  <dcterms:created xsi:type="dcterms:W3CDTF">2026-09-10T06:33:10Z</dcterms:created>
  <dcterms:modified xsi:type="dcterms:W3CDTF">2026-09-10T06:33:10Z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4.2 | Effective 1 April 2025</vt:lpwstr>
  </property>
  <property fmtid="{D5CDD505-2E9C-101B-9397-08002B2CF9AE}" pid="3" name="subtitle">
    <vt:lpwstr>Pawan Pvt Ltd — Human Resources Department</vt:lpwstr>
  </property>
</Properties>
</file>