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Travel</w:t>
      </w:r>
      <w:r>
        <w:t xml:space="preserve"> </w:t>
      </w:r>
      <w:r>
        <w:t xml:space="preserve">and</w:t>
      </w:r>
      <w:r>
        <w:t xml:space="preserve"> </w:t>
      </w:r>
      <w:r>
        <w:t xml:space="preserve">Expense</w:t>
      </w:r>
      <w:r>
        <w:t xml:space="preserve"> </w:t>
      </w:r>
      <w:r>
        <w:t xml:space="preserve">Policy</w:t>
      </w:r>
    </w:p>
    <w:p>
      <w:pPr>
        <w:pStyle w:val="Subtitle"/>
      </w:pPr>
      <w:r>
        <w:t xml:space="preserve">Pawan</w:t>
      </w:r>
      <w:r>
        <w:t xml:space="preserve"> </w:t>
      </w:r>
      <w:r>
        <w:t xml:space="preserve">Pvt</w:t>
      </w:r>
      <w:r>
        <w:t xml:space="preserve"> </w:t>
      </w:r>
      <w:r>
        <w:t xml:space="preserve">Ltd</w:t>
      </w:r>
      <w:r>
        <w:t xml:space="preserve"> </w:t>
      </w:r>
      <w:r>
        <w:t xml:space="preserve">—</w:t>
      </w:r>
      <w:r>
        <w:t xml:space="preserve"> </w:t>
      </w:r>
      <w:r>
        <w:t xml:space="preserve">Finance</w:t>
      </w:r>
      <w:r>
        <w:t xml:space="preserve"> </w:t>
      </w:r>
      <w:r>
        <w:t xml:space="preserve">Department</w:t>
      </w:r>
    </w:p>
    <w:p>
      <w:pPr>
        <w:pStyle w:val="Date"/>
      </w:pPr>
      <w:r>
        <w:t xml:space="preserve">Version</w:t>
      </w:r>
      <w:r>
        <w:t xml:space="preserve"> </w:t>
      </w:r>
      <w:r>
        <w:t xml:space="preserve">6.3</w:t>
      </w:r>
      <w:r>
        <w:t xml:space="preserve"> </w:t>
      </w:r>
      <w:r>
        <w:t xml:space="preserve">|</w:t>
      </w:r>
      <w:r>
        <w:t xml:space="preserve"> </w:t>
      </w:r>
      <w:r>
        <w:t xml:space="preserve">Effective</w:t>
      </w:r>
      <w:r>
        <w:t xml:space="preserve"> </w:t>
      </w:r>
      <w:r>
        <w:t xml:space="preserve">1</w:t>
      </w:r>
      <w:r>
        <w:t xml:space="preserve"> </w:t>
      </w:r>
      <w:r>
        <w:t xml:space="preserve">April</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urpose"/>
    <w:p>
      <w:pPr>
        <w:pStyle w:val="Heading1"/>
      </w:pPr>
      <w:r>
        <w:t xml:space="preserve">1. Purpose</w:t>
      </w:r>
    </w:p>
    <w:p>
      <w:pPr>
        <w:pStyle w:val="FirstParagraph"/>
      </w:pPr>
      <w:r>
        <w:t xml:space="preserve">This policy sets out the rules for booking business travel and claiming reimbursement of business expenses at Pawan Pvt Ltd.</w:t>
      </w:r>
    </w:p>
    <w:p>
      <w:pPr>
        <w:pStyle w:val="BodyText"/>
      </w:pPr>
      <w:r>
        <w:t xml:space="preserve">It applies to all employees and to contractors whose contract provides for expense reimbursement. It does not apply to relocation expenses, which are governed separately by the Relocation Policy.</w:t>
      </w:r>
    </w:p>
    <w:p>
      <w:pPr>
        <w:pStyle w:val="BodyText"/>
      </w:pPr>
      <w:r>
        <w:t xml:space="preserve">The guiding principle is that employees should neither gain nor lose money personally as a result of business travel. Expenses should be reasonable, necessary, and supported by evidence.</w:t>
      </w:r>
    </w:p>
    <w:bookmarkEnd w:id="20"/>
    <w:bookmarkStart w:id="24" w:name="approval"/>
    <w:p>
      <w:pPr>
        <w:pStyle w:val="Heading1"/>
      </w:pPr>
      <w:r>
        <w:t xml:space="preserve">2. Approval</w:t>
      </w:r>
    </w:p>
    <w:bookmarkStart w:id="21" w:name="travel-approval"/>
    <w:p>
      <w:pPr>
        <w:pStyle w:val="Heading2"/>
      </w:pPr>
      <w:r>
        <w:t xml:space="preserve">2.1 Travel Approval</w:t>
      </w:r>
    </w:p>
    <w:p>
      <w:pPr>
        <w:pStyle w:val="FirstParagraph"/>
      </w:pPr>
      <w:r>
        <w:t xml:space="preserve">All business travel requires approval before booking. Approval is obtained through the travel module in the HR portal.</w:t>
      </w:r>
    </w:p>
    <w:p>
      <w:pPr>
        <w:pStyle w:val="BodyText"/>
      </w:pPr>
      <w:r>
        <w:t xml:space="preserve">Approval authority by trip cost:</w:t>
      </w:r>
    </w:p>
    <w:p>
      <w:pPr>
        <w:numPr>
          <w:ilvl w:val="0"/>
          <w:numId w:val="1001"/>
        </w:numPr>
        <w:pStyle w:val="Compact"/>
      </w:pPr>
      <w:r>
        <w:t xml:space="preserve">Up to Rs 25,000: reporting manager.</w:t>
      </w:r>
    </w:p>
    <w:p>
      <w:pPr>
        <w:numPr>
          <w:ilvl w:val="0"/>
          <w:numId w:val="1001"/>
        </w:numPr>
        <w:pStyle w:val="Compact"/>
      </w:pPr>
      <w:r>
        <w:t xml:space="preserve">Rs 25,001 to Rs 1,00,000: department head.</w:t>
      </w:r>
    </w:p>
    <w:p>
      <w:pPr>
        <w:numPr>
          <w:ilvl w:val="0"/>
          <w:numId w:val="1001"/>
        </w:numPr>
        <w:pStyle w:val="Compact"/>
      </w:pPr>
      <w:r>
        <w:t xml:space="preserve">Above Rs 1,00,000: division director.</w:t>
      </w:r>
    </w:p>
    <w:p>
      <w:pPr>
        <w:numPr>
          <w:ilvl w:val="0"/>
          <w:numId w:val="1001"/>
        </w:numPr>
        <w:pStyle w:val="Compact"/>
      </w:pPr>
      <w:r>
        <w:t xml:space="preserve">All international travel, regardless of cost: division director.</w:t>
      </w:r>
    </w:p>
    <w:bookmarkEnd w:id="21"/>
    <w:bookmarkStart w:id="22" w:name="approval-timeline"/>
    <w:p>
      <w:pPr>
        <w:pStyle w:val="Heading2"/>
      </w:pPr>
      <w:r>
        <w:t xml:space="preserve">2.2 Approval Timeline</w:t>
      </w:r>
    </w:p>
    <w:p>
      <w:pPr>
        <w:pStyle w:val="FirstParagraph"/>
      </w:pPr>
      <w:r>
        <w:t xml:space="preserve">Domestic travel requests should be submitted at least seven days before departure. International travel requests should be submitted at least 21 days before departure, to allow for visa processing.</w:t>
      </w:r>
    </w:p>
    <w:p>
      <w:pPr>
        <w:pStyle w:val="BodyText"/>
      </w:pPr>
      <w:r>
        <w:t xml:space="preserve">Requests submitted with less notice require a written explanation and are approved at the next authority level above the normal threshold.</w:t>
      </w:r>
    </w:p>
    <w:bookmarkEnd w:id="22"/>
    <w:bookmarkStart w:id="23" w:name="emergency-travel"/>
    <w:p>
      <w:pPr>
        <w:pStyle w:val="Heading2"/>
      </w:pPr>
      <w:r>
        <w:t xml:space="preserve">2.3 Emergency Travel</w:t>
      </w:r>
    </w:p>
    <w:p>
      <w:pPr>
        <w:pStyle w:val="FirstParagraph"/>
      </w:pPr>
      <w:r>
        <w:t xml:space="preserve">Where travel is required at short notice to address a customer emergency, the employee may travel with verbal approval from the department head, followed by a written request submitted within two working days.</w:t>
      </w:r>
    </w:p>
    <w:bookmarkEnd w:id="23"/>
    <w:bookmarkEnd w:id="24"/>
    <w:bookmarkStart w:id="29" w:name="booking"/>
    <w:p>
      <w:pPr>
        <w:pStyle w:val="Heading1"/>
      </w:pPr>
      <w:r>
        <w:t xml:space="preserve">3. Booking</w:t>
      </w:r>
    </w:p>
    <w:bookmarkStart w:id="25" w:name="approved-booking-channel"/>
    <w:p>
      <w:pPr>
        <w:pStyle w:val="Heading2"/>
      </w:pPr>
      <w:r>
        <w:t xml:space="preserve">3.1 Approved Booking Channel</w:t>
      </w:r>
    </w:p>
    <w:p>
      <w:pPr>
        <w:pStyle w:val="FirstParagraph"/>
      </w:pPr>
      <w:r>
        <w:t xml:space="preserve">All travel must be booked through the company’s appointed travel desk. Self-booking is reimbursed only where the travel desk confirms in writing that it could not make the booking, or where the employee’s self-booked fare is lower than the travel desk quotation for the same itinerary.</w:t>
      </w:r>
    </w:p>
    <w:bookmarkEnd w:id="25"/>
    <w:bookmarkStart w:id="26" w:name="air-travel"/>
    <w:p>
      <w:pPr>
        <w:pStyle w:val="Heading2"/>
      </w:pPr>
      <w:r>
        <w:t xml:space="preserve">3.2 Air Travel</w:t>
      </w:r>
    </w:p>
    <w:p>
      <w:pPr>
        <w:pStyle w:val="FirstParagraph"/>
      </w:pPr>
      <w:r>
        <w:t xml:space="preserve">Economy class is the standard for all domestic flights and for international flights under six hours in duration.</w:t>
      </w:r>
    </w:p>
    <w:p>
      <w:pPr>
        <w:pStyle w:val="BodyText"/>
      </w:pPr>
      <w:r>
        <w:t xml:space="preserve">Premium economy is permitted for international flights over six hours. Business class requires division director approval and is normally granted only where the employee travels overnight and works the following day.</w:t>
      </w:r>
    </w:p>
    <w:p>
      <w:pPr>
        <w:pStyle w:val="BodyText"/>
      </w:pPr>
      <w:r>
        <w:t xml:space="preserve">Flights should be booked on the lowest logical fare, defined as the cheapest fare within two hours of the preferred departure time on the required date. Employees are not expected to accept an itinerary with more than one connection to save fare.</w:t>
      </w:r>
    </w:p>
    <w:bookmarkEnd w:id="26"/>
    <w:bookmarkStart w:id="27" w:name="rail-travel"/>
    <w:p>
      <w:pPr>
        <w:pStyle w:val="Heading2"/>
      </w:pPr>
      <w:r>
        <w:t xml:space="preserve">3.3 Rail Travel</w:t>
      </w:r>
    </w:p>
    <w:p>
      <w:pPr>
        <w:pStyle w:val="FirstParagraph"/>
      </w:pPr>
      <w:r>
        <w:t xml:space="preserve">AC 2-Tier is the standard class for overnight rail journeys. AC Chair Car or AC 3-Tier is the standard for day journeys under six hours.</w:t>
      </w:r>
    </w:p>
    <w:p>
      <w:pPr>
        <w:pStyle w:val="BodyText"/>
      </w:pPr>
      <w:r>
        <w:t xml:space="preserve">First AC requires department head approval.</w:t>
      </w:r>
    </w:p>
    <w:bookmarkEnd w:id="27"/>
    <w:bookmarkStart w:id="28" w:name="road-travel"/>
    <w:p>
      <w:pPr>
        <w:pStyle w:val="Heading2"/>
      </w:pPr>
      <w:r>
        <w:t xml:space="preserve">3.4 Road Travel</w:t>
      </w:r>
    </w:p>
    <w:p>
      <w:pPr>
        <w:pStyle w:val="FirstParagraph"/>
      </w:pPr>
      <w:r>
        <w:t xml:space="preserve">Where an employee uses a personal vehicle for business travel, mileage is reimbursed at Rs 12 per kilometre for a car and Rs 5 per kilometre for a two-wheeler. Mileage reimbursement covers fuel, wear, and insurance; fuel receipts are not separately claimable.</w:t>
      </w:r>
    </w:p>
    <w:p>
      <w:pPr>
        <w:pStyle w:val="BodyText"/>
      </w:pPr>
      <w:r>
        <w:t xml:space="preserve">Taxi and ride-hailing services are reimbursed at actuals for airport transfers, travel between customer sites, and travel where public transport is impractical or unsafe.</w:t>
      </w:r>
    </w:p>
    <w:p>
      <w:pPr>
        <w:pStyle w:val="BodyText"/>
      </w:pPr>
      <w:r>
        <w:t xml:space="preserve">Company vehicles, where allocated, should be used in preference to a personal vehicle or taxi for local travel.</w:t>
      </w:r>
    </w:p>
    <w:bookmarkEnd w:id="28"/>
    <w:bookmarkEnd w:id="29"/>
    <w:bookmarkStart w:id="34" w:name="accommodation"/>
    <w:p>
      <w:pPr>
        <w:pStyle w:val="Heading1"/>
      </w:pPr>
      <w:r>
        <w:t xml:space="preserve">4. Accommodation</w:t>
      </w:r>
    </w:p>
    <w:bookmarkStart w:id="30" w:name="room-rate-limits"/>
    <w:p>
      <w:pPr>
        <w:pStyle w:val="Heading2"/>
      </w:pPr>
      <w:r>
        <w:t xml:space="preserve">4.1 Room Rate Limits</w:t>
      </w:r>
    </w:p>
    <w:p>
      <w:pPr>
        <w:pStyle w:val="FirstParagraph"/>
      </w:pPr>
      <w:r>
        <w:t xml:space="preserve">Room rate limits per night, excluding taxes: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City category</w:t>
            </w:r>
          </w:p>
        </w:tc>
        <w:tc>
          <w:tcPr/>
          <w:p>
            <w:pPr>
              <w:pStyle w:val="Compact"/>
              <w:jc w:val="left"/>
            </w:pPr>
            <w:r>
              <w:t xml:space="preserve">Cities</w:t>
            </w:r>
          </w:p>
        </w:tc>
        <w:tc>
          <w:tcPr/>
          <w:p>
            <w:pPr>
              <w:pStyle w:val="Compact"/>
              <w:jc w:val="left"/>
            </w:pPr>
            <w:r>
              <w:t xml:space="preserve">Limit (Rs)</w:t>
            </w:r>
          </w:p>
        </w:tc>
      </w:tr>
      <w:tr>
        <w:tc>
          <w:tcPr/>
          <w:p>
            <w:pPr>
              <w:pStyle w:val="Compact"/>
              <w:jc w:val="left"/>
            </w:pPr>
            <w:r>
              <w:t xml:space="preserve">A</w:t>
            </w:r>
          </w:p>
        </w:tc>
        <w:tc>
          <w:tcPr/>
          <w:p>
            <w:pPr>
              <w:pStyle w:val="Compact"/>
              <w:jc w:val="left"/>
            </w:pPr>
            <w:r>
              <w:t xml:space="preserve">Mumbai, Delhi NCR, Bengaluru</w:t>
            </w:r>
          </w:p>
        </w:tc>
        <w:tc>
          <w:tcPr/>
          <w:p>
            <w:pPr>
              <w:pStyle w:val="Compact"/>
              <w:jc w:val="left"/>
            </w:pPr>
            <w:r>
              <w:t xml:space="preserve">7,500</w:t>
            </w:r>
          </w:p>
        </w:tc>
      </w:tr>
      <w:tr>
        <w:tc>
          <w:tcPr/>
          <w:p>
            <w:pPr>
              <w:pStyle w:val="Compact"/>
              <w:jc w:val="left"/>
            </w:pPr>
            <w:r>
              <w:t xml:space="preserve">B</w:t>
            </w:r>
          </w:p>
        </w:tc>
        <w:tc>
          <w:tcPr/>
          <w:p>
            <w:pPr>
              <w:pStyle w:val="Compact"/>
              <w:jc w:val="left"/>
            </w:pPr>
            <w:r>
              <w:t xml:space="preserve">Pune, Hyderabad, Chennai, Kolkata, Ahmedabad</w:t>
            </w:r>
          </w:p>
        </w:tc>
        <w:tc>
          <w:tcPr/>
          <w:p>
            <w:pPr>
              <w:pStyle w:val="Compact"/>
              <w:jc w:val="left"/>
            </w:pPr>
            <w:r>
              <w:t xml:space="preserve">5,500</w:t>
            </w:r>
          </w:p>
        </w:tc>
      </w:tr>
      <w:tr>
        <w:tc>
          <w:tcPr/>
          <w:p>
            <w:pPr>
              <w:pStyle w:val="Compact"/>
              <w:jc w:val="left"/>
            </w:pPr>
            <w:r>
              <w:t xml:space="preserve">C</w:t>
            </w:r>
          </w:p>
        </w:tc>
        <w:tc>
          <w:tcPr/>
          <w:p>
            <w:pPr>
              <w:pStyle w:val="Compact"/>
              <w:jc w:val="left"/>
            </w:pPr>
            <w:r>
              <w:t xml:space="preserve">All other Indian cities</w:t>
            </w:r>
          </w:p>
        </w:tc>
        <w:tc>
          <w:tcPr/>
          <w:p>
            <w:pPr>
              <w:pStyle w:val="Compact"/>
              <w:jc w:val="left"/>
            </w:pPr>
            <w:r>
              <w:t xml:space="preserve">4,000</w:t>
            </w:r>
          </w:p>
        </w:tc>
      </w:tr>
    </w:tbl>
    <w:p>
      <w:pPr>
        <w:pStyle w:val="BodyText"/>
      </w:pPr>
      <w:r>
        <w:t xml:space="preserve">International accommodation limits are set per trip at the time of approval, based on the destination.</w:t>
      </w:r>
    </w:p>
    <w:bookmarkEnd w:id="30"/>
    <w:bookmarkStart w:id="31" w:name="exceeding-the-limit"/>
    <w:p>
      <w:pPr>
        <w:pStyle w:val="Heading2"/>
      </w:pPr>
      <w:r>
        <w:t xml:space="preserve">4.2 Exceeding the Limit</w:t>
      </w:r>
    </w:p>
    <w:p>
      <w:pPr>
        <w:pStyle w:val="FirstParagraph"/>
      </w:pPr>
      <w:r>
        <w:t xml:space="preserve">Where no room is available within the limit, or where the employee must stay at a conference venue, the excess may be approved by the department head. The approval must be obtained before booking wherever possible, and in any case before the expense claim is submitted.</w:t>
      </w:r>
    </w:p>
    <w:bookmarkEnd w:id="31"/>
    <w:bookmarkStart w:id="32" w:name="what-the-rate-covers"/>
    <w:p>
      <w:pPr>
        <w:pStyle w:val="Heading2"/>
      </w:pPr>
      <w:r>
        <w:t xml:space="preserve">4.3 What the Rate Covers</w:t>
      </w:r>
    </w:p>
    <w:p>
      <w:pPr>
        <w:pStyle w:val="FirstParagraph"/>
      </w:pPr>
      <w:r>
        <w:t xml:space="preserve">The room rate limit covers the room and applicable taxes only. Breakfast is reimbursable where it is included in the room rate and does not increase it. Room service, minibar, laundry for trips under four nights, and in-room entertainment are not reimbursable.</w:t>
      </w:r>
    </w:p>
    <w:bookmarkEnd w:id="32"/>
    <w:bookmarkStart w:id="33" w:name="staying-with-family-or-friends"/>
    <w:p>
      <w:pPr>
        <w:pStyle w:val="Heading2"/>
      </w:pPr>
      <w:r>
        <w:t xml:space="preserve">4.4 Staying with Family or Friends</w:t>
      </w:r>
    </w:p>
    <w:p>
      <w:pPr>
        <w:pStyle w:val="FirstParagraph"/>
      </w:pPr>
      <w:r>
        <w:t xml:space="preserve">Employees who stay privately rather than in a hotel may claim a flat allowance of Rs 1,200 per night in place of accommodation. No receipt is required for this allowance.</w:t>
      </w:r>
    </w:p>
    <w:bookmarkEnd w:id="33"/>
    <w:bookmarkEnd w:id="34"/>
    <w:bookmarkStart w:id="39" w:name="meals-and-daily-allowance"/>
    <w:p>
      <w:pPr>
        <w:pStyle w:val="Heading1"/>
      </w:pPr>
      <w:r>
        <w:t xml:space="preserve">5. Meals and Daily Allowance</w:t>
      </w:r>
    </w:p>
    <w:bookmarkStart w:id="35" w:name="domestic-daily-allowance"/>
    <w:p>
      <w:pPr>
        <w:pStyle w:val="Heading2"/>
      </w:pPr>
      <w:r>
        <w:t xml:space="preserve">5.1 Domestic Daily Allowance</w:t>
      </w:r>
    </w:p>
    <w:p>
      <w:pPr>
        <w:pStyle w:val="FirstParagraph"/>
      </w:pPr>
      <w:r>
        <w:t xml:space="preserve">For domestic travel involving an overnight stay, a daily allowance covers meals and incidental expenses:</w:t>
      </w:r>
    </w:p>
    <w:p>
      <w:pPr>
        <w:numPr>
          <w:ilvl w:val="0"/>
          <w:numId w:val="1002"/>
        </w:numPr>
        <w:pStyle w:val="Compact"/>
      </w:pPr>
      <w:r>
        <w:t xml:space="preserve">City category A: Rs 1,400 per day.</w:t>
      </w:r>
    </w:p>
    <w:p>
      <w:pPr>
        <w:numPr>
          <w:ilvl w:val="0"/>
          <w:numId w:val="1002"/>
        </w:numPr>
        <w:pStyle w:val="Compact"/>
      </w:pPr>
      <w:r>
        <w:t xml:space="preserve">City category B: Rs 1,100 per day.</w:t>
      </w:r>
    </w:p>
    <w:p>
      <w:pPr>
        <w:numPr>
          <w:ilvl w:val="0"/>
          <w:numId w:val="1002"/>
        </w:numPr>
        <w:pStyle w:val="Compact"/>
      </w:pPr>
      <w:r>
        <w:t xml:space="preserve">City category C: Rs 900 per day.</w:t>
      </w:r>
    </w:p>
    <w:p>
      <w:pPr>
        <w:pStyle w:val="FirstParagraph"/>
      </w:pPr>
      <w:r>
        <w:t xml:space="preserve">The allowance is paid at the full rate for each complete day of travel, and at half rate for the day of departure and the day of return.</w:t>
      </w:r>
    </w:p>
    <w:p>
      <w:pPr>
        <w:pStyle w:val="BodyText"/>
      </w:pPr>
      <w:r>
        <w:t xml:space="preserve">No receipts are required for the daily allowance. Employees claiming the daily allowance may not additionally claim individual meal receipts.</w:t>
      </w:r>
    </w:p>
    <w:bookmarkEnd w:id="35"/>
    <w:bookmarkStart w:id="36" w:name="day-travel-without-overnight-stay"/>
    <w:p>
      <w:pPr>
        <w:pStyle w:val="Heading2"/>
      </w:pPr>
      <w:r>
        <w:t xml:space="preserve">5.2 Day Travel Without Overnight Stay</w:t>
      </w:r>
    </w:p>
    <w:p>
      <w:pPr>
        <w:pStyle w:val="FirstParagraph"/>
      </w:pPr>
      <w:r>
        <w:t xml:space="preserve">Where travel exceeds eight hours but does not involve an overnight stay, a meal allowance of Rs 500 applies.</w:t>
      </w:r>
    </w:p>
    <w:bookmarkEnd w:id="36"/>
    <w:bookmarkStart w:id="37" w:name="client-entertainment"/>
    <w:p>
      <w:pPr>
        <w:pStyle w:val="Heading2"/>
      </w:pPr>
      <w:r>
        <w:t xml:space="preserve">5.3 Client Entertainment</w:t>
      </w:r>
    </w:p>
    <w:p>
      <w:pPr>
        <w:pStyle w:val="FirstParagraph"/>
      </w:pPr>
      <w:r>
        <w:t xml:space="preserve">Meals with customers, dealers, or suppliers are reimbursed at actuals with an itemised receipt. The claim must record the names and organisations of those present and the business purpose.</w:t>
      </w:r>
    </w:p>
    <w:p>
      <w:pPr>
        <w:pStyle w:val="BodyText"/>
      </w:pPr>
      <w:r>
        <w:t xml:space="preserve">Entertainment expenditure above Rs 10,000 for a single occasion requires prior approval from the department head.</w:t>
      </w:r>
    </w:p>
    <w:p>
      <w:pPr>
        <w:pStyle w:val="BodyText"/>
      </w:pPr>
      <w:r>
        <w:t xml:space="preserve">Alcohol is reimbursable only as part of a client entertainment claim, and not as part of an individual meal claim or daily allowance.</w:t>
      </w:r>
    </w:p>
    <w:bookmarkEnd w:id="37"/>
    <w:bookmarkStart w:id="38" w:name="team-meals"/>
    <w:p>
      <w:pPr>
        <w:pStyle w:val="Heading2"/>
      </w:pPr>
      <w:r>
        <w:t xml:space="preserve">5.4 Team Meals</w:t>
      </w:r>
    </w:p>
    <w:p>
      <w:pPr>
        <w:pStyle w:val="FirstParagraph"/>
      </w:pPr>
      <w:r>
        <w:t xml:space="preserve">Meals for internal teams are reimbursable only where the meal is part of an approved offsite, training event, or where the team is working beyond 9:00 PM. The limit is Rs 600 per person.</w:t>
      </w:r>
    </w:p>
    <w:bookmarkEnd w:id="38"/>
    <w:bookmarkEnd w:id="39"/>
    <w:bookmarkStart w:id="44" w:name="other-reimbursable-expenses"/>
    <w:p>
      <w:pPr>
        <w:pStyle w:val="Heading1"/>
      </w:pPr>
      <w:r>
        <w:t xml:space="preserve">6. Other Reimbursable Expenses</w:t>
      </w:r>
    </w:p>
    <w:bookmarkStart w:id="40" w:name="communication"/>
    <w:p>
      <w:pPr>
        <w:pStyle w:val="Heading2"/>
      </w:pPr>
      <w:r>
        <w:t xml:space="preserve">6.1 Communication</w:t>
      </w:r>
    </w:p>
    <w:p>
      <w:pPr>
        <w:pStyle w:val="FirstParagraph"/>
      </w:pPr>
      <w:r>
        <w:t xml:space="preserve">Roaming charges incurred on international travel are reimbursed at actuals. Employees should activate an international roaming pack rather than paying per-use rates.</w:t>
      </w:r>
    </w:p>
    <w:p>
      <w:pPr>
        <w:pStyle w:val="BodyText"/>
      </w:pPr>
      <w:r>
        <w:t xml:space="preserve">Home internet is not reimbursable, except where the employee has an approved permanent remote working arrangement, in which case Rs 1,000 per month applies.</w:t>
      </w:r>
    </w:p>
    <w:bookmarkEnd w:id="40"/>
    <w:bookmarkStart w:id="41" w:name="visa-and-immigration"/>
    <w:p>
      <w:pPr>
        <w:pStyle w:val="Heading2"/>
      </w:pPr>
      <w:r>
        <w:t xml:space="preserve">6.2 Visa and Immigration</w:t>
      </w:r>
    </w:p>
    <w:p>
      <w:pPr>
        <w:pStyle w:val="FirstParagraph"/>
      </w:pPr>
      <w:r>
        <w:t xml:space="preserve">Visa fees, visa service charges, and travel insurance for business travel are reimbursed at actuals. Passport renewal is not reimbursable.</w:t>
      </w:r>
    </w:p>
    <w:bookmarkEnd w:id="41"/>
    <w:bookmarkStart w:id="42" w:name="baggage"/>
    <w:p>
      <w:pPr>
        <w:pStyle w:val="Heading2"/>
      </w:pPr>
      <w:r>
        <w:t xml:space="preserve">6.3 Baggage</w:t>
      </w:r>
    </w:p>
    <w:p>
      <w:pPr>
        <w:pStyle w:val="FirstParagraph"/>
      </w:pPr>
      <w:r>
        <w:t xml:space="preserve">Checked baggage charges are reimbursable for one bag on domestic flights and two bags on international flights. Excess baggage is reimbursable only where the employee is carrying equipment or documents for business purposes.</w:t>
      </w:r>
    </w:p>
    <w:bookmarkEnd w:id="42"/>
    <w:bookmarkStart w:id="43" w:name="parking-and-tolls"/>
    <w:p>
      <w:pPr>
        <w:pStyle w:val="Heading2"/>
      </w:pPr>
      <w:r>
        <w:t xml:space="preserve">6.4 Parking and Tolls</w:t>
      </w:r>
    </w:p>
    <w:p>
      <w:pPr>
        <w:pStyle w:val="FirstParagraph"/>
      </w:pPr>
      <w:r>
        <w:t xml:space="preserve">Airport parking is reimbursable for up to seven days per trip. Tolls incurred during business travel are reimbursable at actuals.</w:t>
      </w:r>
    </w:p>
    <w:bookmarkEnd w:id="43"/>
    <w:bookmarkEnd w:id="44"/>
    <w:bookmarkStart w:id="45" w:name="non-reimbursable-expenses"/>
    <w:p>
      <w:pPr>
        <w:pStyle w:val="Heading1"/>
      </w:pPr>
      <w:r>
        <w:t xml:space="preserve">7. Non-Reimbursable Expenses</w:t>
      </w:r>
    </w:p>
    <w:p>
      <w:pPr>
        <w:pStyle w:val="FirstParagraph"/>
      </w:pPr>
      <w:r>
        <w:t xml:space="preserve">The following are not reimbursable under any circumstances:</w:t>
      </w:r>
    </w:p>
    <w:p>
      <w:pPr>
        <w:numPr>
          <w:ilvl w:val="0"/>
          <w:numId w:val="1003"/>
        </w:numPr>
        <w:pStyle w:val="Compact"/>
      </w:pPr>
      <w:r>
        <w:t xml:space="preserve">Traffic fines, parking fines, and penalties of any kind.</w:t>
      </w:r>
    </w:p>
    <w:p>
      <w:pPr>
        <w:numPr>
          <w:ilvl w:val="0"/>
          <w:numId w:val="1003"/>
        </w:numPr>
        <w:pStyle w:val="Compact"/>
      </w:pPr>
      <w:r>
        <w:t xml:space="preserve">Personal travel costs, including any extension of a business trip for personal purposes.</w:t>
      </w:r>
    </w:p>
    <w:p>
      <w:pPr>
        <w:numPr>
          <w:ilvl w:val="0"/>
          <w:numId w:val="1003"/>
        </w:numPr>
        <w:pStyle w:val="Compact"/>
      </w:pPr>
      <w:r>
        <w:t xml:space="preserve">Travel costs for family members accompanying the employee.</w:t>
      </w:r>
    </w:p>
    <w:p>
      <w:pPr>
        <w:numPr>
          <w:ilvl w:val="0"/>
          <w:numId w:val="1003"/>
        </w:numPr>
        <w:pStyle w:val="Compact"/>
      </w:pPr>
      <w:r>
        <w:t xml:space="preserve">Loss or theft of personal property during travel.</w:t>
      </w:r>
    </w:p>
    <w:p>
      <w:pPr>
        <w:numPr>
          <w:ilvl w:val="0"/>
          <w:numId w:val="1003"/>
        </w:numPr>
        <w:pStyle w:val="Compact"/>
      </w:pPr>
      <w:r>
        <w:t xml:space="preserve">Airline seat upgrades purchased at the airport.</w:t>
      </w:r>
    </w:p>
    <w:p>
      <w:pPr>
        <w:numPr>
          <w:ilvl w:val="0"/>
          <w:numId w:val="1003"/>
        </w:numPr>
        <w:pStyle w:val="Compact"/>
      </w:pPr>
      <w:r>
        <w:t xml:space="preserve">Membership fees for airline or hotel loyalty programmes.</w:t>
      </w:r>
    </w:p>
    <w:p>
      <w:pPr>
        <w:numPr>
          <w:ilvl w:val="0"/>
          <w:numId w:val="1003"/>
        </w:numPr>
        <w:pStyle w:val="Compact"/>
      </w:pPr>
      <w:r>
        <w:t xml:space="preserve">Medical expenses, which are covered by the company medical insurance.</w:t>
      </w:r>
    </w:p>
    <w:p>
      <w:pPr>
        <w:numPr>
          <w:ilvl w:val="0"/>
          <w:numId w:val="1003"/>
        </w:numPr>
        <w:pStyle w:val="Compact"/>
      </w:pPr>
      <w:r>
        <w:t xml:space="preserve">Expenses incurred more than 45 days before the claim submission date.</w:t>
      </w:r>
    </w:p>
    <w:bookmarkEnd w:id="45"/>
    <w:bookmarkStart w:id="50" w:name="claiming-reimbursement"/>
    <w:p>
      <w:pPr>
        <w:pStyle w:val="Heading1"/>
      </w:pPr>
      <w:r>
        <w:t xml:space="preserve">8. Claiming Reimbursement</w:t>
      </w:r>
    </w:p>
    <w:bookmarkStart w:id="46" w:name="submission"/>
    <w:p>
      <w:pPr>
        <w:pStyle w:val="Heading2"/>
      </w:pPr>
      <w:r>
        <w:t xml:space="preserve">8.1 Submission</w:t>
      </w:r>
    </w:p>
    <w:p>
      <w:pPr>
        <w:pStyle w:val="FirstParagraph"/>
      </w:pPr>
      <w:r>
        <w:t xml:space="preserve">Claims are submitted through the expense module in the HR portal within 45 days of the expense being incurred. Claims submitted after 45 days require division director approval and are normally refused unless the delay was outside the employee’s control.</w:t>
      </w:r>
    </w:p>
    <w:bookmarkEnd w:id="46"/>
    <w:bookmarkStart w:id="47" w:name="evidence"/>
    <w:p>
      <w:pPr>
        <w:pStyle w:val="Heading2"/>
      </w:pPr>
      <w:r>
        <w:t xml:space="preserve">8.2 Evidence</w:t>
      </w:r>
    </w:p>
    <w:p>
      <w:pPr>
        <w:pStyle w:val="FirstParagraph"/>
      </w:pPr>
      <w:r>
        <w:t xml:space="preserve">Every claim line requires a receipt, except the daily allowance and the private accommodation allowance. Acceptable evidence is an original tax invoice or receipt showing the vendor name, date, amount, and GST details where applicable.</w:t>
      </w:r>
    </w:p>
    <w:p>
      <w:pPr>
        <w:pStyle w:val="BodyText"/>
      </w:pPr>
      <w:r>
        <w:t xml:space="preserve">Credit card statements are not acceptable as evidence on their own, because they do not show what was purchased.</w:t>
      </w:r>
    </w:p>
    <w:p>
      <w:pPr>
        <w:pStyle w:val="BodyText"/>
      </w:pPr>
      <w:r>
        <w:t xml:space="preserve">Where a receipt is genuinely unavailable, the employee submits a missing receipt declaration signed by the reporting manager. No more than two missing receipt declarations are accepted per employee per financial year.</w:t>
      </w:r>
    </w:p>
    <w:bookmarkEnd w:id="47"/>
    <w:bookmarkStart w:id="48" w:name="approval-and-payment"/>
    <w:p>
      <w:pPr>
        <w:pStyle w:val="Heading2"/>
      </w:pPr>
      <w:r>
        <w:t xml:space="preserve">8.3 Approval and Payment</w:t>
      </w:r>
    </w:p>
    <w:p>
      <w:pPr>
        <w:pStyle w:val="FirstParagraph"/>
      </w:pPr>
      <w:r>
        <w:t xml:space="preserve">Claims are approved by the reporting manager, then reviewed by Finance. Finance may query any line and may request additional evidence.</w:t>
      </w:r>
    </w:p>
    <w:p>
      <w:pPr>
        <w:pStyle w:val="BodyText"/>
      </w:pPr>
      <w:r>
        <w:t xml:space="preserve">Approved claims are paid with the next payroll run where the claim is approved at least five working days before the payroll cut-off, and otherwise with the following month’s payroll.</w:t>
      </w:r>
    </w:p>
    <w:bookmarkEnd w:id="48"/>
    <w:bookmarkStart w:id="49" w:name="advances"/>
    <w:p>
      <w:pPr>
        <w:pStyle w:val="Heading2"/>
      </w:pPr>
      <w:r>
        <w:t xml:space="preserve">8.4 Advances</w:t>
      </w:r>
    </w:p>
    <w:p>
      <w:pPr>
        <w:pStyle w:val="FirstParagraph"/>
      </w:pPr>
      <w:r>
        <w:t xml:space="preserve">A travel advance of up to 70% of the estimated trip cost may be requested for trips estimated above Rs 30,000. The advance is settled against the expense claim within 15 days of returning.</w:t>
      </w:r>
    </w:p>
    <w:p>
      <w:pPr>
        <w:pStyle w:val="BodyText"/>
      </w:pPr>
      <w:r>
        <w:t xml:space="preserve">An employee with an unsettled advance older than 30 days may not request a further advance, and the outstanding amount may be recovered from salary.</w:t>
      </w:r>
    </w:p>
    <w:bookmarkEnd w:id="49"/>
    <w:bookmarkEnd w:id="50"/>
    <w:bookmarkStart w:id="54" w:name="compliance"/>
    <w:p>
      <w:pPr>
        <w:pStyle w:val="Heading1"/>
      </w:pPr>
      <w:r>
        <w:t xml:space="preserve">9. Compliance</w:t>
      </w:r>
    </w:p>
    <w:bookmarkStart w:id="51" w:name="audit"/>
    <w:p>
      <w:pPr>
        <w:pStyle w:val="Heading2"/>
      </w:pPr>
      <w:r>
        <w:t xml:space="preserve">9.1 Audit</w:t>
      </w:r>
    </w:p>
    <w:p>
      <w:pPr>
        <w:pStyle w:val="FirstParagraph"/>
      </w:pPr>
      <w:r>
        <w:t xml:space="preserve">Finance audits a sample of expense claims each quarter. Employees may be asked to provide additional evidence for any claim submitted in the preceding 12 months.</w:t>
      </w:r>
    </w:p>
    <w:bookmarkEnd w:id="51"/>
    <w:bookmarkStart w:id="52" w:name="misuse"/>
    <w:p>
      <w:pPr>
        <w:pStyle w:val="Heading2"/>
      </w:pPr>
      <w:r>
        <w:t xml:space="preserve">9.2 Misuse</w:t>
      </w:r>
    </w:p>
    <w:p>
      <w:pPr>
        <w:pStyle w:val="FirstParagraph"/>
      </w:pPr>
      <w:r>
        <w:t xml:space="preserve">Submitting a claim for an expense that was not incurred, altering a receipt, or claiming personal expenditure as business expenditure is treated as serious misconduct under the Employee Handbook and may result in termination and recovery of the amount claimed.</w:t>
      </w:r>
    </w:p>
    <w:bookmarkEnd w:id="52"/>
    <w:bookmarkStart w:id="53" w:name="questions"/>
    <w:p>
      <w:pPr>
        <w:pStyle w:val="Heading2"/>
      </w:pPr>
      <w:r>
        <w:t xml:space="preserve">9.3 Questions</w:t>
      </w:r>
    </w:p>
    <w:p>
      <w:pPr>
        <w:pStyle w:val="FirstParagraph"/>
      </w:pPr>
      <w:r>
        <w:t xml:space="preserve">Questions about this policy should be directed to expenses@pawanpvtltd.example. Interpretation of the policy in disputed cases rests with the Head of Finance.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and Expense Policy</dc:title>
  <dc:creator/>
  <cp:keywords/>
  <dcterms:created xsi:type="dcterms:W3CDTF">2026-09-10T06:33:10Z</dcterms:created>
  <dcterms:modified xsi:type="dcterms:W3CDTF">2026-09-10T06:33:10Z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6.3 | Effective 1 April 2025</vt:lpwstr>
  </property>
  <property fmtid="{D5CDD505-2E9C-101B-9397-08002B2CF9AE}" pid="3" name="subtitle">
    <vt:lpwstr>Pawan Pvt Ltd — Finance Department</vt:lpwstr>
  </property>
</Properties>
</file>