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1360AF" w14:textId="77777777" w:rsidR="00B524A9" w:rsidRDefault="00000000">
      <w:pPr>
        <w:spacing w:before="1440" w:line="360" w:lineRule="auto"/>
        <w:jc w:val="center"/>
      </w:pPr>
      <w:r>
        <w:t>Universidad Internacional de La Rioja (UNIR)</w:t>
      </w:r>
    </w:p>
    <w:p w14:paraId="7D70F7E8" w14:textId="77777777" w:rsidR="00B524A9" w:rsidRDefault="00000000">
      <w:pPr>
        <w:spacing w:line="360" w:lineRule="auto"/>
        <w:jc w:val="center"/>
      </w:pPr>
      <w:r>
        <w:t>Máster en Inteligencia Artificial</w:t>
      </w:r>
    </w:p>
    <w:p w14:paraId="71E3736B" w14:textId="77777777" w:rsidR="00B524A9" w:rsidRDefault="00000000">
      <w:pPr>
        <w:spacing w:after="1440" w:line="360" w:lineRule="auto"/>
        <w:jc w:val="center"/>
      </w:pPr>
      <w:r>
        <w:t>Investigación y Gestión de Proyectos en Inteligencia Artificial</w:t>
      </w:r>
    </w:p>
    <w:p w14:paraId="06CCFCA0" w14:textId="77777777" w:rsidR="0072248F" w:rsidRDefault="0072248F">
      <w:pPr>
        <w:spacing w:after="1440" w:line="360" w:lineRule="auto"/>
        <w:jc w:val="center"/>
      </w:pPr>
    </w:p>
    <w:p w14:paraId="3DCFBEB1" w14:textId="77777777" w:rsidR="00B524A9" w:rsidRDefault="00000000">
      <w:pPr>
        <w:spacing w:line="360" w:lineRule="auto"/>
        <w:jc w:val="center"/>
      </w:pPr>
      <w:r>
        <w:rPr>
          <w:b/>
          <w:bCs/>
        </w:rPr>
        <w:t>Sistema de Predicción de Demanda e Inventario con Inteligencia Artificial para una Distribuidora de Acero: Propuesta de Proyecto Aplicado a Tubos y Perfiles de Occidente S.A.S.</w:t>
      </w:r>
    </w:p>
    <w:p w14:paraId="47A74F72" w14:textId="77777777" w:rsidR="0072248F" w:rsidRDefault="0072248F">
      <w:pPr>
        <w:spacing w:before="960" w:line="360" w:lineRule="auto"/>
        <w:jc w:val="center"/>
      </w:pPr>
    </w:p>
    <w:p w14:paraId="65D358A7" w14:textId="789F9B82" w:rsidR="00B524A9" w:rsidRDefault="00000000">
      <w:pPr>
        <w:spacing w:before="960" w:line="360" w:lineRule="auto"/>
        <w:jc w:val="center"/>
      </w:pPr>
      <w:r>
        <w:t>Pablo Alberto Duque Marín</w:t>
      </w:r>
    </w:p>
    <w:p w14:paraId="0A177A08" w14:textId="77777777" w:rsidR="0072248F" w:rsidRDefault="0072248F">
      <w:pPr>
        <w:spacing w:before="960" w:line="360" w:lineRule="auto"/>
        <w:jc w:val="center"/>
      </w:pPr>
    </w:p>
    <w:p w14:paraId="77FCDC07" w14:textId="77777777" w:rsidR="00B524A9" w:rsidRDefault="00000000">
      <w:pPr>
        <w:spacing w:before="960" w:line="360" w:lineRule="auto"/>
        <w:jc w:val="center"/>
      </w:pPr>
      <w:r>
        <w:t>Actividad 1 — Elaboración de una propuesta de proyecto de IA con enfoque empresarial</w:t>
      </w:r>
    </w:p>
    <w:p w14:paraId="3A91DED2" w14:textId="1B100CA7" w:rsidR="00B524A9" w:rsidRDefault="00000000">
      <w:pPr>
        <w:spacing w:line="360" w:lineRule="auto"/>
        <w:jc w:val="center"/>
      </w:pPr>
      <w:r>
        <w:t xml:space="preserve">Abril </w:t>
      </w:r>
      <w:r w:rsidR="0072248F">
        <w:t xml:space="preserve">21 </w:t>
      </w:r>
      <w:r>
        <w:t>de 2026</w:t>
      </w:r>
    </w:p>
    <w:p w14:paraId="091DF5E2" w14:textId="77777777" w:rsidR="00B524A9" w:rsidRDefault="00000000">
      <w:r>
        <w:br w:type="page"/>
      </w:r>
    </w:p>
    <w:p w14:paraId="5D6E9F8A" w14:textId="77777777" w:rsidR="00B524A9" w:rsidRDefault="00000000">
      <w:pPr>
        <w:spacing w:before="240" w:after="120" w:line="360" w:lineRule="auto"/>
        <w:jc w:val="center"/>
      </w:pPr>
      <w:r>
        <w:rPr>
          <w:b/>
          <w:bCs/>
        </w:rPr>
        <w:lastRenderedPageBreak/>
        <w:t>Declaración de Uso de Inteligencia Artificial Generativa</w:t>
      </w:r>
    </w:p>
    <w:p w14:paraId="77EB5310" w14:textId="77777777" w:rsidR="00B524A9" w:rsidRDefault="00000000">
      <w:pPr>
        <w:spacing w:before="200" w:after="60" w:line="360" w:lineRule="auto"/>
      </w:pPr>
      <w:r>
        <w:rPr>
          <w:b/>
          <w:bCs/>
        </w:rPr>
        <w:t>Identificación de la herramienta</w:t>
      </w:r>
    </w:p>
    <w:p w14:paraId="19DE762A" w14:textId="77777777" w:rsidR="00B524A9" w:rsidRDefault="00000000">
      <w:pPr>
        <w:spacing w:after="100" w:line="360" w:lineRule="auto"/>
        <w:ind w:firstLine="720"/>
        <w:jc w:val="both"/>
      </w:pPr>
      <w:r>
        <w:t xml:space="preserve">Para la elaboración del presente trabajo se utilizó Claude (claude.ai), modelo de inteligencia artificial generativa desarrollado por </w:t>
      </w:r>
      <w:proofErr w:type="spellStart"/>
      <w:r>
        <w:t>Anthropic</w:t>
      </w:r>
      <w:proofErr w:type="spellEnd"/>
      <w:r>
        <w:t>, en su versión Sonnet 4, accedido a través de la interfaz web de claude.ai durante el mes de abril de 2026.</w:t>
      </w:r>
    </w:p>
    <w:p w14:paraId="0667EBB9" w14:textId="77777777" w:rsidR="00B524A9" w:rsidRDefault="00000000">
      <w:pPr>
        <w:spacing w:before="200" w:after="60" w:line="360" w:lineRule="auto"/>
      </w:pPr>
      <w:r>
        <w:rPr>
          <w:b/>
          <w:bCs/>
        </w:rPr>
        <w:t>Propósito y alcance del uso</w:t>
      </w:r>
    </w:p>
    <w:p w14:paraId="5BCAD01A" w14:textId="77777777" w:rsidR="00B524A9" w:rsidRDefault="00000000">
      <w:pPr>
        <w:spacing w:after="100" w:line="360" w:lineRule="auto"/>
        <w:ind w:firstLine="720"/>
        <w:jc w:val="both"/>
      </w:pPr>
      <w:r>
        <w:t>La herramienta de IA se empleó como apoyo en las siguientes tareas específicas y delimitadas:</w:t>
      </w:r>
    </w:p>
    <w:p w14:paraId="0E9E629F" w14:textId="77777777" w:rsidR="00B524A9" w:rsidRDefault="00000000">
      <w:pPr>
        <w:pStyle w:val="Prrafodelista"/>
        <w:numPr>
          <w:ilvl w:val="0"/>
          <w:numId w:val="2"/>
        </w:numPr>
        <w:spacing w:after="80" w:line="360" w:lineRule="auto"/>
        <w:jc w:val="both"/>
      </w:pPr>
      <w:r>
        <w:t>Corrección de estilo, coherencia gramatical y fluidez en la redacción académica en español, sin alterar el contenido conceptual ni los argumentos desarrollados por el autor.</w:t>
      </w:r>
    </w:p>
    <w:p w14:paraId="6D3A13D3" w14:textId="77777777" w:rsidR="00B524A9" w:rsidRDefault="00000000">
      <w:pPr>
        <w:pStyle w:val="Prrafodelista"/>
        <w:numPr>
          <w:ilvl w:val="0"/>
          <w:numId w:val="2"/>
        </w:numPr>
        <w:spacing w:after="80" w:line="360" w:lineRule="auto"/>
        <w:jc w:val="both"/>
      </w:pPr>
      <w:r>
        <w:t xml:space="preserve">Apoyo en la búsqueda y organización de referencias bibliográficas recientes sobre modelos de series de tiempo, gestión de inventarios con IA y </w:t>
      </w:r>
      <w:proofErr w:type="spellStart"/>
      <w:r>
        <w:t>supply</w:t>
      </w:r>
      <w:proofErr w:type="spellEnd"/>
      <w:r>
        <w:t xml:space="preserve"> </w:t>
      </w:r>
      <w:proofErr w:type="spellStart"/>
      <w:r>
        <w:t>chain</w:t>
      </w:r>
      <w:proofErr w:type="spellEnd"/>
      <w:r>
        <w:t xml:space="preserve"> </w:t>
      </w:r>
      <w:proofErr w:type="spellStart"/>
      <w:r>
        <w:t>management</w:t>
      </w:r>
      <w:proofErr w:type="spellEnd"/>
      <w:r>
        <w:t>, a partir de consultas dirigidas por el autor. Todas las referencias fueron verificadas individualmente en sus fuentes originales antes de ser incluidas en el documento.</w:t>
      </w:r>
    </w:p>
    <w:p w14:paraId="681769FB" w14:textId="77777777" w:rsidR="00B524A9" w:rsidRDefault="00000000">
      <w:pPr>
        <w:pStyle w:val="Prrafodelista"/>
        <w:numPr>
          <w:ilvl w:val="0"/>
          <w:numId w:val="2"/>
        </w:numPr>
        <w:spacing w:after="80" w:line="360" w:lineRule="auto"/>
        <w:jc w:val="both"/>
      </w:pPr>
      <w:r>
        <w:t>Sugerencias de estructura y orden de presentación para algunas secciones del documento, que fueron evaluadas, modificadas y aprobadas por el autor según su criterio académico.</w:t>
      </w:r>
    </w:p>
    <w:p w14:paraId="6549A46A" w14:textId="77777777" w:rsidR="00B524A9" w:rsidRDefault="00000000">
      <w:pPr>
        <w:pStyle w:val="Prrafodelista"/>
        <w:numPr>
          <w:ilvl w:val="0"/>
          <w:numId w:val="2"/>
        </w:numPr>
        <w:spacing w:after="80" w:line="360" w:lineRule="auto"/>
        <w:jc w:val="both"/>
      </w:pPr>
      <w:r>
        <w:t>Generación de código JavaScript para la maquetación del documento en formato Word (.docx), bajo instrucciones precisas del autor que especificaron el contenido, el formato APA 7 y los requisitos de UNIR.</w:t>
      </w:r>
    </w:p>
    <w:p w14:paraId="5535555E" w14:textId="77777777" w:rsidR="00B524A9" w:rsidRDefault="00000000">
      <w:pPr>
        <w:spacing w:before="200" w:after="60" w:line="360" w:lineRule="auto"/>
      </w:pPr>
      <w:r>
        <w:rPr>
          <w:b/>
          <w:bCs/>
        </w:rPr>
        <w:t>Aporte personal y producción propia</w:t>
      </w:r>
    </w:p>
    <w:p w14:paraId="7A18CF56" w14:textId="77777777" w:rsidR="00B524A9" w:rsidRDefault="00000000">
      <w:pPr>
        <w:spacing w:after="100" w:line="360" w:lineRule="auto"/>
        <w:ind w:firstLine="720"/>
        <w:jc w:val="both"/>
      </w:pPr>
      <w:r>
        <w:t>La totalidad del contenido intelectual, analítico y argumentativo de este trabajo es de autoría propia. De manera específica, son resultado del trabajo personal del autor los siguientes elementos:</w:t>
      </w:r>
    </w:p>
    <w:p w14:paraId="24D70E6E" w14:textId="77777777" w:rsidR="00B524A9" w:rsidRDefault="00000000">
      <w:pPr>
        <w:pStyle w:val="Prrafodelista"/>
        <w:numPr>
          <w:ilvl w:val="0"/>
          <w:numId w:val="2"/>
        </w:numPr>
        <w:spacing w:after="80" w:line="360" w:lineRule="auto"/>
        <w:jc w:val="both"/>
      </w:pPr>
      <w:r>
        <w:t>La identificación del problema empresarial y su diagnóstico, basado en el análisis directo de documentos internos reales de la empresa: el archivo PROMEDIO_2025 del ERP UNO, el inventario al corte del 13 de septiembre de 2025, la Orden de Compra OC-3083 a DIACO S.A. y facturas de venta individuales.</w:t>
      </w:r>
    </w:p>
    <w:p w14:paraId="695152EC" w14:textId="77777777" w:rsidR="00B524A9" w:rsidRDefault="00000000">
      <w:pPr>
        <w:pStyle w:val="Prrafodelista"/>
        <w:numPr>
          <w:ilvl w:val="0"/>
          <w:numId w:val="2"/>
        </w:numPr>
        <w:spacing w:after="80" w:line="360" w:lineRule="auto"/>
        <w:jc w:val="both"/>
      </w:pPr>
      <w:r>
        <w:lastRenderedPageBreak/>
        <w:t>La selección del enfoque metodológico —predicción de demanda con modelos de series de tiempo sobre referencias categoría A— y la justificación de cada decisión de diseño experimental, incluyendo la elección de Prophet frente a LSTM y la definición del horizonte de predicción mensual.</w:t>
      </w:r>
    </w:p>
    <w:p w14:paraId="6FE71414" w14:textId="77777777" w:rsidR="00B524A9" w:rsidRDefault="00000000">
      <w:pPr>
        <w:pStyle w:val="Prrafodelista"/>
        <w:numPr>
          <w:ilvl w:val="0"/>
          <w:numId w:val="2"/>
        </w:numPr>
        <w:spacing w:after="80" w:line="360" w:lineRule="auto"/>
        <w:jc w:val="both"/>
      </w:pPr>
      <w:r>
        <w:t>La formulación de la hipótesis de investigación y la calibración del umbral de WAPE (≤ 25%) como criterio de éxito, con base en la revisión crítica de la literatura y el conocimiento del contexto operativo de la empresa.</w:t>
      </w:r>
    </w:p>
    <w:p w14:paraId="0EFA3622" w14:textId="77777777" w:rsidR="00B524A9" w:rsidRDefault="00000000">
      <w:pPr>
        <w:pStyle w:val="Prrafodelista"/>
        <w:numPr>
          <w:ilvl w:val="0"/>
          <w:numId w:val="2"/>
        </w:numPr>
        <w:spacing w:after="80" w:line="360" w:lineRule="auto"/>
        <w:jc w:val="both"/>
      </w:pPr>
      <w:r>
        <w:t xml:space="preserve">El análisis de riesgos del proyecto, la estrategia de adquisición de datos en tres escenarios, y el diseño del </w:t>
      </w:r>
      <w:proofErr w:type="spellStart"/>
      <w:r>
        <w:t>roadmap</w:t>
      </w:r>
      <w:proofErr w:type="spellEnd"/>
      <w:r>
        <w:t xml:space="preserve"> con hitos explícitos.</w:t>
      </w:r>
    </w:p>
    <w:p w14:paraId="2FFB7B5D" w14:textId="77777777" w:rsidR="00B524A9" w:rsidRDefault="00000000">
      <w:pPr>
        <w:pStyle w:val="Prrafodelista"/>
        <w:numPr>
          <w:ilvl w:val="0"/>
          <w:numId w:val="2"/>
        </w:numPr>
        <w:spacing w:after="80" w:line="360" w:lineRule="auto"/>
        <w:jc w:val="both"/>
      </w:pPr>
      <w:r>
        <w:t>Todas las conclusiones y recomendaciones estratégicas del documento.</w:t>
      </w:r>
    </w:p>
    <w:p w14:paraId="5DB85D6C" w14:textId="77777777" w:rsidR="00B524A9" w:rsidRDefault="00000000">
      <w:pPr>
        <w:pStyle w:val="Prrafodelista"/>
        <w:numPr>
          <w:ilvl w:val="0"/>
          <w:numId w:val="2"/>
        </w:numPr>
        <w:spacing w:after="80" w:line="360" w:lineRule="auto"/>
        <w:jc w:val="both"/>
      </w:pPr>
      <w:r>
        <w:t>El trabajo de campo previo a este documento, que incluyó entrevistas semiestructuradas al jefe logístico, coordinador de patio, conductores y operarios de carga, y una visita directa a las instalaciones de la empresa en Dosquebradas, Risaralda, en septiembre de 2025.</w:t>
      </w:r>
    </w:p>
    <w:p w14:paraId="04E4F2BF" w14:textId="77777777" w:rsidR="00B524A9" w:rsidRDefault="00000000">
      <w:pPr>
        <w:spacing w:before="200" w:after="60" w:line="360" w:lineRule="auto"/>
      </w:pPr>
      <w:r>
        <w:rPr>
          <w:b/>
          <w:bCs/>
        </w:rPr>
        <w:t>Declaración de transparencia</w:t>
      </w:r>
    </w:p>
    <w:p w14:paraId="5E413C30" w14:textId="77777777" w:rsidR="00B524A9" w:rsidRDefault="00000000">
      <w:pPr>
        <w:spacing w:after="100" w:line="360" w:lineRule="auto"/>
        <w:ind w:firstLine="720"/>
        <w:jc w:val="both"/>
      </w:pPr>
      <w:r>
        <w:t>Certifico que el uso de la herramienta de inteligencia artificial descrito anteriormente fue en todo momento supervisado y subordinado al criterio académico propio. La IA no fue utilizada para suplantar el razonamiento, el análisis crítico ni la producción intelectual que son el objeto de evaluación de esta actividad. El contenido de este trabajo refleja mi comprensión personal de los temas tratados y mi capacidad para aplicar los conceptos metodológicos de la asignatura a un caso empresarial real.</w:t>
      </w:r>
    </w:p>
    <w:p w14:paraId="07AEDD20" w14:textId="77777777" w:rsidR="00B524A9" w:rsidRDefault="00B524A9">
      <w:pPr>
        <w:spacing w:line="360" w:lineRule="auto"/>
      </w:pPr>
    </w:p>
    <w:p w14:paraId="5A65C660" w14:textId="77777777" w:rsidR="00B524A9" w:rsidRDefault="00000000">
      <w:pPr>
        <w:spacing w:before="240" w:after="80" w:line="360" w:lineRule="auto"/>
      </w:pPr>
      <w:r>
        <w:rPr>
          <w:b/>
          <w:bCs/>
        </w:rPr>
        <w:t>Pablo Alberto Duque Marín</w:t>
      </w:r>
    </w:p>
    <w:p w14:paraId="0D784218" w14:textId="77777777" w:rsidR="00B524A9" w:rsidRDefault="00000000">
      <w:pPr>
        <w:spacing w:after="80" w:line="360" w:lineRule="auto"/>
      </w:pPr>
      <w:r>
        <w:t>Máster en Inteligencia Artificial — UNIR</w:t>
      </w:r>
    </w:p>
    <w:p w14:paraId="598C57CD" w14:textId="06987269" w:rsidR="00B524A9" w:rsidRDefault="00000000">
      <w:pPr>
        <w:spacing w:line="360" w:lineRule="auto"/>
      </w:pPr>
      <w:r>
        <w:t xml:space="preserve">Manizales, Caldas, Colombia — </w:t>
      </w:r>
      <w:proofErr w:type="gramStart"/>
      <w:r>
        <w:t>Abril</w:t>
      </w:r>
      <w:proofErr w:type="gramEnd"/>
      <w:r>
        <w:t xml:space="preserve"> </w:t>
      </w:r>
      <w:r w:rsidR="0072248F">
        <w:t xml:space="preserve">21 </w:t>
      </w:r>
      <w:r>
        <w:t>de 2026</w:t>
      </w:r>
    </w:p>
    <w:p w14:paraId="78113F71" w14:textId="77777777" w:rsidR="00B524A9" w:rsidRDefault="00000000">
      <w:r>
        <w:br w:type="page"/>
      </w:r>
    </w:p>
    <w:p w14:paraId="48BBC870" w14:textId="77777777" w:rsidR="00B524A9" w:rsidRDefault="00000000">
      <w:pPr>
        <w:spacing w:before="240" w:after="120" w:line="360" w:lineRule="auto"/>
        <w:jc w:val="center"/>
      </w:pPr>
      <w:r>
        <w:rPr>
          <w:b/>
          <w:bCs/>
        </w:rPr>
        <w:lastRenderedPageBreak/>
        <w:t>Resumen</w:t>
      </w:r>
    </w:p>
    <w:p w14:paraId="67054A3A" w14:textId="5027966C" w:rsidR="00B524A9" w:rsidRDefault="00000000">
      <w:pPr>
        <w:spacing w:after="100" w:line="360" w:lineRule="auto"/>
        <w:jc w:val="both"/>
      </w:pPr>
      <w:r>
        <w:t xml:space="preserve">Las distribuidoras de acero operan en una tensión que no siempre se ve en los estados financieros: el cliente necesita el material hoy, el proveedor lo entrega en tres a siete días, y el sistema de inventario </w:t>
      </w:r>
      <w:r w:rsidR="0072248F">
        <w:t>(</w:t>
      </w:r>
      <w:r>
        <w:t>si solo usa promedios simples</w:t>
      </w:r>
      <w:r w:rsidR="0072248F">
        <w:t>)</w:t>
      </w:r>
      <w:r>
        <w:t xml:space="preserve"> no anticipa cuándo esa brecha va a </w:t>
      </w:r>
      <w:r w:rsidR="0072248F">
        <w:t>afectar</w:t>
      </w:r>
      <w:r>
        <w:t xml:space="preserve">. Tubos y Perfiles de Occidente S.A.S., con sede en Manizales y un portafolio de más de 900 referencias activas, enfrenta exactamente ese problema. Su ERP UNO calcula promedios mensuales de salidas sin distinguir la estacionalidad propia del sector constructor en el Eje Cafetero. El resultado son stocks en cero en referencias críticas y capital inmovilizado en otras que nadie pidió. Esta propuesta plantea el diseño y validación, en entorno simulado, de un sistema de predicción de demanda basado en modelos de series de tiempo </w:t>
      </w:r>
      <w:r w:rsidR="0072248F">
        <w:t>(</w:t>
      </w:r>
      <w:r>
        <w:t>Prophet y SARIMA</w:t>
      </w:r>
      <w:r w:rsidR="0072248F">
        <w:t xml:space="preserve">) </w:t>
      </w:r>
      <w:r>
        <w:t xml:space="preserve">aplicado a las referencias de categoría A identificadas mediante análisis ABC multicriterio. La hipótesis central </w:t>
      </w:r>
      <w:r w:rsidR="0072248F">
        <w:t>plantea</w:t>
      </w:r>
      <w:r>
        <w:t xml:space="preserve"> que el modelo logrará un error WAPE ≤ 25% en horizonte mensual, superando el desempeño estimado del sistema de promedios actual. La metodología emplea </w:t>
      </w:r>
      <w:proofErr w:type="spellStart"/>
      <w:r>
        <w:t>walk</w:t>
      </w:r>
      <w:proofErr w:type="spellEnd"/>
      <w:r>
        <w:t xml:space="preserve">-forward </w:t>
      </w:r>
      <w:proofErr w:type="spellStart"/>
      <w:r>
        <w:t>validation</w:t>
      </w:r>
      <w:proofErr w:type="spellEnd"/>
      <w:r>
        <w:t xml:space="preserve"> sobre el histórico disponible en el ERP. El plan se estructura en cuatro fases de dieciséis semanas, con métricas simuladas, análisis de riesgos y criterios explícitos de viabilidad. Los resultados esperados apuntan a reducir quiebres de stock en referencias críticas y liberar capital inmovilizado en </w:t>
      </w:r>
      <w:proofErr w:type="spellStart"/>
      <w:r>
        <w:t>sobrestock</w:t>
      </w:r>
      <w:proofErr w:type="spellEnd"/>
      <w:r>
        <w:t>.</w:t>
      </w:r>
    </w:p>
    <w:p w14:paraId="50FD6F3B" w14:textId="77777777" w:rsidR="00B524A9" w:rsidRDefault="00000000">
      <w:pPr>
        <w:spacing w:after="100" w:line="360" w:lineRule="auto"/>
        <w:ind w:firstLine="720"/>
      </w:pPr>
      <w:r>
        <w:rPr>
          <w:i/>
          <w:iCs/>
        </w:rPr>
        <w:t xml:space="preserve">Palabras clave: </w:t>
      </w:r>
      <w:r>
        <w:t>predicción de demanda, series de tiempo, Prophet, SARIMA, análisis ABC, gestión de inventarios, inteligencia artificial, distribución de acero, Colombia</w:t>
      </w:r>
    </w:p>
    <w:p w14:paraId="25A1144F" w14:textId="77777777" w:rsidR="00B524A9" w:rsidRDefault="00000000">
      <w:r>
        <w:br w:type="page"/>
      </w:r>
    </w:p>
    <w:p w14:paraId="2F94E76D" w14:textId="77777777" w:rsidR="00B524A9" w:rsidRDefault="00000000">
      <w:pPr>
        <w:spacing w:before="240" w:after="120" w:line="360" w:lineRule="auto"/>
        <w:jc w:val="center"/>
      </w:pPr>
      <w:r>
        <w:rPr>
          <w:b/>
          <w:bCs/>
        </w:rPr>
        <w:lastRenderedPageBreak/>
        <w:t>1. Introducción y Definición del Problema</w:t>
      </w:r>
    </w:p>
    <w:p w14:paraId="7E7F1A6F" w14:textId="77777777" w:rsidR="00B524A9" w:rsidRDefault="00000000">
      <w:pPr>
        <w:spacing w:before="200" w:after="60" w:line="360" w:lineRule="auto"/>
      </w:pPr>
      <w:r>
        <w:rPr>
          <w:b/>
          <w:bCs/>
        </w:rPr>
        <w:t>1.1 Presentación de la Empresa y el Sector</w:t>
      </w:r>
    </w:p>
    <w:p w14:paraId="6D260C5B" w14:textId="2554DF54" w:rsidR="00B524A9" w:rsidRDefault="00000000">
      <w:pPr>
        <w:spacing w:after="100" w:line="360" w:lineRule="auto"/>
        <w:ind w:firstLine="720"/>
        <w:jc w:val="both"/>
      </w:pPr>
      <w:r>
        <w:t xml:space="preserve">Tubos y Perfiles de Occidente S.A.S. es una distribuidora de materiales metálicos y de construcción fundada el 30 de abril de 2015, con sede principal en Manizales, Caldas, y sucursales operativas en Dosquebradas </w:t>
      </w:r>
      <w:r w:rsidR="0072248F">
        <w:t>(</w:t>
      </w:r>
      <w:r>
        <w:t>Risaralda</w:t>
      </w:r>
      <w:r w:rsidR="0072248F">
        <w:t>)</w:t>
      </w:r>
      <w:r>
        <w:t xml:space="preserve"> y Chinchiná </w:t>
      </w:r>
      <w:r w:rsidR="0072248F">
        <w:t>(</w:t>
      </w:r>
      <w:r>
        <w:t>Caldas</w:t>
      </w:r>
      <w:r w:rsidR="0072248F">
        <w:t>)</w:t>
      </w:r>
      <w:r>
        <w:t xml:space="preserve">. Con 56 empleados y clasificada como empresa mediana según el DANE, opera bajo el CIIU 4663 </w:t>
      </w:r>
      <w:r w:rsidR="0072248F">
        <w:t>(</w:t>
      </w:r>
      <w:r>
        <w:t>comercio al por mayor de materiales de construcción y ferretería</w:t>
      </w:r>
      <w:r w:rsidR="0072248F">
        <w:t>)</w:t>
      </w:r>
      <w:r>
        <w:t xml:space="preserve">. Su portafolio activo supera las 900 referencias: tubería cuadrada, rectangular y redonda en acero frío y caliente; perfiles PTS estructurales; perlinas; varillas corrugadas, lisas y grafiladas; láminas galvanizadas, CR y HR; ángulos; platinas; mallas electrosoldadas; cubiertas metálicas y plásticas, entre otros. Tres bodegas distribuyen ese inventario, que al corte del 13 de septiembre de 2025 registraba 978.764 unidades </w:t>
      </w:r>
      <w:r w:rsidR="0072248F">
        <w:t>(</w:t>
      </w:r>
      <w:r>
        <w:t>según el sistema ERP UNO versión 8.5 que gestiona la operación</w:t>
      </w:r>
      <w:r w:rsidR="0072248F">
        <w:t>)</w:t>
      </w:r>
      <w:r>
        <w:t>.</w:t>
      </w:r>
    </w:p>
    <w:p w14:paraId="67B4FEF6" w14:textId="2D50D229" w:rsidR="00B524A9" w:rsidRDefault="00000000">
      <w:pPr>
        <w:spacing w:after="100" w:line="360" w:lineRule="auto"/>
        <w:ind w:firstLine="720"/>
        <w:jc w:val="both"/>
      </w:pPr>
      <w:r>
        <w:t>El sector de distribución de acero en el Eje Cafetero colombiano es intensivo en capital de trabajo y altamente sensible a los ciclos del sector constructor. Los clientes principales son constructoras, ferreterías mayoristas y contratistas que exigen despachos casi inmediatos. Los proveedores clave DIACO S.A., Ternium Colombia</w:t>
      </w:r>
      <w:r w:rsidR="0072248F">
        <w:t xml:space="preserve"> </w:t>
      </w:r>
      <w:r>
        <w:t>operan con lead times de entre dos y siete días, y sin cláusulas contractuales de penalización por incumplimiento: así lo confirma la Orden de Compra OC-3083 analizada en el marco de este proyecto.</w:t>
      </w:r>
    </w:p>
    <w:p w14:paraId="25A5FF9B" w14:textId="77777777" w:rsidR="00B524A9" w:rsidRDefault="00000000">
      <w:pPr>
        <w:spacing w:before="200" w:after="60" w:line="360" w:lineRule="auto"/>
      </w:pPr>
      <w:r>
        <w:rPr>
          <w:b/>
          <w:bCs/>
        </w:rPr>
        <w:t>1.2 Identificación del Problema Estratégico</w:t>
      </w:r>
    </w:p>
    <w:p w14:paraId="6C4BA7C9" w14:textId="699FE21A" w:rsidR="00B524A9" w:rsidRDefault="00000000">
      <w:pPr>
        <w:spacing w:after="100" w:line="360" w:lineRule="auto"/>
        <w:ind w:firstLine="720"/>
        <w:jc w:val="both"/>
      </w:pPr>
      <w:r>
        <w:t xml:space="preserve">El sistema ERP UNO </w:t>
      </w:r>
      <w:r w:rsidR="0072248F">
        <w:t>(</w:t>
      </w:r>
      <w:r>
        <w:t>versión 8.5</w:t>
      </w:r>
      <w:r w:rsidR="0072248F">
        <w:t>)</w:t>
      </w:r>
      <w:r>
        <w:t xml:space="preserve"> calcula un promedio mensual de salidas por referencia y lo usa como proxy de la demanda futura para sugerir cantidades de reposición. El defecto estructural de ese enfoque está documentado: el promedio simple aplana la señal temporal (Hyndman y Koehler, 2006). No distingue si las 566 unidades mensuales promedio de Tubo Cuadrado 1" C.18 (1.00 mm) se vendieron de manera uniforme o si se concentraron entre marzo y junio </w:t>
      </w:r>
      <w:r w:rsidR="0072248F">
        <w:t>(</w:t>
      </w:r>
      <w:r>
        <w:t>temporada de obra activa antes de las lluvias en el Eje Cafetero</w:t>
      </w:r>
      <w:r w:rsidR="0072248F">
        <w:t xml:space="preserve">) </w:t>
      </w:r>
      <w:r>
        <w:t xml:space="preserve">y luego entre agosto y noviembre. Ambos períodos correlacionan con el Índice de Costos de la Construcción Pesada </w:t>
      </w:r>
      <w:r w:rsidR="0072248F">
        <w:t>(</w:t>
      </w:r>
      <w:r>
        <w:t>ICCP</w:t>
      </w:r>
      <w:r w:rsidR="0072248F">
        <w:t>)</w:t>
      </w:r>
      <w:r>
        <w:t>publicado mensualmente por el DANE. El sistema, en cambio, trata enero igual que julio.</w:t>
      </w:r>
    </w:p>
    <w:p w14:paraId="2D70B8FD" w14:textId="043D41CB" w:rsidR="00B524A9" w:rsidRDefault="00000000">
      <w:pPr>
        <w:spacing w:after="100" w:line="360" w:lineRule="auto"/>
        <w:ind w:firstLine="720"/>
        <w:jc w:val="both"/>
      </w:pPr>
      <w:r>
        <w:lastRenderedPageBreak/>
        <w:t xml:space="preserve">La evidencia está en los archivos. El PROMEDIO_2025 del ERP registra stock cero en referencias de alta rotación </w:t>
      </w:r>
      <w:r w:rsidR="0072248F">
        <w:t>(</w:t>
      </w:r>
      <w:r>
        <w:t>Tubo Cuadrado 1.1/2" C.20 (0.80 mm) en bodega principal y columnas de pedido sugerido negativas:</w:t>
      </w:r>
      <w:r w:rsidR="0072248F">
        <w:t xml:space="preserve"> </w:t>
      </w:r>
      <w:r>
        <w:t>74 unidades en Tubo Rectangular 2"×1" C.18 (1.00 mm). Eso no es un error del sistema; es el síntoma de un modelo que sobreestima demanda en meses bajos y la subestima en meses pico. Ningún reporte de alerta lo captura.</w:t>
      </w:r>
    </w:p>
    <w:p w14:paraId="58759C33" w14:textId="77777777" w:rsidR="00B524A9" w:rsidRDefault="00000000">
      <w:pPr>
        <w:spacing w:before="200" w:after="60" w:line="360" w:lineRule="auto"/>
      </w:pPr>
      <w:r>
        <w:rPr>
          <w:b/>
          <w:bCs/>
        </w:rPr>
        <w:t>1.3 Impacto Económico, Operativo y Competitivo</w:t>
      </w:r>
    </w:p>
    <w:p w14:paraId="32F625A6" w14:textId="2EE63AC7" w:rsidR="00B524A9" w:rsidRDefault="00000000">
      <w:pPr>
        <w:spacing w:after="100" w:line="360" w:lineRule="auto"/>
        <w:ind w:firstLine="720"/>
        <w:jc w:val="both"/>
      </w:pPr>
      <w:r>
        <w:t>El impacto se mueve en tres planos. En lo económico: la empresa reportó una caída del 5,56% en ingresos netos en 2024, en un mercado de construcción que desacelera; cada quiebre de stock en una referencia categoría A son ventas que se van con el cliente que no esperó. En lo operativo: el jefe logístico reorganiza despachos y extiende turnos cuando el proveedor llega tarde, generando horas extra y uso de cargadores externos</w:t>
      </w:r>
      <w:r w:rsidR="0072248F">
        <w:t xml:space="preserve">, </w:t>
      </w:r>
      <w:r>
        <w:t>costos que no aparecen en ninguna línea del presupuesto logístico</w:t>
      </w:r>
      <w:r w:rsidR="0072248F">
        <w:t>,</w:t>
      </w:r>
      <w:r>
        <w:t xml:space="preserve"> En lo competitivo:</w:t>
      </w:r>
      <w:r w:rsidR="0072248F">
        <w:t xml:space="preserve"> si la empresa</w:t>
      </w:r>
      <w:r>
        <w:t xml:space="preserve"> anticipa la demanda estacional garantiza disponibilidad en temporada pico</w:t>
      </w:r>
      <w:r w:rsidR="0072248F">
        <w:t>.</w:t>
      </w:r>
    </w:p>
    <w:p w14:paraId="280F11F8" w14:textId="6CF3AA53" w:rsidR="00B524A9" w:rsidRDefault="00000000">
      <w:pPr>
        <w:spacing w:after="100" w:line="360" w:lineRule="auto"/>
        <w:ind w:firstLine="720"/>
        <w:jc w:val="both"/>
      </w:pPr>
      <w:r>
        <w:t>La oportunidad es concreta. La empresa ya tiene</w:t>
      </w:r>
      <w:r w:rsidR="0072248F">
        <w:t xml:space="preserve"> </w:t>
      </w:r>
      <w:r>
        <w:t>meses de histórico transaccional en el ERP UNO; lo que no tiene es un modelo que aprenda los patrones de ese histórico. La inteligencia artificial</w:t>
      </w:r>
      <w:r w:rsidR="00E7724B">
        <w:t xml:space="preserve">, </w:t>
      </w:r>
      <w:r>
        <w:t>específicamente los modelos de series de tiempo con descomposición estacional puede</w:t>
      </w:r>
      <w:r w:rsidR="00E7724B">
        <w:t>n</w:t>
      </w:r>
      <w:r>
        <w:t xml:space="preserve"> complementar la infraestructura existente sin reemplazarla, produciendo predicciones mensuales que el sistema de reposición pueda usar directamente.</w:t>
      </w:r>
    </w:p>
    <w:p w14:paraId="65312791" w14:textId="77777777" w:rsidR="00B524A9" w:rsidRDefault="00B524A9">
      <w:pPr>
        <w:spacing w:line="360" w:lineRule="auto"/>
      </w:pPr>
    </w:p>
    <w:p w14:paraId="29C7C2AA" w14:textId="77777777" w:rsidR="00B524A9" w:rsidRDefault="00000000">
      <w:pPr>
        <w:spacing w:before="240" w:after="120" w:line="360" w:lineRule="auto"/>
        <w:jc w:val="center"/>
      </w:pPr>
      <w:r>
        <w:rPr>
          <w:b/>
          <w:bCs/>
        </w:rPr>
        <w:t>2. Estado del Arte y Análisis de Tendencias en IA</w:t>
      </w:r>
    </w:p>
    <w:p w14:paraId="6F83B731" w14:textId="77777777" w:rsidR="00B524A9" w:rsidRDefault="00000000">
      <w:pPr>
        <w:spacing w:before="200" w:after="60" w:line="360" w:lineRule="auto"/>
      </w:pPr>
      <w:r>
        <w:rPr>
          <w:b/>
          <w:bCs/>
        </w:rPr>
        <w:t>2.1 Aplicaciones de IA en Distribución de Materiales Industriales</w:t>
      </w:r>
    </w:p>
    <w:p w14:paraId="2B17BEED" w14:textId="571CFA45" w:rsidR="00B524A9" w:rsidRDefault="00000000">
      <w:pPr>
        <w:spacing w:after="100" w:line="360" w:lineRule="auto"/>
        <w:ind w:firstLine="720"/>
        <w:jc w:val="both"/>
      </w:pPr>
      <w:r>
        <w:t xml:space="preserve">No es que falte literatura sobre el tema. </w:t>
      </w:r>
      <w:proofErr w:type="spellStart"/>
      <w:r w:rsidR="001161D0" w:rsidRPr="001161D0">
        <w:t>Sukolkit</w:t>
      </w:r>
      <w:proofErr w:type="spellEnd"/>
      <w:r w:rsidR="001161D0" w:rsidRPr="001161D0">
        <w:t xml:space="preserve"> et al. (2024)</w:t>
      </w:r>
      <w:r w:rsidR="001161D0">
        <w:t xml:space="preserve"> </w:t>
      </w:r>
      <w:r>
        <w:t xml:space="preserve">aplicaron Prophet, SVR, CNN y LSTM a demanda de malla de acero y encontraron que el ensemble RNN-LSTM alcanzó MAPE de 1,20%; pero Prophet, con un error algo mayor, resultó más interpretable para gestores no técnicos </w:t>
      </w:r>
      <w:r w:rsidR="001161D0">
        <w:t xml:space="preserve">un </w:t>
      </w:r>
      <w:r>
        <w:t xml:space="preserve">argumento que importa mucho cuando la adopción depende del jefe logístico, no del científico de datos. </w:t>
      </w:r>
      <w:proofErr w:type="spellStart"/>
      <w:r>
        <w:t>Prastuti</w:t>
      </w:r>
      <w:proofErr w:type="spellEnd"/>
      <w:r>
        <w:t xml:space="preserve"> et al. (2025) demostraron que los modelos estadísticos clásicos siguen siendo competitivos en horizontes mensuales con datos limitados, en un estudio sobre cemento con </w:t>
      </w:r>
      <w:r>
        <w:lastRenderedPageBreak/>
        <w:t xml:space="preserve">estacionalidad comparable a los materiales de construcción metálicos. </w:t>
      </w:r>
      <w:proofErr w:type="spellStart"/>
      <w:r>
        <w:t>Feizabadi</w:t>
      </w:r>
      <w:proofErr w:type="spellEnd"/>
      <w:r>
        <w:t xml:space="preserve"> (2022), en un fabricante de acero, documentó que un método híbrido ARIMAX mejora estadísticamente el desempeño del </w:t>
      </w:r>
      <w:proofErr w:type="spellStart"/>
      <w:r>
        <w:t>supply</w:t>
      </w:r>
      <w:proofErr w:type="spellEnd"/>
      <w:r>
        <w:t xml:space="preserve"> </w:t>
      </w:r>
      <w:proofErr w:type="spellStart"/>
      <w:r>
        <w:t>chain</w:t>
      </w:r>
      <w:proofErr w:type="spellEnd"/>
      <w:r>
        <w:t xml:space="preserve"> frente a métodos tradicionales. El patrón que emerge es consistente: la IA ayuda, pero el modelo óptimo depende del contexto, no del </w:t>
      </w:r>
      <w:proofErr w:type="spellStart"/>
      <w:r>
        <w:t>benchmark</w:t>
      </w:r>
      <w:proofErr w:type="spellEnd"/>
      <w:r>
        <w:t xml:space="preserve"> global.</w:t>
      </w:r>
    </w:p>
    <w:p w14:paraId="490441C5" w14:textId="77777777" w:rsidR="00B524A9" w:rsidRDefault="00000000">
      <w:pPr>
        <w:spacing w:before="200" w:after="60" w:line="360" w:lineRule="auto"/>
      </w:pPr>
      <w:r>
        <w:rPr>
          <w:b/>
          <w:bCs/>
        </w:rPr>
        <w:t>2.2 Comparativa de Modelos: SARIMA, Prophet, LSTM y Enfoques Híbridos</w:t>
      </w:r>
    </w:p>
    <w:p w14:paraId="435BFAD5" w14:textId="520C1D2B" w:rsidR="00B524A9" w:rsidRDefault="00000000">
      <w:pPr>
        <w:spacing w:after="100" w:line="360" w:lineRule="auto"/>
        <w:ind w:firstLine="720"/>
        <w:jc w:val="both"/>
      </w:pPr>
      <w:r>
        <w:t xml:space="preserve">La literatura comparativa reciente es bastante clara en algo que a veces se pierde en el entusiasmo por el </w:t>
      </w:r>
      <w:proofErr w:type="spellStart"/>
      <w:r>
        <w:t>deep</w:t>
      </w:r>
      <w:proofErr w:type="spellEnd"/>
      <w:r>
        <w:t xml:space="preserve"> </w:t>
      </w:r>
      <w:proofErr w:type="spellStart"/>
      <w:r>
        <w:t>learning</w:t>
      </w:r>
      <w:proofErr w:type="spellEnd"/>
      <w:r>
        <w:t xml:space="preserve">: ningún modelo domina universalmente. La selección depende del volumen de datos, el horizonte de predicción y la capacidad técnica del equipo que va a mantenerlo. Chaturvedi et al. (2022) evaluaron SARIMA, LSTM y Prophet sobre 108 meses de demanda energética y Prophet alcanzó el menor error </w:t>
      </w:r>
      <w:r w:rsidR="001161D0">
        <w:t>(</w:t>
      </w:r>
      <w:r>
        <w:t>MAPE = 3,3%</w:t>
      </w:r>
      <w:r w:rsidR="001161D0">
        <w:t>)</w:t>
      </w:r>
      <w:r>
        <w:t xml:space="preserve"> gracias a su descomposición en tendencia y componentes estacionales múltiples. Feng et al. (2022) confirmaron el ranking LSTM &gt; Prophet &gt; SARIMA para series con cambios estructurales. Catalán-Navarrete et al. (2024) aportaron un dato que en </w:t>
      </w:r>
      <w:proofErr w:type="spellStart"/>
      <w:r>
        <w:t>PyMEs</w:t>
      </w:r>
      <w:proofErr w:type="spellEnd"/>
      <w:r>
        <w:t xml:space="preserve"> pesa: SARIMA es quince veces más rápido computacionalmente que Prophet, y en una empresa sin infraestructura </w:t>
      </w:r>
      <w:proofErr w:type="spellStart"/>
      <w:r>
        <w:t>cloud</w:t>
      </w:r>
      <w:proofErr w:type="spellEnd"/>
      <w:r>
        <w:t xml:space="preserve"> eso no es menor. </w:t>
      </w:r>
    </w:p>
    <w:p w14:paraId="3AB2962B" w14:textId="77777777" w:rsidR="00B524A9" w:rsidRDefault="00000000">
      <w:pPr>
        <w:spacing w:before="200" w:after="60" w:line="360" w:lineRule="auto"/>
      </w:pPr>
      <w:r>
        <w:rPr>
          <w:b/>
          <w:bCs/>
        </w:rPr>
        <w:t xml:space="preserve">2.3 Análisis ABC con Machine </w:t>
      </w:r>
      <w:proofErr w:type="spellStart"/>
      <w:r>
        <w:rPr>
          <w:b/>
          <w:bCs/>
        </w:rPr>
        <w:t>Learning</w:t>
      </w:r>
      <w:proofErr w:type="spellEnd"/>
    </w:p>
    <w:p w14:paraId="7037D2D3" w14:textId="6351D533" w:rsidR="00B524A9" w:rsidRDefault="00000000">
      <w:pPr>
        <w:spacing w:after="100" w:line="360" w:lineRule="auto"/>
        <w:ind w:firstLine="720"/>
        <w:jc w:val="both"/>
      </w:pPr>
      <w:r>
        <w:t xml:space="preserve">El análisis ABC clásico tiene una limitación conocida: clasificar por un solo criterio </w:t>
      </w:r>
      <w:r w:rsidR="001161D0">
        <w:t>(</w:t>
      </w:r>
      <w:r>
        <w:t>valor de consumo</w:t>
      </w:r>
      <w:r w:rsidR="001161D0">
        <w:t>)</w:t>
      </w:r>
      <w:r>
        <w:t xml:space="preserve"> puede dejar fuera referencias estratégicas que rotan </w:t>
      </w:r>
      <w:proofErr w:type="gramStart"/>
      <w:r>
        <w:t>poco</w:t>
      </w:r>
      <w:proofErr w:type="gramEnd"/>
      <w:r>
        <w:t xml:space="preserve"> pero son críticas para un proyecto específico. Kartal et al. (2016) resolvieron eso demostrando que SVM mejora la consistencia de la clasificación ABC multicriterio sobre métodos </w:t>
      </w:r>
      <w:proofErr w:type="spellStart"/>
      <w:r>
        <w:t>univariados</w:t>
      </w:r>
      <w:proofErr w:type="spellEnd"/>
      <w:r>
        <w:t xml:space="preserve">. </w:t>
      </w:r>
      <w:proofErr w:type="spellStart"/>
      <w:r>
        <w:t>Kaabi</w:t>
      </w:r>
      <w:proofErr w:type="spellEnd"/>
      <w:r>
        <w:t xml:space="preserve"> et al. (2023) fueron más lejos aún con una propuesta de ABC con inteligencia artificial explicable </w:t>
      </w:r>
      <w:r w:rsidR="001161D0">
        <w:t>(</w:t>
      </w:r>
      <w:r>
        <w:t>XAI</w:t>
      </w:r>
      <w:r w:rsidR="001161D0">
        <w:t>)</w:t>
      </w:r>
      <w:r>
        <w:t xml:space="preserve">: el gestor ve exactamente qué variables determinaron la clasificación de cada referencia, lo que elimina la resistencia típica ante decisiones que parecen salir de una caja negra. Para la demanda </w:t>
      </w:r>
      <w:proofErr w:type="gramStart"/>
      <w:r>
        <w:t>intermitente</w:t>
      </w:r>
      <w:r w:rsidR="001161D0">
        <w:t>(</w:t>
      </w:r>
      <w:proofErr w:type="gramEnd"/>
      <w:r>
        <w:t>las referencias categoría C que en una distribuidora de acero pueden pasar semanas sin movimiento</w:t>
      </w:r>
      <w:r w:rsidR="001161D0">
        <w:t>)</w:t>
      </w:r>
      <w:r>
        <w:t xml:space="preserve">, </w:t>
      </w:r>
      <w:proofErr w:type="spellStart"/>
      <w:r>
        <w:t>Kenaka</w:t>
      </w:r>
      <w:proofErr w:type="spellEnd"/>
      <w:r>
        <w:t xml:space="preserve"> et al. (2025) demostraron que </w:t>
      </w:r>
      <w:proofErr w:type="spellStart"/>
      <w:r>
        <w:t>ensembles</w:t>
      </w:r>
      <w:proofErr w:type="spellEnd"/>
      <w:r>
        <w:t xml:space="preserve"> con SMOTE y función de pérdida focal reducen el MSE en 47%.</w:t>
      </w:r>
    </w:p>
    <w:p w14:paraId="289FD560" w14:textId="77777777" w:rsidR="00B524A9" w:rsidRDefault="00000000">
      <w:pPr>
        <w:spacing w:before="200" w:after="60" w:line="360" w:lineRule="auto"/>
      </w:pPr>
      <w:r>
        <w:rPr>
          <w:b/>
          <w:bCs/>
        </w:rPr>
        <w:t>2.4 Ventajas, Riesgos y Vacíos del Estado del Arte</w:t>
      </w:r>
    </w:p>
    <w:p w14:paraId="16C98CEF" w14:textId="369EC581" w:rsidR="00B524A9" w:rsidRDefault="00000000">
      <w:pPr>
        <w:spacing w:after="100" w:line="360" w:lineRule="auto"/>
        <w:ind w:firstLine="720"/>
        <w:jc w:val="both"/>
      </w:pPr>
      <w:r>
        <w:t xml:space="preserve">Las ventajas de aplicar IA a este problema son reales: Prophet y SARIMA son open </w:t>
      </w:r>
      <w:proofErr w:type="spellStart"/>
      <w:r>
        <w:t>source</w:t>
      </w:r>
      <w:proofErr w:type="spellEnd"/>
      <w:r>
        <w:t xml:space="preserve">, interpretables y operables sin infraestructura </w:t>
      </w:r>
      <w:proofErr w:type="spellStart"/>
      <w:r>
        <w:t>cloud</w:t>
      </w:r>
      <w:proofErr w:type="spellEnd"/>
      <w:r>
        <w:t xml:space="preserve"> </w:t>
      </w:r>
      <w:r w:rsidR="001161D0">
        <w:t>(</w:t>
      </w:r>
      <w:proofErr w:type="gramStart"/>
      <w:r>
        <w:t>Catalán</w:t>
      </w:r>
      <w:proofErr w:type="gramEnd"/>
      <w:r>
        <w:t xml:space="preserve">-Navarrete </w:t>
      </w:r>
      <w:r>
        <w:lastRenderedPageBreak/>
        <w:t>et al., 2024</w:t>
      </w:r>
      <w:r w:rsidR="001161D0">
        <w:t>)</w:t>
      </w:r>
      <w:r>
        <w:t xml:space="preserve">; la literatura reporta reducciones de error de 15 a 20% respecto a promedios simples en contextos industriales </w:t>
      </w:r>
      <w:r w:rsidR="001161D0">
        <w:t>(</w:t>
      </w:r>
      <w:proofErr w:type="spellStart"/>
      <w:r>
        <w:t>Douaioui</w:t>
      </w:r>
      <w:proofErr w:type="spellEnd"/>
      <w:r>
        <w:t xml:space="preserve"> et al., 2024</w:t>
      </w:r>
      <w:r w:rsidR="001161D0">
        <w:t>)</w:t>
      </w:r>
      <w:r>
        <w:t>; y el análisis ABC automatiza una clasificación que hoy depende del criterio personal del jefe logístico.</w:t>
      </w:r>
    </w:p>
    <w:p w14:paraId="4D30641F" w14:textId="1DA4A4F0" w:rsidR="00B524A9" w:rsidRDefault="00000000">
      <w:pPr>
        <w:spacing w:after="100" w:line="360" w:lineRule="auto"/>
        <w:ind w:firstLine="720"/>
        <w:jc w:val="both"/>
      </w:pPr>
      <w:r>
        <w:t>Los riesgos también son reales</w:t>
      </w:r>
      <w:r w:rsidR="001161D0">
        <w:t xml:space="preserve">, </w:t>
      </w:r>
      <w:r>
        <w:t xml:space="preserve">Primero: los modelos de series de tiempo necesitan al menos 24 meses de histórico para capturar ciclos anuales completos; con 12 meses disponibles, hay riesgo de sobreajuste al único ciclo observado </w:t>
      </w:r>
      <w:r w:rsidR="001161D0">
        <w:t>(</w:t>
      </w:r>
      <w:r>
        <w:t>Petropoulos et al., 2022</w:t>
      </w:r>
      <w:r w:rsidR="001161D0">
        <w:t>)</w:t>
      </w:r>
      <w:r>
        <w:t xml:space="preserve">. Segundo: la adopción organizacional suele ser el factor limitante, no la precisión del modelo; cuando el equipo logístico no confía en la predicción, la herramienta no se usa </w:t>
      </w:r>
      <w:r w:rsidR="001161D0">
        <w:t>(</w:t>
      </w:r>
      <w:proofErr w:type="spellStart"/>
      <w:r>
        <w:t>Albayrak</w:t>
      </w:r>
      <w:proofErr w:type="spellEnd"/>
      <w:r>
        <w:t xml:space="preserve"> Ünal et al., 2023</w:t>
      </w:r>
      <w:r w:rsidR="001161D0">
        <w:t>)</w:t>
      </w:r>
      <w:r>
        <w:t xml:space="preserve">. Tercero: la demanda intermitente de referencias C genera errores MAPE no informativos cuando la demanda es cero </w:t>
      </w:r>
      <w:r w:rsidR="001161D0">
        <w:t>(</w:t>
      </w:r>
      <w:r>
        <w:t>Hyndman y Koehler, 2006</w:t>
      </w:r>
      <w:r w:rsidR="001161D0">
        <w:t>)</w:t>
      </w:r>
      <w:r>
        <w:t>.</w:t>
      </w:r>
    </w:p>
    <w:p w14:paraId="547DD50C" w14:textId="6FC06C9B" w:rsidR="00B524A9" w:rsidRDefault="00000000">
      <w:pPr>
        <w:spacing w:after="100" w:line="360" w:lineRule="auto"/>
        <w:ind w:firstLine="720"/>
        <w:jc w:val="both"/>
      </w:pPr>
      <w:r>
        <w:t xml:space="preserve">El vacío principal en la literatura es la escasez de estudios en revistas Q1/Q2 sobre distribución B2B de acero en </w:t>
      </w:r>
      <w:proofErr w:type="spellStart"/>
      <w:r>
        <w:t>PyMEs</w:t>
      </w:r>
      <w:proofErr w:type="spellEnd"/>
      <w:r>
        <w:t xml:space="preserve"> latinoamericanas. Las investigaciones existentes se concentran en producción industrial o </w:t>
      </w:r>
      <w:proofErr w:type="spellStart"/>
      <w:r>
        <w:t>retail</w:t>
      </w:r>
      <w:proofErr w:type="spellEnd"/>
      <w:r>
        <w:t xml:space="preserve"> de gran escala. Eso, en lugar de ser una debilidad de esta propuesta, es su contribución más directa al estado del arte regional.</w:t>
      </w:r>
    </w:p>
    <w:p w14:paraId="7A631AC0" w14:textId="77777777" w:rsidR="00B524A9" w:rsidRDefault="00B524A9">
      <w:pPr>
        <w:spacing w:line="360" w:lineRule="auto"/>
      </w:pPr>
    </w:p>
    <w:p w14:paraId="47063F72" w14:textId="77777777" w:rsidR="00B524A9" w:rsidRDefault="00000000">
      <w:pPr>
        <w:spacing w:before="240" w:after="120" w:line="360" w:lineRule="auto"/>
        <w:jc w:val="center"/>
      </w:pPr>
      <w:r>
        <w:rPr>
          <w:b/>
          <w:bCs/>
        </w:rPr>
        <w:t>3. Estrategia de Investigación Aplicada a IA</w:t>
      </w:r>
    </w:p>
    <w:p w14:paraId="55BCD074" w14:textId="77777777" w:rsidR="00B524A9" w:rsidRDefault="00000000">
      <w:pPr>
        <w:spacing w:before="200" w:after="60" w:line="360" w:lineRule="auto"/>
      </w:pPr>
      <w:r>
        <w:rPr>
          <w:b/>
          <w:bCs/>
        </w:rPr>
        <w:t>3.1 Alcance del Proyecto</w:t>
      </w:r>
    </w:p>
    <w:p w14:paraId="4795DC64" w14:textId="5D205731" w:rsidR="00B524A9" w:rsidRDefault="00000000">
      <w:pPr>
        <w:spacing w:after="100" w:line="360" w:lineRule="auto"/>
        <w:ind w:firstLine="720"/>
        <w:jc w:val="both"/>
      </w:pPr>
      <w:r>
        <w:t xml:space="preserve">El alcance está deliberadamente acotado. No propongo modelar las 900 referencias del inventario: propongo diseñar y validar un sistema de predicción para las referencias de categoría A, que son las que concentran aproximadamente el 80% del riesgo financiero según el principio de Pareto aplicado al valor de consumo anual. Las referencias B y C conservan el sistema de punto de reorden fijo del ERP actual. Esta arquitectura de combinación acotada no es una limitación de recursos; es la que la literatura recomienda para maximizar el retorno sobre la inversión en IA cuando los datos históricos son limitados </w:t>
      </w:r>
      <w:r w:rsidR="001161D0">
        <w:t>(</w:t>
      </w:r>
      <w:proofErr w:type="spellStart"/>
      <w:r>
        <w:t>Kenaka</w:t>
      </w:r>
      <w:proofErr w:type="spellEnd"/>
      <w:r>
        <w:t xml:space="preserve"> et al., 2025</w:t>
      </w:r>
      <w:r w:rsidR="001161D0">
        <w:t>)</w:t>
      </w:r>
      <w:r>
        <w:t>.</w:t>
      </w:r>
    </w:p>
    <w:p w14:paraId="5B34B188" w14:textId="77777777" w:rsidR="00B524A9" w:rsidRDefault="00000000">
      <w:pPr>
        <w:spacing w:before="200" w:after="60" w:line="360" w:lineRule="auto"/>
      </w:pPr>
      <w:r>
        <w:rPr>
          <w:b/>
          <w:bCs/>
        </w:rPr>
        <w:t>3.2 Hipótesis de Investigación</w:t>
      </w:r>
    </w:p>
    <w:p w14:paraId="0F8B9A02" w14:textId="6174AD7E" w:rsidR="00B524A9" w:rsidRDefault="00000000">
      <w:pPr>
        <w:spacing w:after="100" w:line="360" w:lineRule="auto"/>
        <w:ind w:firstLine="720"/>
        <w:jc w:val="both"/>
      </w:pPr>
      <w:r>
        <w:t xml:space="preserve">La hipótesis central es la siguiente: un modelo de series de tiempo —Prophet o SARIMA— entrenado sobre el historial de salidas de las referencias de categoría A, identificadas mediante análisis ABC multicriterio sobre el inventario ERP UNO, logrará </w:t>
      </w:r>
      <w:r>
        <w:lastRenderedPageBreak/>
        <w:t xml:space="preserve">un error de predicción WAPE ≤ 25% en horizonte mensual. Ese umbral supera el desempeño estimado del sistema de promedios simples actual, cuyo error en distribuidoras de materiales industriales con demanda estacional ronda el 35% según la literatura </w:t>
      </w:r>
      <w:r w:rsidR="001161D0">
        <w:t>(</w:t>
      </w:r>
      <w:proofErr w:type="spellStart"/>
      <w:r>
        <w:t>Douaioui</w:t>
      </w:r>
      <w:proofErr w:type="spellEnd"/>
      <w:r>
        <w:t xml:space="preserve"> et al., 2024</w:t>
      </w:r>
      <w:r w:rsidR="001161D0">
        <w:t>)</w:t>
      </w:r>
      <w:r>
        <w:t>.</w:t>
      </w:r>
    </w:p>
    <w:p w14:paraId="799FEBE8" w14:textId="56FE4F9B" w:rsidR="00B524A9" w:rsidRDefault="00000000">
      <w:pPr>
        <w:spacing w:after="100" w:line="360" w:lineRule="auto"/>
        <w:ind w:firstLine="720"/>
        <w:jc w:val="both"/>
      </w:pPr>
      <w:r>
        <w:t xml:space="preserve">La hipótesis es falsable y tiene criterio de éxito cuantitativo. El umbral del 25% está calibrado: la literatura considera útiles para una Fase 1 los valores entre 15% y 25% en industrias donde la demanda depende de proyectos externos </w:t>
      </w:r>
      <w:r w:rsidR="001161D0">
        <w:t>(</w:t>
      </w:r>
      <w:r>
        <w:t>Fildes et al., 2022</w:t>
      </w:r>
      <w:r w:rsidR="001161D0">
        <w:t>)</w:t>
      </w:r>
      <w:r>
        <w:t>. No es un umbral arbitrario</w:t>
      </w:r>
      <w:r w:rsidR="001161D0">
        <w:t>,</w:t>
      </w:r>
      <w:r>
        <w:t xml:space="preserve"> es el que tiene sentido para este contexto.</w:t>
      </w:r>
    </w:p>
    <w:p w14:paraId="072A116E" w14:textId="77777777" w:rsidR="00B524A9" w:rsidRDefault="00000000">
      <w:pPr>
        <w:spacing w:before="200" w:after="60" w:line="360" w:lineRule="auto"/>
      </w:pPr>
      <w:r>
        <w:rPr>
          <w:b/>
          <w:bCs/>
        </w:rPr>
        <w:t>3.3 Objetivos del Proyecto</w:t>
      </w:r>
    </w:p>
    <w:p w14:paraId="73EB5D09" w14:textId="77777777" w:rsidR="00B524A9" w:rsidRDefault="00000000">
      <w:pPr>
        <w:spacing w:before="160" w:after="40" w:line="360" w:lineRule="auto"/>
        <w:ind w:firstLine="720"/>
      </w:pPr>
      <w:r>
        <w:rPr>
          <w:b/>
          <w:bCs/>
          <w:i/>
          <w:iCs/>
        </w:rPr>
        <w:t>Objetivo general.</w:t>
      </w:r>
    </w:p>
    <w:p w14:paraId="275D0554" w14:textId="77777777" w:rsidR="00B524A9" w:rsidRDefault="00000000">
      <w:pPr>
        <w:spacing w:after="100" w:line="360" w:lineRule="auto"/>
        <w:ind w:firstLine="720"/>
        <w:jc w:val="both"/>
      </w:pPr>
      <w:r>
        <w:t>Diseñar y validar en condiciones simuladas un sistema de predicción de demanda basado en modelos de series de tiempo, aplicado a las referencias de categoría A del inventario de Tubos y Perfiles de Occidente S.A.S., con el propósito de reducir los quiebres de stock y el inventario ocioso en las referencias de mayor impacto financiero.</w:t>
      </w:r>
    </w:p>
    <w:p w14:paraId="36A22016" w14:textId="77777777" w:rsidR="00B524A9" w:rsidRDefault="00000000">
      <w:pPr>
        <w:spacing w:before="160" w:after="40" w:line="360" w:lineRule="auto"/>
        <w:ind w:firstLine="720"/>
      </w:pPr>
      <w:r>
        <w:rPr>
          <w:b/>
          <w:bCs/>
          <w:i/>
          <w:iCs/>
        </w:rPr>
        <w:t>Objetivos específicos.</w:t>
      </w:r>
    </w:p>
    <w:p w14:paraId="04B5CB28" w14:textId="6A8F2621" w:rsidR="00B524A9" w:rsidRDefault="00000000">
      <w:pPr>
        <w:pStyle w:val="Prrafodelista"/>
        <w:numPr>
          <w:ilvl w:val="0"/>
          <w:numId w:val="2"/>
        </w:numPr>
        <w:spacing w:after="80" w:line="360" w:lineRule="auto"/>
        <w:jc w:val="both"/>
      </w:pPr>
      <w:r>
        <w:t>Clasificar las referencias mediante análisis ABC multicriterio</w:t>
      </w:r>
      <w:r w:rsidR="001161D0">
        <w:t xml:space="preserve">, </w:t>
      </w:r>
      <w:r>
        <w:t>valor de consumo anual, variabilidad de demanda y costo de oportunidad de quiebre</w:t>
      </w:r>
      <w:r w:rsidR="001161D0">
        <w:t xml:space="preserve"> </w:t>
      </w:r>
      <w:r>
        <w:t>para identificar las referencias categoría A como foco del modelo predictivo.</w:t>
      </w:r>
    </w:p>
    <w:p w14:paraId="4D3F64DE" w14:textId="10B6BB66" w:rsidR="00B524A9" w:rsidRDefault="00000000">
      <w:pPr>
        <w:pStyle w:val="Prrafodelista"/>
        <w:numPr>
          <w:ilvl w:val="0"/>
          <w:numId w:val="2"/>
        </w:numPr>
        <w:spacing w:after="80" w:line="360" w:lineRule="auto"/>
        <w:jc w:val="both"/>
      </w:pPr>
      <w:r>
        <w:t>Construir series de tiempo mensuales por referencia A</w:t>
      </w:r>
      <w:r w:rsidR="001161D0">
        <w:t>,</w:t>
      </w:r>
      <w:r>
        <w:t xml:space="preserve"> a partir del histórico disponible en el ERP UNO (septiembre 2024 – septiembre 2025).</w:t>
      </w:r>
    </w:p>
    <w:p w14:paraId="140D805A" w14:textId="77777777" w:rsidR="00B524A9" w:rsidRDefault="00000000">
      <w:pPr>
        <w:pStyle w:val="Prrafodelista"/>
        <w:numPr>
          <w:ilvl w:val="0"/>
          <w:numId w:val="2"/>
        </w:numPr>
        <w:spacing w:after="80" w:line="360" w:lineRule="auto"/>
        <w:jc w:val="both"/>
      </w:pPr>
      <w:r>
        <w:t xml:space="preserve">Entrenar y comparar modelos Prophet y SARIMA usando </w:t>
      </w:r>
      <w:proofErr w:type="spellStart"/>
      <w:r>
        <w:t>walk</w:t>
      </w:r>
      <w:proofErr w:type="spellEnd"/>
      <w:r>
        <w:t xml:space="preserve">-forward </w:t>
      </w:r>
      <w:proofErr w:type="spellStart"/>
      <w:r>
        <w:t>validation</w:t>
      </w:r>
      <w:proofErr w:type="spellEnd"/>
      <w:r>
        <w:t xml:space="preserve"> con los últimos tres meses como conjunto de prueba.</w:t>
      </w:r>
    </w:p>
    <w:p w14:paraId="6501BF28" w14:textId="77777777" w:rsidR="00B524A9" w:rsidRDefault="00000000">
      <w:pPr>
        <w:pStyle w:val="Prrafodelista"/>
        <w:numPr>
          <w:ilvl w:val="0"/>
          <w:numId w:val="2"/>
        </w:numPr>
        <w:spacing w:after="80" w:line="360" w:lineRule="auto"/>
        <w:jc w:val="both"/>
      </w:pPr>
      <w:r>
        <w:t>Evaluar el desempeño con WAPE, MAE y RMSE, declarando el modelo viable si WAPE ≤ 25% en Fase 1.</w:t>
      </w:r>
    </w:p>
    <w:p w14:paraId="0F0F3FCB" w14:textId="77777777" w:rsidR="00B524A9" w:rsidRDefault="00000000">
      <w:pPr>
        <w:pStyle w:val="Prrafodelista"/>
        <w:numPr>
          <w:ilvl w:val="0"/>
          <w:numId w:val="2"/>
        </w:numPr>
        <w:spacing w:after="80" w:line="360" w:lineRule="auto"/>
        <w:jc w:val="both"/>
      </w:pPr>
      <w:r>
        <w:t>Proponer un protocolo de integración del modelo con el ERP UNO sin reemplazar la infraestructura existente.</w:t>
      </w:r>
    </w:p>
    <w:p w14:paraId="570F158D" w14:textId="77777777" w:rsidR="00B524A9" w:rsidRDefault="00000000">
      <w:pPr>
        <w:spacing w:before="200" w:after="60" w:line="360" w:lineRule="auto"/>
      </w:pPr>
      <w:r>
        <w:rPr>
          <w:b/>
          <w:bCs/>
        </w:rPr>
        <w:t>3.4 Metodología General</w:t>
      </w:r>
    </w:p>
    <w:p w14:paraId="78BAB502" w14:textId="0748618B" w:rsidR="00B524A9" w:rsidRDefault="00000000">
      <w:pPr>
        <w:spacing w:after="100" w:line="360" w:lineRule="auto"/>
        <w:ind w:firstLine="720"/>
        <w:jc w:val="both"/>
      </w:pPr>
      <w:r>
        <w:t xml:space="preserve">La metodología sigue un diseño cuantitativo aplicado en cuatro etapas. La Etapa 1 es la preparación de datos: extracción y limpieza del histórico ERP UNO, </w:t>
      </w:r>
      <w:r>
        <w:lastRenderedPageBreak/>
        <w:t>construcción de series temporales por referencia en unidades vendidas por mes, y ejecución del análisis ABC multicriterio. La Etapa 2 es el modelado: para cada referencia A se estima un modelo Prophet</w:t>
      </w:r>
      <w:r w:rsidR="001161D0">
        <w:t xml:space="preserve">, </w:t>
      </w:r>
      <w:r>
        <w:t>que descompone la serie en tendencia, estacionalidad anual y estacionalidad mensual sin requerir estacionariedad y un modelo SARIMA siguiendo el procedimiento Box-Jenkins</w:t>
      </w:r>
      <w:r w:rsidR="001161D0">
        <w:t xml:space="preserve">, </w:t>
      </w:r>
      <w:r>
        <w:t xml:space="preserve">identificación por ACF/PACF, estimación por máxima verosimilitud, diagnóstico de residuales. La Etapa 3 es la evaluación mediante </w:t>
      </w:r>
      <w:proofErr w:type="spellStart"/>
      <w:r>
        <w:t>walk</w:t>
      </w:r>
      <w:proofErr w:type="spellEnd"/>
      <w:r>
        <w:t xml:space="preserve">-forward </w:t>
      </w:r>
      <w:proofErr w:type="spellStart"/>
      <w:r>
        <w:t>validation</w:t>
      </w:r>
      <w:proofErr w:type="spellEnd"/>
      <w:r>
        <w:t>: ventanas de nueve meses de entrenamiento, predicción al mes siguiente, iteración hasta cubrir tres meses de prueba. La Etapa 4 es la simulación de impacto: con las predicciones del mejor modelo se recalcula el punto de reorden por referencia A y se estima el capital inmovilizado potencial frente al inventario actual.</w:t>
      </w:r>
    </w:p>
    <w:p w14:paraId="2DBF186C" w14:textId="77777777" w:rsidR="00B524A9" w:rsidRDefault="00000000">
      <w:pPr>
        <w:spacing w:before="200" w:after="60" w:line="360" w:lineRule="auto"/>
      </w:pPr>
      <w:r>
        <w:rPr>
          <w:b/>
          <w:bCs/>
        </w:rPr>
        <w:t>3.5 Fuentes de Datos y Estrategia de Adquisición</w:t>
      </w:r>
    </w:p>
    <w:p w14:paraId="1718A31B" w14:textId="2413DDE2" w:rsidR="00B524A9" w:rsidRDefault="00000000">
      <w:pPr>
        <w:spacing w:after="100" w:line="360" w:lineRule="auto"/>
        <w:ind w:firstLine="720"/>
        <w:jc w:val="both"/>
      </w:pPr>
      <w:r>
        <w:t xml:space="preserve">La disponibilidad de datos para este proyecto se estructura en tres escenarios que corresponden a etapas distintas del ciclo de vida. Esta estrategia escalonada responde a una realidad frecuente en investigación aplicada con </w:t>
      </w:r>
      <w:proofErr w:type="spellStart"/>
      <w:r>
        <w:t>PyMEs</w:t>
      </w:r>
      <w:proofErr w:type="spellEnd"/>
      <w:r>
        <w:t xml:space="preserve">: los datos existen, pero no siempre están organizados como el modelo los necesita, y su obtención formal requiere tiempo y coordinación interna </w:t>
      </w:r>
      <w:r w:rsidR="001161D0">
        <w:t>(</w:t>
      </w:r>
      <w:proofErr w:type="spellStart"/>
      <w:r>
        <w:t>Seyedan</w:t>
      </w:r>
      <w:proofErr w:type="spellEnd"/>
      <w:r>
        <w:t xml:space="preserve"> y </w:t>
      </w:r>
      <w:proofErr w:type="spellStart"/>
      <w:r>
        <w:t>Mafakheri</w:t>
      </w:r>
      <w:proofErr w:type="spellEnd"/>
      <w:r>
        <w:t>, 2020</w:t>
      </w:r>
      <w:r w:rsidR="001161D0">
        <w:t>)</w:t>
      </w:r>
      <w:r>
        <w:t>.</w:t>
      </w:r>
    </w:p>
    <w:p w14:paraId="2735FB4E" w14:textId="77777777" w:rsidR="00B524A9" w:rsidRDefault="00000000">
      <w:pPr>
        <w:spacing w:before="160" w:after="40" w:line="360" w:lineRule="auto"/>
        <w:ind w:firstLine="720"/>
      </w:pPr>
      <w:r>
        <w:rPr>
          <w:b/>
          <w:bCs/>
          <w:i/>
          <w:iCs/>
        </w:rPr>
        <w:t>Escenario A — Datos disponibles actualmente.</w:t>
      </w:r>
    </w:p>
    <w:p w14:paraId="5CF6B786" w14:textId="77777777" w:rsidR="00B524A9" w:rsidRDefault="00000000">
      <w:pPr>
        <w:spacing w:after="100" w:line="360" w:lineRule="auto"/>
        <w:ind w:firstLine="720"/>
        <w:jc w:val="both"/>
      </w:pPr>
      <w:r>
        <w:t xml:space="preserve">Constituyen la base para el diseño y validación simulada en Fase 1: (a) el archivo PROMEDIO_2025 del ERP UNO con balance de inventario septiembre 2024 – septiembre 2025 —saldo anterior, entradas, salidas, stock actual y promedio mensual por referencia—; (b) el inventario al 13 de septiembre de 2025 desagregado por referencia en las tres bodegas; (c) la Orden de Compra OC-3083 a DIACO S.A. con cantidades, precios y condiciones de pago a 30 días, que permite estimar el lead time del proveedor principal; y (d) facturas de venta individuales con fecha, referencia, cantidad y cliente. Estos datos son suficientes para ejecutar el análisis ABC, construir las series temporales mensuales y realizar la validación </w:t>
      </w:r>
      <w:proofErr w:type="spellStart"/>
      <w:r>
        <w:t>walk</w:t>
      </w:r>
      <w:proofErr w:type="spellEnd"/>
      <w:r>
        <w:t>-forward de la Fase 1.</w:t>
      </w:r>
    </w:p>
    <w:p w14:paraId="7FEB87DC" w14:textId="77777777" w:rsidR="00B524A9" w:rsidRDefault="00000000">
      <w:pPr>
        <w:spacing w:before="160" w:after="40" w:line="360" w:lineRule="auto"/>
        <w:ind w:firstLine="720"/>
      </w:pPr>
      <w:r>
        <w:rPr>
          <w:b/>
          <w:bCs/>
          <w:i/>
          <w:iCs/>
        </w:rPr>
        <w:t xml:space="preserve">Escenario B — Datos </w:t>
      </w:r>
      <w:proofErr w:type="spellStart"/>
      <w:r>
        <w:rPr>
          <w:b/>
          <w:bCs/>
          <w:i/>
          <w:iCs/>
        </w:rPr>
        <w:t>solicitables</w:t>
      </w:r>
      <w:proofErr w:type="spellEnd"/>
      <w:r>
        <w:rPr>
          <w:b/>
          <w:bCs/>
          <w:i/>
          <w:iCs/>
        </w:rPr>
        <w:t xml:space="preserve"> a corto plazo (semana 1–2).</w:t>
      </w:r>
    </w:p>
    <w:p w14:paraId="09C8109D" w14:textId="77777777" w:rsidR="00B524A9" w:rsidRDefault="00000000">
      <w:pPr>
        <w:spacing w:after="100" w:line="360" w:lineRule="auto"/>
        <w:ind w:firstLine="720"/>
        <w:jc w:val="both"/>
      </w:pPr>
      <w:r>
        <w:t xml:space="preserve">El ERP UNO conserva el histórico transaccional completo desde 2015. Dado el acceso directo a la organización, es factible solicitar formalmente la exportación de salidas por referencia para el período enero 2023 – septiembre 2025, lo que aportaría entre 24 y 33 meses de datos mensuales —el mínimo recomendado para que Prophet </w:t>
      </w:r>
      <w:r>
        <w:lastRenderedPageBreak/>
        <w:t xml:space="preserve">capture al menos dos ciclos anuales completos y SARIMA estime parámetros estacionales con suficiente confianza (Petropoulos et al., 2022)—. Esta solicitud es el primer hito del proyecto (H1, semana 1) y no requiere inversión adicional: el ERP ya dispone de la funcionalidad de exportación de balances históricos, como evidencia el archivo PROMEDIO_2025 disponible. Con este histórico extendido, el Escenario B se convierte en la base de entrenamiento de Fase 1, desplazando al Escenario A </w:t>
      </w:r>
      <w:proofErr w:type="spellStart"/>
      <w:r>
        <w:t>a</w:t>
      </w:r>
      <w:proofErr w:type="spellEnd"/>
      <w:r>
        <w:t xml:space="preserve"> un rol de validación inicial.</w:t>
      </w:r>
    </w:p>
    <w:p w14:paraId="5B321D17" w14:textId="77777777" w:rsidR="00B524A9" w:rsidRDefault="00000000">
      <w:pPr>
        <w:spacing w:before="160" w:after="40" w:line="360" w:lineRule="auto"/>
        <w:ind w:firstLine="720"/>
      </w:pPr>
      <w:r>
        <w:rPr>
          <w:b/>
          <w:bCs/>
          <w:i/>
          <w:iCs/>
        </w:rPr>
        <w:t>Escenario C — Datos ideales para Fase 2.</w:t>
      </w:r>
    </w:p>
    <w:p w14:paraId="2C92F531" w14:textId="77777777" w:rsidR="00B524A9" w:rsidRDefault="00000000">
      <w:pPr>
        <w:spacing w:after="100" w:line="360" w:lineRule="auto"/>
        <w:ind w:firstLine="720"/>
        <w:jc w:val="both"/>
      </w:pPr>
      <w:r>
        <w:t>Para una implementación en producción con mayor precisión, el escenario óptimo incluiría: salidas semanales por referencia en lugar de agregados mensuales; el ICCP-DANE como regresor externo en Prophet para capturar los ciclos del sector constructor; el calendario de lluvias del IDEAM para el Eje Cafetero, que correlaciona inversamente con la actividad constructora regional; y registros de pedidos fallidos por quiebre de stock para corregir el sesgo de demanda censurada —el ERP actual solo registra lo que se vendió, no lo que se intentó vender sin disponibilidad de inventario—.</w:t>
      </w:r>
    </w:p>
    <w:p w14:paraId="1CD5199E" w14:textId="77777777" w:rsidR="00B524A9" w:rsidRDefault="00000000">
      <w:pPr>
        <w:spacing w:before="200" w:after="60" w:line="360" w:lineRule="auto"/>
      </w:pPr>
      <w:r>
        <w:rPr>
          <w:b/>
          <w:bCs/>
        </w:rPr>
        <w:t>3.6 Análisis de Riesgos del Proyecto</w:t>
      </w:r>
    </w:p>
    <w:p w14:paraId="36447A72" w14:textId="77777777" w:rsidR="00B524A9" w:rsidRDefault="00B524A9">
      <w:pPr>
        <w:spacing w:line="360" w:lineRule="auto"/>
      </w:pPr>
    </w:p>
    <w:p w14:paraId="7C1A3C28" w14:textId="77777777" w:rsidR="00B524A9" w:rsidRDefault="00000000">
      <w:pPr>
        <w:spacing w:before="240" w:line="360" w:lineRule="auto"/>
      </w:pPr>
      <w:r>
        <w:rPr>
          <w:b/>
          <w:bCs/>
        </w:rPr>
        <w:t>Tabla 1</w:t>
      </w:r>
      <w:r>
        <w:br/>
      </w:r>
      <w:r>
        <w:rPr>
          <w:i/>
          <w:iCs/>
        </w:rPr>
        <w:t>Análisis de riesgos del proyecto de predicción de demanda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7"/>
        <w:gridCol w:w="1412"/>
        <w:gridCol w:w="1399"/>
        <w:gridCol w:w="4018"/>
      </w:tblGrid>
      <w:tr w:rsidR="00B524A9" w14:paraId="3032F4F3" w14:textId="77777777">
        <w:tblPrEx>
          <w:tblCellMar>
            <w:top w:w="0" w:type="dxa"/>
            <w:bottom w:w="0" w:type="dxa"/>
          </w:tblCellMar>
        </w:tblPrEx>
        <w:trPr>
          <w:tblHeader/>
        </w:trPr>
        <w:tc>
          <w:tcPr>
            <w:tcW w:w="2200" w:type="dxa"/>
            <w:tcBorders>
              <w:top w:val="single" w:sz="8" w:space="0" w:color="000000"/>
              <w:bottom w:val="single" w:sz="8" w:space="0" w:color="000000"/>
            </w:tcBorders>
            <w:shd w:val="clear" w:color="auto" w:fill="FFFFFF"/>
            <w:tcMar>
              <w:top w:w="80" w:type="dxa"/>
              <w:left w:w="100" w:type="dxa"/>
              <w:bottom w:w="80" w:type="dxa"/>
              <w:right w:w="100" w:type="dxa"/>
            </w:tcMar>
          </w:tcPr>
          <w:p w14:paraId="1582B515" w14:textId="77777777" w:rsidR="00B524A9" w:rsidRDefault="00000000">
            <w:r>
              <w:rPr>
                <w:b/>
                <w:bCs/>
                <w:sz w:val="20"/>
                <w:szCs w:val="20"/>
              </w:rPr>
              <w:t>Riesgo</w:t>
            </w:r>
          </w:p>
        </w:tc>
        <w:tc>
          <w:tcPr>
            <w:tcW w:w="1400" w:type="dxa"/>
            <w:tcBorders>
              <w:top w:val="single" w:sz="8" w:space="0" w:color="000000"/>
              <w:bottom w:val="single" w:sz="8" w:space="0" w:color="000000"/>
            </w:tcBorders>
            <w:shd w:val="clear" w:color="auto" w:fill="FFFFFF"/>
            <w:tcMar>
              <w:top w:w="80" w:type="dxa"/>
              <w:left w:w="100" w:type="dxa"/>
              <w:bottom w:w="80" w:type="dxa"/>
              <w:right w:w="100" w:type="dxa"/>
            </w:tcMar>
          </w:tcPr>
          <w:p w14:paraId="5269A57E" w14:textId="77777777" w:rsidR="00B524A9" w:rsidRDefault="00000000">
            <w:r>
              <w:rPr>
                <w:b/>
                <w:bCs/>
                <w:sz w:val="20"/>
                <w:szCs w:val="20"/>
              </w:rPr>
              <w:t>Probabilidad</w:t>
            </w:r>
          </w:p>
        </w:tc>
        <w:tc>
          <w:tcPr>
            <w:tcW w:w="1400" w:type="dxa"/>
            <w:tcBorders>
              <w:top w:val="single" w:sz="8" w:space="0" w:color="000000"/>
              <w:bottom w:val="single" w:sz="8" w:space="0" w:color="000000"/>
            </w:tcBorders>
            <w:shd w:val="clear" w:color="auto" w:fill="FFFFFF"/>
            <w:tcMar>
              <w:top w:w="80" w:type="dxa"/>
              <w:left w:w="100" w:type="dxa"/>
              <w:bottom w:w="80" w:type="dxa"/>
              <w:right w:w="100" w:type="dxa"/>
            </w:tcMar>
          </w:tcPr>
          <w:p w14:paraId="39FEBBD3" w14:textId="77777777" w:rsidR="00B524A9" w:rsidRDefault="00000000">
            <w:r>
              <w:rPr>
                <w:b/>
                <w:bCs/>
                <w:sz w:val="20"/>
                <w:szCs w:val="20"/>
              </w:rPr>
              <w:t>Impacto</w:t>
            </w:r>
          </w:p>
        </w:tc>
        <w:tc>
          <w:tcPr>
            <w:tcW w:w="4026" w:type="dxa"/>
            <w:tcBorders>
              <w:top w:val="single" w:sz="8" w:space="0" w:color="000000"/>
              <w:bottom w:val="single" w:sz="8" w:space="0" w:color="000000"/>
            </w:tcBorders>
            <w:shd w:val="clear" w:color="auto" w:fill="FFFFFF"/>
            <w:tcMar>
              <w:top w:w="80" w:type="dxa"/>
              <w:left w:w="100" w:type="dxa"/>
              <w:bottom w:w="80" w:type="dxa"/>
              <w:right w:w="100" w:type="dxa"/>
            </w:tcMar>
          </w:tcPr>
          <w:p w14:paraId="7C785A73" w14:textId="77777777" w:rsidR="00B524A9" w:rsidRDefault="00000000">
            <w:r>
              <w:rPr>
                <w:b/>
                <w:bCs/>
                <w:sz w:val="20"/>
                <w:szCs w:val="20"/>
              </w:rPr>
              <w:t>Mitigación</w:t>
            </w:r>
          </w:p>
        </w:tc>
      </w:tr>
      <w:tr w:rsidR="00B524A9" w14:paraId="2C06E8AD" w14:textId="77777777">
        <w:tblPrEx>
          <w:tblCellMar>
            <w:top w:w="0" w:type="dxa"/>
            <w:bottom w:w="0" w:type="dxa"/>
          </w:tblCellMar>
        </w:tblPrEx>
        <w:tc>
          <w:tcPr>
            <w:tcW w:w="2200" w:type="dxa"/>
            <w:tcBorders>
              <w:top w:val="single" w:sz="4" w:space="0" w:color="AAAAAA"/>
              <w:bottom w:val="single" w:sz="4" w:space="0" w:color="AAAAAA"/>
            </w:tcBorders>
            <w:shd w:val="clear" w:color="auto" w:fill="F5F5F5"/>
            <w:tcMar>
              <w:top w:w="80" w:type="dxa"/>
              <w:left w:w="100" w:type="dxa"/>
              <w:bottom w:w="80" w:type="dxa"/>
              <w:right w:w="100" w:type="dxa"/>
            </w:tcMar>
          </w:tcPr>
          <w:p w14:paraId="2DEBDBD4" w14:textId="77777777" w:rsidR="00B524A9" w:rsidRDefault="00000000">
            <w:r>
              <w:rPr>
                <w:sz w:val="20"/>
                <w:szCs w:val="20"/>
              </w:rPr>
              <w:t>Datos históricos insuficientes (12 meses &lt; 24 meses óptimos)</w:t>
            </w:r>
          </w:p>
        </w:tc>
        <w:tc>
          <w:tcPr>
            <w:tcW w:w="1400" w:type="dxa"/>
            <w:tcBorders>
              <w:top w:val="single" w:sz="4" w:space="0" w:color="AAAAAA"/>
              <w:bottom w:val="single" w:sz="4" w:space="0" w:color="AAAAAA"/>
            </w:tcBorders>
            <w:shd w:val="clear" w:color="auto" w:fill="F5F5F5"/>
            <w:tcMar>
              <w:top w:w="80" w:type="dxa"/>
              <w:left w:w="100" w:type="dxa"/>
              <w:bottom w:w="80" w:type="dxa"/>
              <w:right w:w="100" w:type="dxa"/>
            </w:tcMar>
          </w:tcPr>
          <w:p w14:paraId="4C5D2DC7" w14:textId="77777777" w:rsidR="00B524A9" w:rsidRDefault="00000000">
            <w:r>
              <w:rPr>
                <w:sz w:val="20"/>
                <w:szCs w:val="20"/>
              </w:rPr>
              <w:t>Alta</w:t>
            </w:r>
          </w:p>
        </w:tc>
        <w:tc>
          <w:tcPr>
            <w:tcW w:w="1400" w:type="dxa"/>
            <w:tcBorders>
              <w:top w:val="single" w:sz="4" w:space="0" w:color="AAAAAA"/>
              <w:bottom w:val="single" w:sz="4" w:space="0" w:color="AAAAAA"/>
            </w:tcBorders>
            <w:shd w:val="clear" w:color="auto" w:fill="F5F5F5"/>
            <w:tcMar>
              <w:top w:w="80" w:type="dxa"/>
              <w:left w:w="100" w:type="dxa"/>
              <w:bottom w:w="80" w:type="dxa"/>
              <w:right w:w="100" w:type="dxa"/>
            </w:tcMar>
          </w:tcPr>
          <w:p w14:paraId="2DB21C5C" w14:textId="77777777" w:rsidR="00B524A9" w:rsidRDefault="00000000">
            <w:r>
              <w:rPr>
                <w:sz w:val="20"/>
                <w:szCs w:val="20"/>
              </w:rPr>
              <w:t>Alto</w:t>
            </w:r>
          </w:p>
        </w:tc>
        <w:tc>
          <w:tcPr>
            <w:tcW w:w="4026" w:type="dxa"/>
            <w:tcBorders>
              <w:top w:val="single" w:sz="4" w:space="0" w:color="AAAAAA"/>
              <w:bottom w:val="single" w:sz="4" w:space="0" w:color="AAAAAA"/>
            </w:tcBorders>
            <w:shd w:val="clear" w:color="auto" w:fill="F5F5F5"/>
            <w:tcMar>
              <w:top w:w="80" w:type="dxa"/>
              <w:left w:w="100" w:type="dxa"/>
              <w:bottom w:w="80" w:type="dxa"/>
              <w:right w:w="100" w:type="dxa"/>
            </w:tcMar>
          </w:tcPr>
          <w:p w14:paraId="24F6D2EF" w14:textId="3C8791FE" w:rsidR="00B524A9" w:rsidRDefault="00000000">
            <w:r>
              <w:rPr>
                <w:sz w:val="20"/>
                <w:szCs w:val="20"/>
              </w:rPr>
              <w:t>Comenzar con referencias de mayor volumen; incorporar variables exógenas (ICCP-DANE) para reforzar el modelo</w:t>
            </w:r>
            <w:r w:rsidR="001161D0">
              <w:rPr>
                <w:sz w:val="20"/>
                <w:szCs w:val="20"/>
              </w:rPr>
              <w:t xml:space="preserve"> – Solicitar mas datos a las áreas encargadas.</w:t>
            </w:r>
          </w:p>
        </w:tc>
      </w:tr>
      <w:tr w:rsidR="00B524A9" w14:paraId="711B7D5B" w14:textId="77777777">
        <w:tblPrEx>
          <w:tblCellMar>
            <w:top w:w="0" w:type="dxa"/>
            <w:bottom w:w="0" w:type="dxa"/>
          </w:tblCellMar>
        </w:tblPrEx>
        <w:tc>
          <w:tcPr>
            <w:tcW w:w="2200" w:type="dxa"/>
            <w:tcBorders>
              <w:top w:val="single" w:sz="4" w:space="0" w:color="AAAAAA"/>
              <w:bottom w:val="single" w:sz="4" w:space="0" w:color="AAAAAA"/>
            </w:tcBorders>
            <w:shd w:val="clear" w:color="auto" w:fill="FFFFFF"/>
            <w:tcMar>
              <w:top w:w="80" w:type="dxa"/>
              <w:left w:w="100" w:type="dxa"/>
              <w:bottom w:w="80" w:type="dxa"/>
              <w:right w:w="100" w:type="dxa"/>
            </w:tcMar>
          </w:tcPr>
          <w:p w14:paraId="20190420" w14:textId="77777777" w:rsidR="00B524A9" w:rsidRDefault="00000000">
            <w:r>
              <w:rPr>
                <w:sz w:val="20"/>
                <w:szCs w:val="20"/>
              </w:rPr>
              <w:t>Resistencia del equipo logístico a confiar en predicciones automatizadas</w:t>
            </w:r>
          </w:p>
        </w:tc>
        <w:tc>
          <w:tcPr>
            <w:tcW w:w="1400" w:type="dxa"/>
            <w:tcBorders>
              <w:top w:val="single" w:sz="4" w:space="0" w:color="AAAAAA"/>
              <w:bottom w:val="single" w:sz="4" w:space="0" w:color="AAAAAA"/>
            </w:tcBorders>
            <w:shd w:val="clear" w:color="auto" w:fill="FFFFFF"/>
            <w:tcMar>
              <w:top w:w="80" w:type="dxa"/>
              <w:left w:w="100" w:type="dxa"/>
              <w:bottom w:w="80" w:type="dxa"/>
              <w:right w:w="100" w:type="dxa"/>
            </w:tcMar>
          </w:tcPr>
          <w:p w14:paraId="7ABFF9D7" w14:textId="77777777" w:rsidR="00B524A9" w:rsidRDefault="00000000">
            <w:r>
              <w:rPr>
                <w:sz w:val="20"/>
                <w:szCs w:val="20"/>
              </w:rPr>
              <w:t>Alta</w:t>
            </w:r>
          </w:p>
        </w:tc>
        <w:tc>
          <w:tcPr>
            <w:tcW w:w="1400" w:type="dxa"/>
            <w:tcBorders>
              <w:top w:val="single" w:sz="4" w:space="0" w:color="AAAAAA"/>
              <w:bottom w:val="single" w:sz="4" w:space="0" w:color="AAAAAA"/>
            </w:tcBorders>
            <w:shd w:val="clear" w:color="auto" w:fill="FFFFFF"/>
            <w:tcMar>
              <w:top w:w="80" w:type="dxa"/>
              <w:left w:w="100" w:type="dxa"/>
              <w:bottom w:w="80" w:type="dxa"/>
              <w:right w:w="100" w:type="dxa"/>
            </w:tcMar>
          </w:tcPr>
          <w:p w14:paraId="31E0B27B" w14:textId="77777777" w:rsidR="00B524A9" w:rsidRDefault="00000000">
            <w:r>
              <w:rPr>
                <w:sz w:val="20"/>
                <w:szCs w:val="20"/>
              </w:rPr>
              <w:t>Medio</w:t>
            </w:r>
          </w:p>
        </w:tc>
        <w:tc>
          <w:tcPr>
            <w:tcW w:w="4026" w:type="dxa"/>
            <w:tcBorders>
              <w:top w:val="single" w:sz="4" w:space="0" w:color="AAAAAA"/>
              <w:bottom w:val="single" w:sz="4" w:space="0" w:color="AAAAAA"/>
            </w:tcBorders>
            <w:shd w:val="clear" w:color="auto" w:fill="FFFFFF"/>
            <w:tcMar>
              <w:top w:w="80" w:type="dxa"/>
              <w:left w:w="100" w:type="dxa"/>
              <w:bottom w:w="80" w:type="dxa"/>
              <w:right w:w="100" w:type="dxa"/>
            </w:tcMar>
          </w:tcPr>
          <w:p w14:paraId="142BD873" w14:textId="77777777" w:rsidR="00B524A9" w:rsidRDefault="00000000">
            <w:r>
              <w:rPr>
                <w:sz w:val="20"/>
                <w:szCs w:val="20"/>
              </w:rPr>
              <w:t>Usar Prophet por su interpretabilidad visual; presentar resultados en unidades físicas, no en métricas estadísticas abstractas</w:t>
            </w:r>
          </w:p>
        </w:tc>
      </w:tr>
      <w:tr w:rsidR="00B524A9" w14:paraId="53DFB1C8" w14:textId="77777777">
        <w:tblPrEx>
          <w:tblCellMar>
            <w:top w:w="0" w:type="dxa"/>
            <w:bottom w:w="0" w:type="dxa"/>
          </w:tblCellMar>
        </w:tblPrEx>
        <w:tc>
          <w:tcPr>
            <w:tcW w:w="2200" w:type="dxa"/>
            <w:tcBorders>
              <w:top w:val="single" w:sz="4" w:space="0" w:color="AAAAAA"/>
              <w:bottom w:val="single" w:sz="4" w:space="0" w:color="AAAAAA"/>
            </w:tcBorders>
            <w:shd w:val="clear" w:color="auto" w:fill="F5F5F5"/>
            <w:tcMar>
              <w:top w:w="80" w:type="dxa"/>
              <w:left w:w="100" w:type="dxa"/>
              <w:bottom w:w="80" w:type="dxa"/>
              <w:right w:w="100" w:type="dxa"/>
            </w:tcMar>
          </w:tcPr>
          <w:p w14:paraId="46A4F422" w14:textId="77777777" w:rsidR="00B524A9" w:rsidRDefault="00000000">
            <w:r>
              <w:rPr>
                <w:sz w:val="20"/>
                <w:szCs w:val="20"/>
              </w:rPr>
              <w:t>Sobreajuste al único ciclo anual disponible</w:t>
            </w:r>
          </w:p>
        </w:tc>
        <w:tc>
          <w:tcPr>
            <w:tcW w:w="1400" w:type="dxa"/>
            <w:tcBorders>
              <w:top w:val="single" w:sz="4" w:space="0" w:color="AAAAAA"/>
              <w:bottom w:val="single" w:sz="4" w:space="0" w:color="AAAAAA"/>
            </w:tcBorders>
            <w:shd w:val="clear" w:color="auto" w:fill="F5F5F5"/>
            <w:tcMar>
              <w:top w:w="80" w:type="dxa"/>
              <w:left w:w="100" w:type="dxa"/>
              <w:bottom w:w="80" w:type="dxa"/>
              <w:right w:w="100" w:type="dxa"/>
            </w:tcMar>
          </w:tcPr>
          <w:p w14:paraId="4136A1BB" w14:textId="77777777" w:rsidR="00B524A9" w:rsidRDefault="00000000">
            <w:r>
              <w:rPr>
                <w:sz w:val="20"/>
                <w:szCs w:val="20"/>
              </w:rPr>
              <w:t>Media</w:t>
            </w:r>
          </w:p>
        </w:tc>
        <w:tc>
          <w:tcPr>
            <w:tcW w:w="1400" w:type="dxa"/>
            <w:tcBorders>
              <w:top w:val="single" w:sz="4" w:space="0" w:color="AAAAAA"/>
              <w:bottom w:val="single" w:sz="4" w:space="0" w:color="AAAAAA"/>
            </w:tcBorders>
            <w:shd w:val="clear" w:color="auto" w:fill="F5F5F5"/>
            <w:tcMar>
              <w:top w:w="80" w:type="dxa"/>
              <w:left w:w="100" w:type="dxa"/>
              <w:bottom w:w="80" w:type="dxa"/>
              <w:right w:w="100" w:type="dxa"/>
            </w:tcMar>
          </w:tcPr>
          <w:p w14:paraId="67E7538E" w14:textId="77777777" w:rsidR="00B524A9" w:rsidRDefault="00000000">
            <w:r>
              <w:rPr>
                <w:sz w:val="20"/>
                <w:szCs w:val="20"/>
              </w:rPr>
              <w:t>Alto</w:t>
            </w:r>
          </w:p>
        </w:tc>
        <w:tc>
          <w:tcPr>
            <w:tcW w:w="4026" w:type="dxa"/>
            <w:tcBorders>
              <w:top w:val="single" w:sz="4" w:space="0" w:color="AAAAAA"/>
              <w:bottom w:val="single" w:sz="4" w:space="0" w:color="AAAAAA"/>
            </w:tcBorders>
            <w:shd w:val="clear" w:color="auto" w:fill="F5F5F5"/>
            <w:tcMar>
              <w:top w:w="80" w:type="dxa"/>
              <w:left w:w="100" w:type="dxa"/>
              <w:bottom w:w="80" w:type="dxa"/>
              <w:right w:w="100" w:type="dxa"/>
            </w:tcMar>
          </w:tcPr>
          <w:p w14:paraId="307D5983" w14:textId="77777777" w:rsidR="00B524A9" w:rsidRDefault="00000000">
            <w:r>
              <w:rPr>
                <w:sz w:val="20"/>
                <w:szCs w:val="20"/>
              </w:rPr>
              <w:t xml:space="preserve">Validación </w:t>
            </w:r>
            <w:proofErr w:type="spellStart"/>
            <w:r>
              <w:rPr>
                <w:sz w:val="20"/>
                <w:szCs w:val="20"/>
              </w:rPr>
              <w:t>walk</w:t>
            </w:r>
            <w:proofErr w:type="spellEnd"/>
            <w:r>
              <w:rPr>
                <w:sz w:val="20"/>
                <w:szCs w:val="20"/>
              </w:rPr>
              <w:t xml:space="preserve">-forward estricta; comparar siempre contra </w:t>
            </w:r>
            <w:proofErr w:type="spellStart"/>
            <w:r>
              <w:rPr>
                <w:sz w:val="20"/>
                <w:szCs w:val="20"/>
              </w:rPr>
              <w:t>baseline</w:t>
            </w:r>
            <w:proofErr w:type="spellEnd"/>
            <w:r>
              <w:rPr>
                <w:sz w:val="20"/>
                <w:szCs w:val="20"/>
              </w:rPr>
              <w:t xml:space="preserve"> </w:t>
            </w:r>
            <w:proofErr w:type="spellStart"/>
            <w:r>
              <w:rPr>
                <w:sz w:val="20"/>
                <w:szCs w:val="20"/>
              </w:rPr>
              <w:t>Naïve</w:t>
            </w:r>
            <w:proofErr w:type="spellEnd"/>
            <w:r>
              <w:rPr>
                <w:sz w:val="20"/>
                <w:szCs w:val="20"/>
              </w:rPr>
              <w:t xml:space="preserve"> estacional</w:t>
            </w:r>
          </w:p>
        </w:tc>
      </w:tr>
      <w:tr w:rsidR="00B524A9" w14:paraId="4E03CE1C" w14:textId="77777777">
        <w:tblPrEx>
          <w:tblCellMar>
            <w:top w:w="0" w:type="dxa"/>
            <w:bottom w:w="0" w:type="dxa"/>
          </w:tblCellMar>
        </w:tblPrEx>
        <w:tc>
          <w:tcPr>
            <w:tcW w:w="2200" w:type="dxa"/>
            <w:tcBorders>
              <w:top w:val="single" w:sz="4" w:space="0" w:color="AAAAAA"/>
              <w:bottom w:val="single" w:sz="4" w:space="0" w:color="AAAAAA"/>
            </w:tcBorders>
            <w:shd w:val="clear" w:color="auto" w:fill="FFFFFF"/>
            <w:tcMar>
              <w:top w:w="80" w:type="dxa"/>
              <w:left w:w="100" w:type="dxa"/>
              <w:bottom w:w="80" w:type="dxa"/>
              <w:right w:w="100" w:type="dxa"/>
            </w:tcMar>
          </w:tcPr>
          <w:p w14:paraId="47B43287" w14:textId="77777777" w:rsidR="00B524A9" w:rsidRDefault="00000000">
            <w:r>
              <w:rPr>
                <w:sz w:val="20"/>
                <w:szCs w:val="20"/>
              </w:rPr>
              <w:t>Cambios estructurales en el mercado (caída del sector constructor en Colombia)</w:t>
            </w:r>
          </w:p>
        </w:tc>
        <w:tc>
          <w:tcPr>
            <w:tcW w:w="1400" w:type="dxa"/>
            <w:tcBorders>
              <w:top w:val="single" w:sz="4" w:space="0" w:color="AAAAAA"/>
              <w:bottom w:val="single" w:sz="4" w:space="0" w:color="AAAAAA"/>
            </w:tcBorders>
            <w:shd w:val="clear" w:color="auto" w:fill="FFFFFF"/>
            <w:tcMar>
              <w:top w:w="80" w:type="dxa"/>
              <w:left w:w="100" w:type="dxa"/>
              <w:bottom w:w="80" w:type="dxa"/>
              <w:right w:w="100" w:type="dxa"/>
            </w:tcMar>
          </w:tcPr>
          <w:p w14:paraId="67033BF5" w14:textId="77777777" w:rsidR="00B524A9" w:rsidRDefault="00000000">
            <w:r>
              <w:rPr>
                <w:sz w:val="20"/>
                <w:szCs w:val="20"/>
              </w:rPr>
              <w:t>Media</w:t>
            </w:r>
          </w:p>
        </w:tc>
        <w:tc>
          <w:tcPr>
            <w:tcW w:w="1400" w:type="dxa"/>
            <w:tcBorders>
              <w:top w:val="single" w:sz="4" w:space="0" w:color="AAAAAA"/>
              <w:bottom w:val="single" w:sz="4" w:space="0" w:color="AAAAAA"/>
            </w:tcBorders>
            <w:shd w:val="clear" w:color="auto" w:fill="FFFFFF"/>
            <w:tcMar>
              <w:top w:w="80" w:type="dxa"/>
              <w:left w:w="100" w:type="dxa"/>
              <w:bottom w:w="80" w:type="dxa"/>
              <w:right w:w="100" w:type="dxa"/>
            </w:tcMar>
          </w:tcPr>
          <w:p w14:paraId="02201AD2" w14:textId="77777777" w:rsidR="00B524A9" w:rsidRDefault="00000000">
            <w:r>
              <w:rPr>
                <w:sz w:val="20"/>
                <w:szCs w:val="20"/>
              </w:rPr>
              <w:t>Alto</w:t>
            </w:r>
          </w:p>
        </w:tc>
        <w:tc>
          <w:tcPr>
            <w:tcW w:w="4026" w:type="dxa"/>
            <w:tcBorders>
              <w:top w:val="single" w:sz="4" w:space="0" w:color="AAAAAA"/>
              <w:bottom w:val="single" w:sz="4" w:space="0" w:color="AAAAAA"/>
            </w:tcBorders>
            <w:shd w:val="clear" w:color="auto" w:fill="FFFFFF"/>
            <w:tcMar>
              <w:top w:w="80" w:type="dxa"/>
              <w:left w:w="100" w:type="dxa"/>
              <w:bottom w:w="80" w:type="dxa"/>
              <w:right w:w="100" w:type="dxa"/>
            </w:tcMar>
          </w:tcPr>
          <w:p w14:paraId="24B1A496" w14:textId="77777777" w:rsidR="00B524A9" w:rsidRDefault="00000000">
            <w:r>
              <w:rPr>
                <w:sz w:val="20"/>
                <w:szCs w:val="20"/>
              </w:rPr>
              <w:t>Reentrenar el modelo trimestralmente con datos frescos; incluir indicadores líderes del sector</w:t>
            </w:r>
          </w:p>
        </w:tc>
      </w:tr>
      <w:tr w:rsidR="00B524A9" w14:paraId="6EE3BD05" w14:textId="77777777">
        <w:tblPrEx>
          <w:tblCellMar>
            <w:top w:w="0" w:type="dxa"/>
            <w:bottom w:w="0" w:type="dxa"/>
          </w:tblCellMar>
        </w:tblPrEx>
        <w:tc>
          <w:tcPr>
            <w:tcW w:w="2200" w:type="dxa"/>
            <w:tcBorders>
              <w:top w:val="single" w:sz="4" w:space="0" w:color="AAAAAA"/>
              <w:bottom w:val="single" w:sz="4" w:space="0" w:color="AAAAAA"/>
            </w:tcBorders>
            <w:shd w:val="clear" w:color="auto" w:fill="F5F5F5"/>
            <w:tcMar>
              <w:top w:w="80" w:type="dxa"/>
              <w:left w:w="100" w:type="dxa"/>
              <w:bottom w:w="80" w:type="dxa"/>
              <w:right w:w="100" w:type="dxa"/>
            </w:tcMar>
          </w:tcPr>
          <w:p w14:paraId="0306DAD2" w14:textId="77777777" w:rsidR="00B524A9" w:rsidRDefault="00000000">
            <w:r>
              <w:rPr>
                <w:sz w:val="20"/>
                <w:szCs w:val="20"/>
              </w:rPr>
              <w:lastRenderedPageBreak/>
              <w:t>Rotación de personal técnico que mantiene el modelo</w:t>
            </w:r>
          </w:p>
        </w:tc>
        <w:tc>
          <w:tcPr>
            <w:tcW w:w="1400" w:type="dxa"/>
            <w:tcBorders>
              <w:top w:val="single" w:sz="4" w:space="0" w:color="AAAAAA"/>
              <w:bottom w:val="single" w:sz="4" w:space="0" w:color="AAAAAA"/>
            </w:tcBorders>
            <w:shd w:val="clear" w:color="auto" w:fill="F5F5F5"/>
            <w:tcMar>
              <w:top w:w="80" w:type="dxa"/>
              <w:left w:w="100" w:type="dxa"/>
              <w:bottom w:w="80" w:type="dxa"/>
              <w:right w:w="100" w:type="dxa"/>
            </w:tcMar>
          </w:tcPr>
          <w:p w14:paraId="39056B2D" w14:textId="77777777" w:rsidR="00B524A9" w:rsidRDefault="00000000">
            <w:r>
              <w:rPr>
                <w:sz w:val="20"/>
                <w:szCs w:val="20"/>
              </w:rPr>
              <w:t>Media</w:t>
            </w:r>
          </w:p>
        </w:tc>
        <w:tc>
          <w:tcPr>
            <w:tcW w:w="1400" w:type="dxa"/>
            <w:tcBorders>
              <w:top w:val="single" w:sz="4" w:space="0" w:color="AAAAAA"/>
              <w:bottom w:val="single" w:sz="4" w:space="0" w:color="AAAAAA"/>
            </w:tcBorders>
            <w:shd w:val="clear" w:color="auto" w:fill="F5F5F5"/>
            <w:tcMar>
              <w:top w:w="80" w:type="dxa"/>
              <w:left w:w="100" w:type="dxa"/>
              <w:bottom w:w="80" w:type="dxa"/>
              <w:right w:w="100" w:type="dxa"/>
            </w:tcMar>
          </w:tcPr>
          <w:p w14:paraId="1FED82BB" w14:textId="77777777" w:rsidR="00B524A9" w:rsidRDefault="00000000">
            <w:r>
              <w:rPr>
                <w:sz w:val="20"/>
                <w:szCs w:val="20"/>
              </w:rPr>
              <w:t>Medio</w:t>
            </w:r>
          </w:p>
        </w:tc>
        <w:tc>
          <w:tcPr>
            <w:tcW w:w="4026" w:type="dxa"/>
            <w:tcBorders>
              <w:top w:val="single" w:sz="4" w:space="0" w:color="AAAAAA"/>
              <w:bottom w:val="single" w:sz="4" w:space="0" w:color="AAAAAA"/>
            </w:tcBorders>
            <w:shd w:val="clear" w:color="auto" w:fill="F5F5F5"/>
            <w:tcMar>
              <w:top w:w="80" w:type="dxa"/>
              <w:left w:w="100" w:type="dxa"/>
              <w:bottom w:w="80" w:type="dxa"/>
              <w:right w:w="100" w:type="dxa"/>
            </w:tcMar>
          </w:tcPr>
          <w:p w14:paraId="75BD0131" w14:textId="77777777" w:rsidR="00B524A9" w:rsidRDefault="00000000">
            <w:r>
              <w:rPr>
                <w:sz w:val="20"/>
                <w:szCs w:val="20"/>
              </w:rPr>
              <w:t>Documentar el pipeline completo; transferencia de conocimiento al equipo interno en Fase 2</w:t>
            </w:r>
          </w:p>
        </w:tc>
      </w:tr>
    </w:tbl>
    <w:p w14:paraId="31D74B59" w14:textId="77777777" w:rsidR="00B524A9" w:rsidRDefault="00000000">
      <w:pPr>
        <w:spacing w:before="60" w:after="240" w:line="360" w:lineRule="auto"/>
      </w:pPr>
      <w:r>
        <w:rPr>
          <w:i/>
          <w:iCs/>
          <w:sz w:val="20"/>
          <w:szCs w:val="20"/>
        </w:rPr>
        <w:t xml:space="preserve">Nota. </w:t>
      </w:r>
      <w:r>
        <w:rPr>
          <w:sz w:val="20"/>
          <w:szCs w:val="20"/>
        </w:rPr>
        <w:t xml:space="preserve">Elaboración propia con base en </w:t>
      </w:r>
      <w:proofErr w:type="spellStart"/>
      <w:r>
        <w:rPr>
          <w:sz w:val="20"/>
          <w:szCs w:val="20"/>
        </w:rPr>
        <w:t>Albayrak</w:t>
      </w:r>
      <w:proofErr w:type="spellEnd"/>
      <w:r>
        <w:rPr>
          <w:sz w:val="20"/>
          <w:szCs w:val="20"/>
        </w:rPr>
        <w:t xml:space="preserve"> Ünal et al. (2023) y Petropoulos et al. (2022).</w:t>
      </w:r>
    </w:p>
    <w:p w14:paraId="2B7269C7" w14:textId="77777777" w:rsidR="00B524A9" w:rsidRDefault="00B524A9">
      <w:pPr>
        <w:spacing w:line="360" w:lineRule="auto"/>
      </w:pPr>
    </w:p>
    <w:p w14:paraId="5F50C5F7" w14:textId="77777777" w:rsidR="00B524A9" w:rsidRDefault="00000000">
      <w:pPr>
        <w:spacing w:before="240" w:after="120" w:line="360" w:lineRule="auto"/>
        <w:jc w:val="center"/>
      </w:pPr>
      <w:r>
        <w:rPr>
          <w:b/>
          <w:bCs/>
        </w:rPr>
        <w:t>4. Plan de Implementación, Validación y Evaluación de Resultados</w:t>
      </w:r>
    </w:p>
    <w:p w14:paraId="38C78A4B" w14:textId="77777777" w:rsidR="00B524A9" w:rsidRDefault="00000000">
      <w:pPr>
        <w:spacing w:before="200" w:after="60" w:line="360" w:lineRule="auto"/>
      </w:pPr>
      <w:r>
        <w:rPr>
          <w:b/>
          <w:bCs/>
        </w:rPr>
        <w:t xml:space="preserve">4.1 </w:t>
      </w:r>
      <w:proofErr w:type="spellStart"/>
      <w:r>
        <w:rPr>
          <w:b/>
          <w:bCs/>
        </w:rPr>
        <w:t>Roadmap</w:t>
      </w:r>
      <w:proofErr w:type="spellEnd"/>
      <w:r>
        <w:rPr>
          <w:b/>
          <w:bCs/>
        </w:rPr>
        <w:t xml:space="preserve"> por Fases e Hitos</w:t>
      </w:r>
    </w:p>
    <w:p w14:paraId="5A1138DC" w14:textId="77777777" w:rsidR="00B524A9" w:rsidRDefault="00B524A9">
      <w:pPr>
        <w:spacing w:line="360" w:lineRule="auto"/>
      </w:pPr>
    </w:p>
    <w:p w14:paraId="61BF330D" w14:textId="77777777" w:rsidR="00B524A9" w:rsidRDefault="00000000">
      <w:pPr>
        <w:spacing w:before="240" w:line="360" w:lineRule="auto"/>
      </w:pPr>
      <w:r>
        <w:rPr>
          <w:b/>
          <w:bCs/>
        </w:rPr>
        <w:t>Tabla 2</w:t>
      </w:r>
      <w:r>
        <w:br/>
      </w:r>
      <w:proofErr w:type="spellStart"/>
      <w:r>
        <w:rPr>
          <w:i/>
          <w:iCs/>
        </w:rPr>
        <w:t>Roadmap</w:t>
      </w:r>
      <w:proofErr w:type="spellEnd"/>
      <w:r>
        <w:rPr>
          <w:i/>
          <w:iCs/>
        </w:rPr>
        <w:t xml:space="preserve"> del proyecto: fases, hitos y entregables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9"/>
        <w:gridCol w:w="1394"/>
        <w:gridCol w:w="2997"/>
        <w:gridCol w:w="3166"/>
      </w:tblGrid>
      <w:tr w:rsidR="00B524A9" w14:paraId="2359A4D3" w14:textId="77777777">
        <w:tblPrEx>
          <w:tblCellMar>
            <w:top w:w="0" w:type="dxa"/>
            <w:bottom w:w="0" w:type="dxa"/>
          </w:tblCellMar>
        </w:tblPrEx>
        <w:trPr>
          <w:tblHeader/>
        </w:trPr>
        <w:tc>
          <w:tcPr>
            <w:tcW w:w="1400" w:type="dxa"/>
            <w:tcBorders>
              <w:top w:val="single" w:sz="8" w:space="0" w:color="000000"/>
              <w:bottom w:val="single" w:sz="8" w:space="0" w:color="000000"/>
            </w:tcBorders>
            <w:shd w:val="clear" w:color="auto" w:fill="FFFFFF"/>
            <w:tcMar>
              <w:top w:w="80" w:type="dxa"/>
              <w:left w:w="100" w:type="dxa"/>
              <w:bottom w:w="80" w:type="dxa"/>
              <w:right w:w="100" w:type="dxa"/>
            </w:tcMar>
          </w:tcPr>
          <w:p w14:paraId="7F165F79" w14:textId="77777777" w:rsidR="00B524A9" w:rsidRDefault="00000000">
            <w:r>
              <w:rPr>
                <w:b/>
                <w:bCs/>
                <w:sz w:val="20"/>
                <w:szCs w:val="20"/>
              </w:rPr>
              <w:t>Fase</w:t>
            </w:r>
          </w:p>
        </w:tc>
        <w:tc>
          <w:tcPr>
            <w:tcW w:w="1400" w:type="dxa"/>
            <w:tcBorders>
              <w:top w:val="single" w:sz="8" w:space="0" w:color="000000"/>
              <w:bottom w:val="single" w:sz="8" w:space="0" w:color="000000"/>
            </w:tcBorders>
            <w:shd w:val="clear" w:color="auto" w:fill="FFFFFF"/>
            <w:tcMar>
              <w:top w:w="80" w:type="dxa"/>
              <w:left w:w="100" w:type="dxa"/>
              <w:bottom w:w="80" w:type="dxa"/>
              <w:right w:w="100" w:type="dxa"/>
            </w:tcMar>
          </w:tcPr>
          <w:p w14:paraId="1859986D" w14:textId="77777777" w:rsidR="00B524A9" w:rsidRDefault="00000000">
            <w:r>
              <w:rPr>
                <w:b/>
                <w:bCs/>
                <w:sz w:val="20"/>
                <w:szCs w:val="20"/>
              </w:rPr>
              <w:t>Semanas</w:t>
            </w:r>
          </w:p>
        </w:tc>
        <w:tc>
          <w:tcPr>
            <w:tcW w:w="3026" w:type="dxa"/>
            <w:tcBorders>
              <w:top w:val="single" w:sz="8" w:space="0" w:color="000000"/>
              <w:bottom w:val="single" w:sz="8" w:space="0" w:color="000000"/>
            </w:tcBorders>
            <w:shd w:val="clear" w:color="auto" w:fill="FFFFFF"/>
            <w:tcMar>
              <w:top w:w="80" w:type="dxa"/>
              <w:left w:w="100" w:type="dxa"/>
              <w:bottom w:w="80" w:type="dxa"/>
              <w:right w:w="100" w:type="dxa"/>
            </w:tcMar>
          </w:tcPr>
          <w:p w14:paraId="40393DA1" w14:textId="77777777" w:rsidR="00B524A9" w:rsidRDefault="00000000">
            <w:r>
              <w:rPr>
                <w:b/>
                <w:bCs/>
                <w:sz w:val="20"/>
                <w:szCs w:val="20"/>
              </w:rPr>
              <w:t>Hitos clave</w:t>
            </w:r>
          </w:p>
        </w:tc>
        <w:tc>
          <w:tcPr>
            <w:tcW w:w="3200" w:type="dxa"/>
            <w:tcBorders>
              <w:top w:val="single" w:sz="8" w:space="0" w:color="000000"/>
              <w:bottom w:val="single" w:sz="8" w:space="0" w:color="000000"/>
            </w:tcBorders>
            <w:shd w:val="clear" w:color="auto" w:fill="FFFFFF"/>
            <w:tcMar>
              <w:top w:w="80" w:type="dxa"/>
              <w:left w:w="100" w:type="dxa"/>
              <w:bottom w:w="80" w:type="dxa"/>
              <w:right w:w="100" w:type="dxa"/>
            </w:tcMar>
          </w:tcPr>
          <w:p w14:paraId="6EFE0D85" w14:textId="77777777" w:rsidR="00B524A9" w:rsidRDefault="00000000">
            <w:r>
              <w:rPr>
                <w:b/>
                <w:bCs/>
                <w:sz w:val="20"/>
                <w:szCs w:val="20"/>
              </w:rPr>
              <w:t>Entregable</w:t>
            </w:r>
          </w:p>
        </w:tc>
      </w:tr>
      <w:tr w:rsidR="00B524A9" w14:paraId="680725DE" w14:textId="77777777">
        <w:tblPrEx>
          <w:tblCellMar>
            <w:top w:w="0" w:type="dxa"/>
            <w:bottom w:w="0" w:type="dxa"/>
          </w:tblCellMar>
        </w:tblPrEx>
        <w:tc>
          <w:tcPr>
            <w:tcW w:w="1400" w:type="dxa"/>
            <w:tcBorders>
              <w:top w:val="single" w:sz="4" w:space="0" w:color="AAAAAA"/>
              <w:bottom w:val="single" w:sz="4" w:space="0" w:color="AAAAAA"/>
            </w:tcBorders>
            <w:shd w:val="clear" w:color="auto" w:fill="F5F5F5"/>
            <w:tcMar>
              <w:top w:w="80" w:type="dxa"/>
              <w:left w:w="100" w:type="dxa"/>
              <w:bottom w:w="80" w:type="dxa"/>
              <w:right w:w="100" w:type="dxa"/>
            </w:tcMar>
          </w:tcPr>
          <w:p w14:paraId="4114EFB8" w14:textId="77777777" w:rsidR="00B524A9" w:rsidRDefault="00000000">
            <w:r>
              <w:rPr>
                <w:b/>
                <w:bCs/>
                <w:sz w:val="20"/>
                <w:szCs w:val="20"/>
              </w:rPr>
              <w:t>1. Diagnóstico y datos</w:t>
            </w:r>
          </w:p>
        </w:tc>
        <w:tc>
          <w:tcPr>
            <w:tcW w:w="1400" w:type="dxa"/>
            <w:tcBorders>
              <w:top w:val="single" w:sz="4" w:space="0" w:color="AAAAAA"/>
              <w:bottom w:val="single" w:sz="4" w:space="0" w:color="AAAAAA"/>
            </w:tcBorders>
            <w:shd w:val="clear" w:color="auto" w:fill="F5F5F5"/>
            <w:tcMar>
              <w:top w:w="80" w:type="dxa"/>
              <w:left w:w="100" w:type="dxa"/>
              <w:bottom w:w="80" w:type="dxa"/>
              <w:right w:w="100" w:type="dxa"/>
            </w:tcMar>
          </w:tcPr>
          <w:p w14:paraId="5B3D411B" w14:textId="77777777" w:rsidR="00B524A9" w:rsidRDefault="00000000">
            <w:r>
              <w:rPr>
                <w:sz w:val="20"/>
                <w:szCs w:val="20"/>
              </w:rPr>
              <w:t>1–3</w:t>
            </w:r>
          </w:p>
        </w:tc>
        <w:tc>
          <w:tcPr>
            <w:tcW w:w="3026" w:type="dxa"/>
            <w:tcBorders>
              <w:top w:val="single" w:sz="4" w:space="0" w:color="AAAAAA"/>
              <w:bottom w:val="single" w:sz="4" w:space="0" w:color="AAAAAA"/>
            </w:tcBorders>
            <w:shd w:val="clear" w:color="auto" w:fill="F5F5F5"/>
            <w:tcMar>
              <w:top w:w="80" w:type="dxa"/>
              <w:left w:w="100" w:type="dxa"/>
              <w:bottom w:w="80" w:type="dxa"/>
              <w:right w:w="100" w:type="dxa"/>
            </w:tcMar>
          </w:tcPr>
          <w:p w14:paraId="57F78BCA" w14:textId="77777777" w:rsidR="00B524A9" w:rsidRDefault="00000000">
            <w:r>
              <w:rPr>
                <w:sz w:val="20"/>
                <w:szCs w:val="20"/>
              </w:rPr>
              <w:t xml:space="preserve">H1 (S2): ABC ejecutado y top-20% referencias A identificadas · H2 (S3): </w:t>
            </w:r>
            <w:proofErr w:type="spellStart"/>
            <w:r>
              <w:rPr>
                <w:sz w:val="20"/>
                <w:szCs w:val="20"/>
              </w:rPr>
              <w:t>Dataset</w:t>
            </w:r>
            <w:proofErr w:type="spellEnd"/>
            <w:r>
              <w:rPr>
                <w:sz w:val="20"/>
                <w:szCs w:val="20"/>
              </w:rPr>
              <w:t xml:space="preserve"> limpio validado por el jefe logístico</w:t>
            </w:r>
          </w:p>
        </w:tc>
        <w:tc>
          <w:tcPr>
            <w:tcW w:w="3200" w:type="dxa"/>
            <w:tcBorders>
              <w:top w:val="single" w:sz="4" w:space="0" w:color="AAAAAA"/>
              <w:bottom w:val="single" w:sz="4" w:space="0" w:color="AAAAAA"/>
            </w:tcBorders>
            <w:shd w:val="clear" w:color="auto" w:fill="F5F5F5"/>
            <w:tcMar>
              <w:top w:w="80" w:type="dxa"/>
              <w:left w:w="100" w:type="dxa"/>
              <w:bottom w:w="80" w:type="dxa"/>
              <w:right w:w="100" w:type="dxa"/>
            </w:tcMar>
          </w:tcPr>
          <w:p w14:paraId="4EBA9C33" w14:textId="77777777" w:rsidR="00B524A9" w:rsidRDefault="00000000">
            <w:r>
              <w:rPr>
                <w:sz w:val="20"/>
                <w:szCs w:val="20"/>
              </w:rPr>
              <w:t xml:space="preserve">Informe ABC + </w:t>
            </w:r>
            <w:proofErr w:type="spellStart"/>
            <w:r>
              <w:rPr>
                <w:sz w:val="20"/>
                <w:szCs w:val="20"/>
              </w:rPr>
              <w:t>dataset</w:t>
            </w:r>
            <w:proofErr w:type="spellEnd"/>
            <w:r>
              <w:rPr>
                <w:sz w:val="20"/>
                <w:szCs w:val="20"/>
              </w:rPr>
              <w:t xml:space="preserve"> estructurado por referencia</w:t>
            </w:r>
          </w:p>
        </w:tc>
      </w:tr>
      <w:tr w:rsidR="00B524A9" w14:paraId="0F4DF189" w14:textId="77777777">
        <w:tblPrEx>
          <w:tblCellMar>
            <w:top w:w="0" w:type="dxa"/>
            <w:bottom w:w="0" w:type="dxa"/>
          </w:tblCellMar>
        </w:tblPrEx>
        <w:tc>
          <w:tcPr>
            <w:tcW w:w="1400" w:type="dxa"/>
            <w:tcBorders>
              <w:top w:val="single" w:sz="4" w:space="0" w:color="AAAAAA"/>
              <w:bottom w:val="single" w:sz="4" w:space="0" w:color="AAAAAA"/>
            </w:tcBorders>
            <w:shd w:val="clear" w:color="auto" w:fill="FFFFFF"/>
            <w:tcMar>
              <w:top w:w="80" w:type="dxa"/>
              <w:left w:w="100" w:type="dxa"/>
              <w:bottom w:w="80" w:type="dxa"/>
              <w:right w:w="100" w:type="dxa"/>
            </w:tcMar>
          </w:tcPr>
          <w:p w14:paraId="7544B194" w14:textId="77777777" w:rsidR="00B524A9" w:rsidRDefault="00000000">
            <w:r>
              <w:rPr>
                <w:b/>
                <w:bCs/>
                <w:sz w:val="20"/>
                <w:szCs w:val="20"/>
              </w:rPr>
              <w:t>2. Modelado y validación</w:t>
            </w:r>
          </w:p>
        </w:tc>
        <w:tc>
          <w:tcPr>
            <w:tcW w:w="1400" w:type="dxa"/>
            <w:tcBorders>
              <w:top w:val="single" w:sz="4" w:space="0" w:color="AAAAAA"/>
              <w:bottom w:val="single" w:sz="4" w:space="0" w:color="AAAAAA"/>
            </w:tcBorders>
            <w:shd w:val="clear" w:color="auto" w:fill="FFFFFF"/>
            <w:tcMar>
              <w:top w:w="80" w:type="dxa"/>
              <w:left w:w="100" w:type="dxa"/>
              <w:bottom w:w="80" w:type="dxa"/>
              <w:right w:w="100" w:type="dxa"/>
            </w:tcMar>
          </w:tcPr>
          <w:p w14:paraId="675D653D" w14:textId="77777777" w:rsidR="00B524A9" w:rsidRDefault="00000000">
            <w:r>
              <w:rPr>
                <w:sz w:val="20"/>
                <w:szCs w:val="20"/>
              </w:rPr>
              <w:t>4–8</w:t>
            </w:r>
          </w:p>
        </w:tc>
        <w:tc>
          <w:tcPr>
            <w:tcW w:w="3026" w:type="dxa"/>
            <w:tcBorders>
              <w:top w:val="single" w:sz="4" w:space="0" w:color="AAAAAA"/>
              <w:bottom w:val="single" w:sz="4" w:space="0" w:color="AAAAAA"/>
            </w:tcBorders>
            <w:shd w:val="clear" w:color="auto" w:fill="FFFFFF"/>
            <w:tcMar>
              <w:top w:w="80" w:type="dxa"/>
              <w:left w:w="100" w:type="dxa"/>
              <w:bottom w:w="80" w:type="dxa"/>
              <w:right w:w="100" w:type="dxa"/>
            </w:tcMar>
          </w:tcPr>
          <w:p w14:paraId="0501B359" w14:textId="77777777" w:rsidR="00B524A9" w:rsidRDefault="00000000">
            <w:r>
              <w:rPr>
                <w:sz w:val="20"/>
                <w:szCs w:val="20"/>
              </w:rPr>
              <w:t xml:space="preserve">H3 (S5): Modelos Prophet y SARIMA entrenados · H4 (S7): Walk-forward </w:t>
            </w:r>
            <w:proofErr w:type="spellStart"/>
            <w:r>
              <w:rPr>
                <w:sz w:val="20"/>
                <w:szCs w:val="20"/>
              </w:rPr>
              <w:t>validation</w:t>
            </w:r>
            <w:proofErr w:type="spellEnd"/>
            <w:r>
              <w:rPr>
                <w:sz w:val="20"/>
                <w:szCs w:val="20"/>
              </w:rPr>
              <w:t xml:space="preserve"> completa · H5 (S8): Modelo ganador seleccionado con WAPE reportado</w:t>
            </w:r>
          </w:p>
        </w:tc>
        <w:tc>
          <w:tcPr>
            <w:tcW w:w="3200" w:type="dxa"/>
            <w:tcBorders>
              <w:top w:val="single" w:sz="4" w:space="0" w:color="AAAAAA"/>
              <w:bottom w:val="single" w:sz="4" w:space="0" w:color="AAAAAA"/>
            </w:tcBorders>
            <w:shd w:val="clear" w:color="auto" w:fill="FFFFFF"/>
            <w:tcMar>
              <w:top w:w="80" w:type="dxa"/>
              <w:left w:w="100" w:type="dxa"/>
              <w:bottom w:w="80" w:type="dxa"/>
              <w:right w:w="100" w:type="dxa"/>
            </w:tcMar>
          </w:tcPr>
          <w:p w14:paraId="2D4A1D2C" w14:textId="77777777" w:rsidR="00B524A9" w:rsidRDefault="00000000">
            <w:r>
              <w:rPr>
                <w:sz w:val="20"/>
                <w:szCs w:val="20"/>
              </w:rPr>
              <w:t>Modelos entrenados + reporte de métricas (WAPE, MAE, RMSE)</w:t>
            </w:r>
          </w:p>
        </w:tc>
      </w:tr>
      <w:tr w:rsidR="00B524A9" w14:paraId="49A1B5F2" w14:textId="77777777">
        <w:tblPrEx>
          <w:tblCellMar>
            <w:top w:w="0" w:type="dxa"/>
            <w:bottom w:w="0" w:type="dxa"/>
          </w:tblCellMar>
        </w:tblPrEx>
        <w:tc>
          <w:tcPr>
            <w:tcW w:w="1400" w:type="dxa"/>
            <w:tcBorders>
              <w:top w:val="single" w:sz="4" w:space="0" w:color="AAAAAA"/>
              <w:bottom w:val="single" w:sz="4" w:space="0" w:color="AAAAAA"/>
            </w:tcBorders>
            <w:shd w:val="clear" w:color="auto" w:fill="F5F5F5"/>
            <w:tcMar>
              <w:top w:w="80" w:type="dxa"/>
              <w:left w:w="100" w:type="dxa"/>
              <w:bottom w:w="80" w:type="dxa"/>
              <w:right w:w="100" w:type="dxa"/>
            </w:tcMar>
          </w:tcPr>
          <w:p w14:paraId="3C37D25C" w14:textId="77777777" w:rsidR="00B524A9" w:rsidRDefault="00000000">
            <w:r>
              <w:rPr>
                <w:b/>
                <w:bCs/>
                <w:sz w:val="20"/>
                <w:szCs w:val="20"/>
              </w:rPr>
              <w:t>3. Simulación de impacto</w:t>
            </w:r>
          </w:p>
        </w:tc>
        <w:tc>
          <w:tcPr>
            <w:tcW w:w="1400" w:type="dxa"/>
            <w:tcBorders>
              <w:top w:val="single" w:sz="4" w:space="0" w:color="AAAAAA"/>
              <w:bottom w:val="single" w:sz="4" w:space="0" w:color="AAAAAA"/>
            </w:tcBorders>
            <w:shd w:val="clear" w:color="auto" w:fill="F5F5F5"/>
            <w:tcMar>
              <w:top w:w="80" w:type="dxa"/>
              <w:left w:w="100" w:type="dxa"/>
              <w:bottom w:w="80" w:type="dxa"/>
              <w:right w:w="100" w:type="dxa"/>
            </w:tcMar>
          </w:tcPr>
          <w:p w14:paraId="448DF91A" w14:textId="77777777" w:rsidR="00B524A9" w:rsidRDefault="00000000">
            <w:r>
              <w:rPr>
                <w:sz w:val="20"/>
                <w:szCs w:val="20"/>
              </w:rPr>
              <w:t>9–12</w:t>
            </w:r>
          </w:p>
        </w:tc>
        <w:tc>
          <w:tcPr>
            <w:tcW w:w="3026" w:type="dxa"/>
            <w:tcBorders>
              <w:top w:val="single" w:sz="4" w:space="0" w:color="AAAAAA"/>
              <w:bottom w:val="single" w:sz="4" w:space="0" w:color="AAAAAA"/>
            </w:tcBorders>
            <w:shd w:val="clear" w:color="auto" w:fill="F5F5F5"/>
            <w:tcMar>
              <w:top w:w="80" w:type="dxa"/>
              <w:left w:w="100" w:type="dxa"/>
              <w:bottom w:w="80" w:type="dxa"/>
              <w:right w:w="100" w:type="dxa"/>
            </w:tcMar>
          </w:tcPr>
          <w:p w14:paraId="159A2095" w14:textId="77777777" w:rsidR="00B524A9" w:rsidRDefault="00000000">
            <w:r>
              <w:rPr>
                <w:sz w:val="20"/>
                <w:szCs w:val="20"/>
              </w:rPr>
              <w:t>H6 (S10): Puntos de reorden recalculados · H7 (S12): Reporte financiero simulado con estimación de capital liberado y reducción de quiebres</w:t>
            </w:r>
          </w:p>
        </w:tc>
        <w:tc>
          <w:tcPr>
            <w:tcW w:w="3200" w:type="dxa"/>
            <w:tcBorders>
              <w:top w:val="single" w:sz="4" w:space="0" w:color="AAAAAA"/>
              <w:bottom w:val="single" w:sz="4" w:space="0" w:color="AAAAAA"/>
            </w:tcBorders>
            <w:shd w:val="clear" w:color="auto" w:fill="F5F5F5"/>
            <w:tcMar>
              <w:top w:w="80" w:type="dxa"/>
              <w:left w:w="100" w:type="dxa"/>
              <w:bottom w:w="80" w:type="dxa"/>
              <w:right w:w="100" w:type="dxa"/>
            </w:tcMar>
          </w:tcPr>
          <w:p w14:paraId="54E0A834" w14:textId="77777777" w:rsidR="00B524A9" w:rsidRDefault="00000000">
            <w:r>
              <w:rPr>
                <w:sz w:val="20"/>
                <w:szCs w:val="20"/>
              </w:rPr>
              <w:t>Reporte de impacto financiero simulado (</w:t>
            </w:r>
            <w:proofErr w:type="spellStart"/>
            <w:r>
              <w:rPr>
                <w:sz w:val="20"/>
                <w:szCs w:val="20"/>
              </w:rPr>
              <w:t>fill</w:t>
            </w:r>
            <w:proofErr w:type="spellEnd"/>
            <w:r>
              <w:rPr>
                <w:sz w:val="20"/>
                <w:szCs w:val="20"/>
              </w:rPr>
              <w:t xml:space="preserve"> </w:t>
            </w:r>
            <w:proofErr w:type="spellStart"/>
            <w:r>
              <w:rPr>
                <w:sz w:val="20"/>
                <w:szCs w:val="20"/>
              </w:rPr>
              <w:t>rate</w:t>
            </w:r>
            <w:proofErr w:type="spellEnd"/>
            <w:r>
              <w:rPr>
                <w:sz w:val="20"/>
                <w:szCs w:val="20"/>
              </w:rPr>
              <w:t>, inventario promedio)</w:t>
            </w:r>
          </w:p>
        </w:tc>
      </w:tr>
      <w:tr w:rsidR="00B524A9" w14:paraId="6E1E579E" w14:textId="77777777">
        <w:tblPrEx>
          <w:tblCellMar>
            <w:top w:w="0" w:type="dxa"/>
            <w:bottom w:w="0" w:type="dxa"/>
          </w:tblCellMar>
        </w:tblPrEx>
        <w:tc>
          <w:tcPr>
            <w:tcW w:w="1400" w:type="dxa"/>
            <w:tcBorders>
              <w:top w:val="single" w:sz="4" w:space="0" w:color="AAAAAA"/>
              <w:bottom w:val="single" w:sz="4" w:space="0" w:color="AAAAAA"/>
            </w:tcBorders>
            <w:shd w:val="clear" w:color="auto" w:fill="FFFFFF"/>
            <w:tcMar>
              <w:top w:w="80" w:type="dxa"/>
              <w:left w:w="100" w:type="dxa"/>
              <w:bottom w:w="80" w:type="dxa"/>
              <w:right w:w="100" w:type="dxa"/>
            </w:tcMar>
          </w:tcPr>
          <w:p w14:paraId="5BCDE3B2" w14:textId="77777777" w:rsidR="00B524A9" w:rsidRDefault="00000000">
            <w:r>
              <w:rPr>
                <w:b/>
                <w:bCs/>
                <w:sz w:val="20"/>
                <w:szCs w:val="20"/>
              </w:rPr>
              <w:t>4. Integración y escalamiento</w:t>
            </w:r>
          </w:p>
        </w:tc>
        <w:tc>
          <w:tcPr>
            <w:tcW w:w="1400" w:type="dxa"/>
            <w:tcBorders>
              <w:top w:val="single" w:sz="4" w:space="0" w:color="AAAAAA"/>
              <w:bottom w:val="single" w:sz="4" w:space="0" w:color="AAAAAA"/>
            </w:tcBorders>
            <w:shd w:val="clear" w:color="auto" w:fill="FFFFFF"/>
            <w:tcMar>
              <w:top w:w="80" w:type="dxa"/>
              <w:left w:w="100" w:type="dxa"/>
              <w:bottom w:w="80" w:type="dxa"/>
              <w:right w:w="100" w:type="dxa"/>
            </w:tcMar>
          </w:tcPr>
          <w:p w14:paraId="04A51B41" w14:textId="77777777" w:rsidR="00B524A9" w:rsidRDefault="00000000">
            <w:r>
              <w:rPr>
                <w:sz w:val="20"/>
                <w:szCs w:val="20"/>
              </w:rPr>
              <w:t>13–16</w:t>
            </w:r>
          </w:p>
        </w:tc>
        <w:tc>
          <w:tcPr>
            <w:tcW w:w="3026" w:type="dxa"/>
            <w:tcBorders>
              <w:top w:val="single" w:sz="4" w:space="0" w:color="AAAAAA"/>
              <w:bottom w:val="single" w:sz="4" w:space="0" w:color="AAAAAA"/>
            </w:tcBorders>
            <w:shd w:val="clear" w:color="auto" w:fill="FFFFFF"/>
            <w:tcMar>
              <w:top w:w="80" w:type="dxa"/>
              <w:left w:w="100" w:type="dxa"/>
              <w:bottom w:w="80" w:type="dxa"/>
              <w:right w:w="100" w:type="dxa"/>
            </w:tcMar>
          </w:tcPr>
          <w:p w14:paraId="4D133C31" w14:textId="77777777" w:rsidR="00B524A9" w:rsidRDefault="00000000">
            <w:r>
              <w:rPr>
                <w:sz w:val="20"/>
                <w:szCs w:val="20"/>
              </w:rPr>
              <w:t>H8 (S14): Protocolo de integración ERP documentado · H9 (S16): Presentación a gerencia + hoja de ruta Fase 2 aprobada</w:t>
            </w:r>
          </w:p>
        </w:tc>
        <w:tc>
          <w:tcPr>
            <w:tcW w:w="3200" w:type="dxa"/>
            <w:tcBorders>
              <w:top w:val="single" w:sz="4" w:space="0" w:color="AAAAAA"/>
              <w:bottom w:val="single" w:sz="4" w:space="0" w:color="AAAAAA"/>
            </w:tcBorders>
            <w:shd w:val="clear" w:color="auto" w:fill="FFFFFF"/>
            <w:tcMar>
              <w:top w:w="80" w:type="dxa"/>
              <w:left w:w="100" w:type="dxa"/>
              <w:bottom w:w="80" w:type="dxa"/>
              <w:right w:w="100" w:type="dxa"/>
            </w:tcMar>
          </w:tcPr>
          <w:p w14:paraId="75F90AC0" w14:textId="77777777" w:rsidR="00B524A9" w:rsidRDefault="00000000">
            <w:r>
              <w:rPr>
                <w:sz w:val="20"/>
                <w:szCs w:val="20"/>
              </w:rPr>
              <w:t>Manual de integración + hoja de ruta para cobertura categorías A+B</w:t>
            </w:r>
          </w:p>
        </w:tc>
      </w:tr>
    </w:tbl>
    <w:p w14:paraId="1D142995" w14:textId="77777777" w:rsidR="00B524A9" w:rsidRDefault="00000000">
      <w:pPr>
        <w:spacing w:before="60" w:after="240" w:line="360" w:lineRule="auto"/>
      </w:pPr>
      <w:r>
        <w:rPr>
          <w:i/>
          <w:iCs/>
          <w:sz w:val="20"/>
          <w:szCs w:val="20"/>
        </w:rPr>
        <w:t xml:space="preserve">Nota. </w:t>
      </w:r>
      <w:r>
        <w:rPr>
          <w:sz w:val="20"/>
          <w:szCs w:val="20"/>
        </w:rPr>
        <w:t>Elaboración propia. S = semana del proyecto.</w:t>
      </w:r>
    </w:p>
    <w:p w14:paraId="298C033C" w14:textId="77777777" w:rsidR="00B524A9" w:rsidRDefault="00000000">
      <w:pPr>
        <w:spacing w:before="200" w:after="60" w:line="360" w:lineRule="auto"/>
      </w:pPr>
      <w:r>
        <w:rPr>
          <w:b/>
          <w:bCs/>
        </w:rPr>
        <w:t>4.2 Métricas de Evaluación y Criterios de Éxito</w:t>
      </w:r>
    </w:p>
    <w:p w14:paraId="7B64E0EC" w14:textId="77777777" w:rsidR="00B524A9" w:rsidRDefault="00B524A9">
      <w:pPr>
        <w:spacing w:line="360" w:lineRule="auto"/>
      </w:pPr>
    </w:p>
    <w:p w14:paraId="569087CB" w14:textId="77777777" w:rsidR="001161D0" w:rsidRDefault="001161D0">
      <w:pPr>
        <w:spacing w:before="240" w:line="360" w:lineRule="auto"/>
        <w:rPr>
          <w:b/>
          <w:bCs/>
        </w:rPr>
      </w:pPr>
    </w:p>
    <w:p w14:paraId="6815AC8D" w14:textId="37F8959D" w:rsidR="00B524A9" w:rsidRDefault="00000000">
      <w:pPr>
        <w:spacing w:before="240" w:line="360" w:lineRule="auto"/>
      </w:pPr>
      <w:r>
        <w:rPr>
          <w:b/>
          <w:bCs/>
        </w:rPr>
        <w:lastRenderedPageBreak/>
        <w:t>Tabla 3</w:t>
      </w:r>
      <w:r>
        <w:br/>
      </w:r>
      <w:r>
        <w:rPr>
          <w:i/>
          <w:iCs/>
        </w:rPr>
        <w:t>Indicadores de éxito con línea base, metas y fórmula de cálculo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1600"/>
        <w:gridCol w:w="1600"/>
        <w:gridCol w:w="1826"/>
      </w:tblGrid>
      <w:tr w:rsidR="00B524A9" w14:paraId="2B8DB3C2" w14:textId="77777777">
        <w:tblPrEx>
          <w:tblCellMar>
            <w:top w:w="0" w:type="dxa"/>
            <w:bottom w:w="0" w:type="dxa"/>
          </w:tblCellMar>
        </w:tblPrEx>
        <w:trPr>
          <w:tblHeader/>
        </w:trPr>
        <w:tc>
          <w:tcPr>
            <w:tcW w:w="2400" w:type="dxa"/>
            <w:tcBorders>
              <w:top w:val="single" w:sz="8" w:space="0" w:color="000000"/>
              <w:bottom w:val="single" w:sz="8" w:space="0" w:color="000000"/>
            </w:tcBorders>
            <w:shd w:val="clear" w:color="auto" w:fill="FFFFFF"/>
            <w:tcMar>
              <w:top w:w="80" w:type="dxa"/>
              <w:left w:w="100" w:type="dxa"/>
              <w:bottom w:w="80" w:type="dxa"/>
              <w:right w:w="100" w:type="dxa"/>
            </w:tcMar>
          </w:tcPr>
          <w:p w14:paraId="22898FF1" w14:textId="77777777" w:rsidR="00B524A9" w:rsidRDefault="00000000">
            <w:r>
              <w:rPr>
                <w:b/>
                <w:bCs/>
                <w:sz w:val="20"/>
                <w:szCs w:val="20"/>
              </w:rPr>
              <w:t>Indicador</w:t>
            </w:r>
          </w:p>
        </w:tc>
        <w:tc>
          <w:tcPr>
            <w:tcW w:w="1600" w:type="dxa"/>
            <w:tcBorders>
              <w:top w:val="single" w:sz="8" w:space="0" w:color="000000"/>
              <w:bottom w:val="single" w:sz="8" w:space="0" w:color="000000"/>
            </w:tcBorders>
            <w:shd w:val="clear" w:color="auto" w:fill="FFFFFF"/>
            <w:tcMar>
              <w:top w:w="80" w:type="dxa"/>
              <w:left w:w="100" w:type="dxa"/>
              <w:bottom w:w="80" w:type="dxa"/>
              <w:right w:w="100" w:type="dxa"/>
            </w:tcMar>
          </w:tcPr>
          <w:p w14:paraId="1263C78D" w14:textId="77777777" w:rsidR="00B524A9" w:rsidRDefault="00000000">
            <w:r>
              <w:rPr>
                <w:b/>
                <w:bCs/>
                <w:sz w:val="20"/>
                <w:szCs w:val="20"/>
              </w:rPr>
              <w:t>Línea base</w:t>
            </w:r>
          </w:p>
        </w:tc>
        <w:tc>
          <w:tcPr>
            <w:tcW w:w="1600" w:type="dxa"/>
            <w:tcBorders>
              <w:top w:val="single" w:sz="8" w:space="0" w:color="000000"/>
              <w:bottom w:val="single" w:sz="8" w:space="0" w:color="000000"/>
            </w:tcBorders>
            <w:shd w:val="clear" w:color="auto" w:fill="FFFFFF"/>
            <w:tcMar>
              <w:top w:w="80" w:type="dxa"/>
              <w:left w:w="100" w:type="dxa"/>
              <w:bottom w:w="80" w:type="dxa"/>
              <w:right w:w="100" w:type="dxa"/>
            </w:tcMar>
          </w:tcPr>
          <w:p w14:paraId="18EB2C24" w14:textId="77777777" w:rsidR="00B524A9" w:rsidRDefault="00000000">
            <w:proofErr w:type="gramStart"/>
            <w:r>
              <w:rPr>
                <w:b/>
                <w:bCs/>
                <w:sz w:val="20"/>
                <w:szCs w:val="20"/>
              </w:rPr>
              <w:t>Meta Fase</w:t>
            </w:r>
            <w:proofErr w:type="gramEnd"/>
            <w:r>
              <w:rPr>
                <w:b/>
                <w:bCs/>
                <w:sz w:val="20"/>
                <w:szCs w:val="20"/>
              </w:rPr>
              <w:t xml:space="preserve"> 1</w:t>
            </w:r>
          </w:p>
        </w:tc>
        <w:tc>
          <w:tcPr>
            <w:tcW w:w="1600" w:type="dxa"/>
            <w:tcBorders>
              <w:top w:val="single" w:sz="8" w:space="0" w:color="000000"/>
              <w:bottom w:val="single" w:sz="8" w:space="0" w:color="000000"/>
            </w:tcBorders>
            <w:shd w:val="clear" w:color="auto" w:fill="FFFFFF"/>
            <w:tcMar>
              <w:top w:w="80" w:type="dxa"/>
              <w:left w:w="100" w:type="dxa"/>
              <w:bottom w:w="80" w:type="dxa"/>
              <w:right w:w="100" w:type="dxa"/>
            </w:tcMar>
          </w:tcPr>
          <w:p w14:paraId="1109123C" w14:textId="77777777" w:rsidR="00B524A9" w:rsidRDefault="00000000">
            <w:proofErr w:type="gramStart"/>
            <w:r>
              <w:rPr>
                <w:b/>
                <w:bCs/>
                <w:sz w:val="20"/>
                <w:szCs w:val="20"/>
              </w:rPr>
              <w:t>Meta Fase</w:t>
            </w:r>
            <w:proofErr w:type="gramEnd"/>
            <w:r>
              <w:rPr>
                <w:b/>
                <w:bCs/>
                <w:sz w:val="20"/>
                <w:szCs w:val="20"/>
              </w:rPr>
              <w:t xml:space="preserve"> 2</w:t>
            </w:r>
          </w:p>
        </w:tc>
        <w:tc>
          <w:tcPr>
            <w:tcW w:w="1826" w:type="dxa"/>
            <w:tcBorders>
              <w:top w:val="single" w:sz="8" w:space="0" w:color="000000"/>
              <w:bottom w:val="single" w:sz="8" w:space="0" w:color="000000"/>
            </w:tcBorders>
            <w:shd w:val="clear" w:color="auto" w:fill="FFFFFF"/>
            <w:tcMar>
              <w:top w:w="80" w:type="dxa"/>
              <w:left w:w="100" w:type="dxa"/>
              <w:bottom w:w="80" w:type="dxa"/>
              <w:right w:w="100" w:type="dxa"/>
            </w:tcMar>
          </w:tcPr>
          <w:p w14:paraId="240D4145" w14:textId="77777777" w:rsidR="00B524A9" w:rsidRDefault="00000000">
            <w:r>
              <w:rPr>
                <w:b/>
                <w:bCs/>
                <w:sz w:val="20"/>
                <w:szCs w:val="20"/>
              </w:rPr>
              <w:t>Fórmula</w:t>
            </w:r>
          </w:p>
        </w:tc>
      </w:tr>
      <w:tr w:rsidR="00B524A9" w14:paraId="3236ADFF" w14:textId="77777777">
        <w:tblPrEx>
          <w:tblCellMar>
            <w:top w:w="0" w:type="dxa"/>
            <w:bottom w:w="0" w:type="dxa"/>
          </w:tblCellMar>
        </w:tblPrEx>
        <w:tc>
          <w:tcPr>
            <w:tcW w:w="2400" w:type="dxa"/>
            <w:tcBorders>
              <w:top w:val="single" w:sz="4" w:space="0" w:color="AAAAAA"/>
              <w:bottom w:val="single" w:sz="4" w:space="0" w:color="AAAAAA"/>
            </w:tcBorders>
            <w:shd w:val="clear" w:color="auto" w:fill="F5F5F5"/>
            <w:tcMar>
              <w:top w:w="80" w:type="dxa"/>
              <w:left w:w="100" w:type="dxa"/>
              <w:bottom w:w="80" w:type="dxa"/>
              <w:right w:w="100" w:type="dxa"/>
            </w:tcMar>
          </w:tcPr>
          <w:p w14:paraId="7635DC16" w14:textId="77777777" w:rsidR="00B524A9" w:rsidRDefault="00000000">
            <w:r>
              <w:rPr>
                <w:b/>
                <w:bCs/>
                <w:sz w:val="20"/>
                <w:szCs w:val="20"/>
              </w:rPr>
              <w:t>WAPE — Error ponderado por volumen</w:t>
            </w:r>
          </w:p>
        </w:tc>
        <w:tc>
          <w:tcPr>
            <w:tcW w:w="1600" w:type="dxa"/>
            <w:tcBorders>
              <w:top w:val="single" w:sz="4" w:space="0" w:color="AAAAAA"/>
              <w:bottom w:val="single" w:sz="4" w:space="0" w:color="AAAAAA"/>
            </w:tcBorders>
            <w:shd w:val="clear" w:color="auto" w:fill="F5F5F5"/>
            <w:tcMar>
              <w:top w:w="80" w:type="dxa"/>
              <w:left w:w="100" w:type="dxa"/>
              <w:bottom w:w="80" w:type="dxa"/>
              <w:right w:w="100" w:type="dxa"/>
            </w:tcMar>
          </w:tcPr>
          <w:p w14:paraId="0B492431" w14:textId="77777777" w:rsidR="00B524A9" w:rsidRDefault="00000000">
            <w:r>
              <w:rPr>
                <w:sz w:val="20"/>
                <w:szCs w:val="20"/>
              </w:rPr>
              <w:t>~35% (promedio simple)</w:t>
            </w:r>
          </w:p>
        </w:tc>
        <w:tc>
          <w:tcPr>
            <w:tcW w:w="1600" w:type="dxa"/>
            <w:tcBorders>
              <w:top w:val="single" w:sz="4" w:space="0" w:color="AAAAAA"/>
              <w:bottom w:val="single" w:sz="4" w:space="0" w:color="AAAAAA"/>
            </w:tcBorders>
            <w:shd w:val="clear" w:color="auto" w:fill="F5F5F5"/>
            <w:tcMar>
              <w:top w:w="80" w:type="dxa"/>
              <w:left w:w="100" w:type="dxa"/>
              <w:bottom w:w="80" w:type="dxa"/>
              <w:right w:w="100" w:type="dxa"/>
            </w:tcMar>
          </w:tcPr>
          <w:p w14:paraId="0FFE2A5F" w14:textId="77777777" w:rsidR="00B524A9" w:rsidRDefault="00000000">
            <w:r>
              <w:rPr>
                <w:sz w:val="20"/>
                <w:szCs w:val="20"/>
              </w:rPr>
              <w:t>≤ 25%</w:t>
            </w:r>
          </w:p>
        </w:tc>
        <w:tc>
          <w:tcPr>
            <w:tcW w:w="1600" w:type="dxa"/>
            <w:tcBorders>
              <w:top w:val="single" w:sz="4" w:space="0" w:color="AAAAAA"/>
              <w:bottom w:val="single" w:sz="4" w:space="0" w:color="AAAAAA"/>
            </w:tcBorders>
            <w:shd w:val="clear" w:color="auto" w:fill="F5F5F5"/>
            <w:tcMar>
              <w:top w:w="80" w:type="dxa"/>
              <w:left w:w="100" w:type="dxa"/>
              <w:bottom w:w="80" w:type="dxa"/>
              <w:right w:w="100" w:type="dxa"/>
            </w:tcMar>
          </w:tcPr>
          <w:p w14:paraId="24AC2554" w14:textId="77777777" w:rsidR="00B524A9" w:rsidRDefault="00000000">
            <w:r>
              <w:rPr>
                <w:sz w:val="20"/>
                <w:szCs w:val="20"/>
              </w:rPr>
              <w:t>≤ 20%</w:t>
            </w:r>
          </w:p>
        </w:tc>
        <w:tc>
          <w:tcPr>
            <w:tcW w:w="1826" w:type="dxa"/>
            <w:tcBorders>
              <w:top w:val="single" w:sz="4" w:space="0" w:color="AAAAAA"/>
              <w:bottom w:val="single" w:sz="4" w:space="0" w:color="AAAAAA"/>
            </w:tcBorders>
            <w:shd w:val="clear" w:color="auto" w:fill="F5F5F5"/>
            <w:tcMar>
              <w:top w:w="80" w:type="dxa"/>
              <w:left w:w="100" w:type="dxa"/>
              <w:bottom w:w="80" w:type="dxa"/>
              <w:right w:w="100" w:type="dxa"/>
            </w:tcMar>
          </w:tcPr>
          <w:p w14:paraId="7B20BE6F" w14:textId="4B07931C" w:rsidR="00B524A9" w:rsidRDefault="001161D0">
            <m:oMathPara>
              <m:oMath>
                <m:r>
                  <w:rPr>
                    <w:rFonts w:ascii="Cambria Math" w:hAnsi="Cambria Math"/>
                    <w:sz w:val="20"/>
                    <w:szCs w:val="20"/>
                  </w:rPr>
                  <m:t>Σ|real-pred| / Σreal × 100</m:t>
                </m:r>
              </m:oMath>
            </m:oMathPara>
          </w:p>
        </w:tc>
      </w:tr>
      <w:tr w:rsidR="00B524A9" w14:paraId="2C040327" w14:textId="77777777">
        <w:tblPrEx>
          <w:tblCellMar>
            <w:top w:w="0" w:type="dxa"/>
            <w:bottom w:w="0" w:type="dxa"/>
          </w:tblCellMar>
        </w:tblPrEx>
        <w:tc>
          <w:tcPr>
            <w:tcW w:w="2400" w:type="dxa"/>
            <w:tcBorders>
              <w:top w:val="single" w:sz="4" w:space="0" w:color="AAAAAA"/>
              <w:bottom w:val="single" w:sz="4" w:space="0" w:color="AAAAAA"/>
            </w:tcBorders>
            <w:shd w:val="clear" w:color="auto" w:fill="FFFFFF"/>
            <w:tcMar>
              <w:top w:w="80" w:type="dxa"/>
              <w:left w:w="100" w:type="dxa"/>
              <w:bottom w:w="80" w:type="dxa"/>
              <w:right w:w="100" w:type="dxa"/>
            </w:tcMar>
          </w:tcPr>
          <w:p w14:paraId="76BDEB45" w14:textId="77777777" w:rsidR="00B524A9" w:rsidRDefault="00000000">
            <w:r>
              <w:rPr>
                <w:b/>
                <w:bCs/>
                <w:sz w:val="20"/>
                <w:szCs w:val="20"/>
              </w:rPr>
              <w:t>MAE — Error absoluto medio (unidades)</w:t>
            </w:r>
          </w:p>
        </w:tc>
        <w:tc>
          <w:tcPr>
            <w:tcW w:w="1600" w:type="dxa"/>
            <w:tcBorders>
              <w:top w:val="single" w:sz="4" w:space="0" w:color="AAAAAA"/>
              <w:bottom w:val="single" w:sz="4" w:space="0" w:color="AAAAAA"/>
            </w:tcBorders>
            <w:shd w:val="clear" w:color="auto" w:fill="FFFFFF"/>
            <w:tcMar>
              <w:top w:w="80" w:type="dxa"/>
              <w:left w:w="100" w:type="dxa"/>
              <w:bottom w:w="80" w:type="dxa"/>
              <w:right w:w="100" w:type="dxa"/>
            </w:tcMar>
          </w:tcPr>
          <w:p w14:paraId="6EF7BBE3" w14:textId="77777777" w:rsidR="00B524A9" w:rsidRDefault="00000000">
            <w:r>
              <w:rPr>
                <w:sz w:val="20"/>
                <w:szCs w:val="20"/>
              </w:rPr>
              <w:t>Sin medir</w:t>
            </w:r>
          </w:p>
        </w:tc>
        <w:tc>
          <w:tcPr>
            <w:tcW w:w="1600" w:type="dxa"/>
            <w:tcBorders>
              <w:top w:val="single" w:sz="4" w:space="0" w:color="AAAAAA"/>
              <w:bottom w:val="single" w:sz="4" w:space="0" w:color="AAAAAA"/>
            </w:tcBorders>
            <w:shd w:val="clear" w:color="auto" w:fill="FFFFFF"/>
            <w:tcMar>
              <w:top w:w="80" w:type="dxa"/>
              <w:left w:w="100" w:type="dxa"/>
              <w:bottom w:w="80" w:type="dxa"/>
              <w:right w:w="100" w:type="dxa"/>
            </w:tcMar>
          </w:tcPr>
          <w:p w14:paraId="30EFDD31" w14:textId="77777777" w:rsidR="00B524A9" w:rsidRDefault="00000000">
            <w:r>
              <w:rPr>
                <w:sz w:val="20"/>
                <w:szCs w:val="20"/>
              </w:rPr>
              <w:t xml:space="preserve">&lt; 50 </w:t>
            </w:r>
            <w:proofErr w:type="spellStart"/>
            <w:r>
              <w:rPr>
                <w:sz w:val="20"/>
                <w:szCs w:val="20"/>
              </w:rPr>
              <w:t>und</w:t>
            </w:r>
            <w:proofErr w:type="spellEnd"/>
            <w:r>
              <w:rPr>
                <w:sz w:val="20"/>
                <w:szCs w:val="20"/>
              </w:rPr>
              <w:t>/mes</w:t>
            </w:r>
          </w:p>
        </w:tc>
        <w:tc>
          <w:tcPr>
            <w:tcW w:w="1600" w:type="dxa"/>
            <w:tcBorders>
              <w:top w:val="single" w:sz="4" w:space="0" w:color="AAAAAA"/>
              <w:bottom w:val="single" w:sz="4" w:space="0" w:color="AAAAAA"/>
            </w:tcBorders>
            <w:shd w:val="clear" w:color="auto" w:fill="FFFFFF"/>
            <w:tcMar>
              <w:top w:w="80" w:type="dxa"/>
              <w:left w:w="100" w:type="dxa"/>
              <w:bottom w:w="80" w:type="dxa"/>
              <w:right w:w="100" w:type="dxa"/>
            </w:tcMar>
          </w:tcPr>
          <w:p w14:paraId="7D055FAA" w14:textId="77777777" w:rsidR="00B524A9" w:rsidRDefault="00000000">
            <w:r>
              <w:rPr>
                <w:sz w:val="20"/>
                <w:szCs w:val="20"/>
              </w:rPr>
              <w:t xml:space="preserve">&lt; 30 </w:t>
            </w:r>
            <w:proofErr w:type="spellStart"/>
            <w:r>
              <w:rPr>
                <w:sz w:val="20"/>
                <w:szCs w:val="20"/>
              </w:rPr>
              <w:t>und</w:t>
            </w:r>
            <w:proofErr w:type="spellEnd"/>
            <w:r>
              <w:rPr>
                <w:sz w:val="20"/>
                <w:szCs w:val="20"/>
              </w:rPr>
              <w:t>/mes</w:t>
            </w:r>
          </w:p>
        </w:tc>
        <w:tc>
          <w:tcPr>
            <w:tcW w:w="1826" w:type="dxa"/>
            <w:tcBorders>
              <w:top w:val="single" w:sz="4" w:space="0" w:color="AAAAAA"/>
              <w:bottom w:val="single" w:sz="4" w:space="0" w:color="AAAAAA"/>
            </w:tcBorders>
            <w:shd w:val="clear" w:color="auto" w:fill="FFFFFF"/>
            <w:tcMar>
              <w:top w:w="80" w:type="dxa"/>
              <w:left w:w="100" w:type="dxa"/>
              <w:bottom w:w="80" w:type="dxa"/>
              <w:right w:w="100" w:type="dxa"/>
            </w:tcMar>
          </w:tcPr>
          <w:p w14:paraId="5233E5CE" w14:textId="283203BA" w:rsidR="00B524A9" w:rsidRDefault="001161D0">
            <m:oMathPara>
              <m:oMath>
                <m:r>
                  <w:rPr>
                    <w:rFonts w:ascii="Cambria Math" w:hAnsi="Cambria Math"/>
                    <w:sz w:val="20"/>
                    <w:szCs w:val="20"/>
                  </w:rPr>
                  <m:t>Σ|real-pred| / n</m:t>
                </m:r>
              </m:oMath>
            </m:oMathPara>
          </w:p>
        </w:tc>
      </w:tr>
      <w:tr w:rsidR="00B524A9" w14:paraId="60819EA7" w14:textId="77777777">
        <w:tblPrEx>
          <w:tblCellMar>
            <w:top w:w="0" w:type="dxa"/>
            <w:bottom w:w="0" w:type="dxa"/>
          </w:tblCellMar>
        </w:tblPrEx>
        <w:tc>
          <w:tcPr>
            <w:tcW w:w="2400" w:type="dxa"/>
            <w:tcBorders>
              <w:top w:val="single" w:sz="4" w:space="0" w:color="AAAAAA"/>
              <w:bottom w:val="single" w:sz="4" w:space="0" w:color="AAAAAA"/>
            </w:tcBorders>
            <w:shd w:val="clear" w:color="auto" w:fill="F5F5F5"/>
            <w:tcMar>
              <w:top w:w="80" w:type="dxa"/>
              <w:left w:w="100" w:type="dxa"/>
              <w:bottom w:w="80" w:type="dxa"/>
              <w:right w:w="100" w:type="dxa"/>
            </w:tcMar>
          </w:tcPr>
          <w:p w14:paraId="30F9B78D" w14:textId="77777777" w:rsidR="00B524A9" w:rsidRDefault="00000000">
            <w:r>
              <w:rPr>
                <w:b/>
                <w:bCs/>
                <w:sz w:val="20"/>
                <w:szCs w:val="20"/>
              </w:rPr>
              <w:t xml:space="preserve">Fill </w:t>
            </w:r>
            <w:proofErr w:type="spellStart"/>
            <w:r>
              <w:rPr>
                <w:b/>
                <w:bCs/>
                <w:sz w:val="20"/>
                <w:szCs w:val="20"/>
              </w:rPr>
              <w:t>rate</w:t>
            </w:r>
            <w:proofErr w:type="spellEnd"/>
            <w:r>
              <w:rPr>
                <w:b/>
                <w:bCs/>
                <w:sz w:val="20"/>
                <w:szCs w:val="20"/>
              </w:rPr>
              <w:t xml:space="preserve"> simulado (% pedidos sin quiebre)</w:t>
            </w:r>
          </w:p>
        </w:tc>
        <w:tc>
          <w:tcPr>
            <w:tcW w:w="1600" w:type="dxa"/>
            <w:tcBorders>
              <w:top w:val="single" w:sz="4" w:space="0" w:color="AAAAAA"/>
              <w:bottom w:val="single" w:sz="4" w:space="0" w:color="AAAAAA"/>
            </w:tcBorders>
            <w:shd w:val="clear" w:color="auto" w:fill="F5F5F5"/>
            <w:tcMar>
              <w:top w:w="80" w:type="dxa"/>
              <w:left w:w="100" w:type="dxa"/>
              <w:bottom w:w="80" w:type="dxa"/>
              <w:right w:w="100" w:type="dxa"/>
            </w:tcMar>
          </w:tcPr>
          <w:p w14:paraId="77036187" w14:textId="77777777" w:rsidR="00B524A9" w:rsidRDefault="00000000">
            <w:r>
              <w:rPr>
                <w:sz w:val="20"/>
                <w:szCs w:val="20"/>
              </w:rPr>
              <w:t>Sin registro</w:t>
            </w:r>
          </w:p>
        </w:tc>
        <w:tc>
          <w:tcPr>
            <w:tcW w:w="1600" w:type="dxa"/>
            <w:tcBorders>
              <w:top w:val="single" w:sz="4" w:space="0" w:color="AAAAAA"/>
              <w:bottom w:val="single" w:sz="4" w:space="0" w:color="AAAAAA"/>
            </w:tcBorders>
            <w:shd w:val="clear" w:color="auto" w:fill="F5F5F5"/>
            <w:tcMar>
              <w:top w:w="80" w:type="dxa"/>
              <w:left w:w="100" w:type="dxa"/>
              <w:bottom w:w="80" w:type="dxa"/>
              <w:right w:w="100" w:type="dxa"/>
            </w:tcMar>
          </w:tcPr>
          <w:p w14:paraId="57C178EB" w14:textId="77777777" w:rsidR="00B524A9" w:rsidRDefault="00000000">
            <w:r>
              <w:rPr>
                <w:sz w:val="20"/>
                <w:szCs w:val="20"/>
              </w:rPr>
              <w:t>≥ 85%</w:t>
            </w:r>
          </w:p>
        </w:tc>
        <w:tc>
          <w:tcPr>
            <w:tcW w:w="1600" w:type="dxa"/>
            <w:tcBorders>
              <w:top w:val="single" w:sz="4" w:space="0" w:color="AAAAAA"/>
              <w:bottom w:val="single" w:sz="4" w:space="0" w:color="AAAAAA"/>
            </w:tcBorders>
            <w:shd w:val="clear" w:color="auto" w:fill="F5F5F5"/>
            <w:tcMar>
              <w:top w:w="80" w:type="dxa"/>
              <w:left w:w="100" w:type="dxa"/>
              <w:bottom w:w="80" w:type="dxa"/>
              <w:right w:w="100" w:type="dxa"/>
            </w:tcMar>
          </w:tcPr>
          <w:p w14:paraId="3448B965" w14:textId="77777777" w:rsidR="00B524A9" w:rsidRDefault="00000000">
            <w:r>
              <w:rPr>
                <w:sz w:val="20"/>
                <w:szCs w:val="20"/>
              </w:rPr>
              <w:t>≥ 92%</w:t>
            </w:r>
          </w:p>
        </w:tc>
        <w:tc>
          <w:tcPr>
            <w:tcW w:w="1826" w:type="dxa"/>
            <w:tcBorders>
              <w:top w:val="single" w:sz="4" w:space="0" w:color="AAAAAA"/>
              <w:bottom w:val="single" w:sz="4" w:space="0" w:color="AAAAAA"/>
            </w:tcBorders>
            <w:shd w:val="clear" w:color="auto" w:fill="F5F5F5"/>
            <w:tcMar>
              <w:top w:w="80" w:type="dxa"/>
              <w:left w:w="100" w:type="dxa"/>
              <w:bottom w:w="80" w:type="dxa"/>
              <w:right w:w="100" w:type="dxa"/>
            </w:tcMar>
          </w:tcPr>
          <w:p w14:paraId="64FD325A" w14:textId="77777777" w:rsidR="00B524A9" w:rsidRDefault="00000000">
            <w:r>
              <w:rPr>
                <w:sz w:val="20"/>
                <w:szCs w:val="20"/>
              </w:rPr>
              <w:t>Pedidos cubiertos / total pedidos</w:t>
            </w:r>
          </w:p>
        </w:tc>
      </w:tr>
      <w:tr w:rsidR="00B524A9" w14:paraId="673A575E" w14:textId="77777777">
        <w:tblPrEx>
          <w:tblCellMar>
            <w:top w:w="0" w:type="dxa"/>
            <w:bottom w:w="0" w:type="dxa"/>
          </w:tblCellMar>
        </w:tblPrEx>
        <w:tc>
          <w:tcPr>
            <w:tcW w:w="2400" w:type="dxa"/>
            <w:tcBorders>
              <w:top w:val="single" w:sz="4" w:space="0" w:color="AAAAAA"/>
              <w:bottom w:val="single" w:sz="4" w:space="0" w:color="AAAAAA"/>
            </w:tcBorders>
            <w:shd w:val="clear" w:color="auto" w:fill="FFFFFF"/>
            <w:tcMar>
              <w:top w:w="80" w:type="dxa"/>
              <w:left w:w="100" w:type="dxa"/>
              <w:bottom w:w="80" w:type="dxa"/>
              <w:right w:w="100" w:type="dxa"/>
            </w:tcMar>
          </w:tcPr>
          <w:p w14:paraId="67B06573" w14:textId="77777777" w:rsidR="00B524A9" w:rsidRDefault="00000000">
            <w:r>
              <w:rPr>
                <w:b/>
                <w:bCs/>
                <w:sz w:val="20"/>
                <w:szCs w:val="20"/>
              </w:rPr>
              <w:t xml:space="preserve">Reducción capital inmovilizado en </w:t>
            </w:r>
            <w:proofErr w:type="spellStart"/>
            <w:r>
              <w:rPr>
                <w:b/>
                <w:bCs/>
                <w:sz w:val="20"/>
                <w:szCs w:val="20"/>
              </w:rPr>
              <w:t>sobrestock</w:t>
            </w:r>
            <w:proofErr w:type="spellEnd"/>
          </w:p>
        </w:tc>
        <w:tc>
          <w:tcPr>
            <w:tcW w:w="1600" w:type="dxa"/>
            <w:tcBorders>
              <w:top w:val="single" w:sz="4" w:space="0" w:color="AAAAAA"/>
              <w:bottom w:val="single" w:sz="4" w:space="0" w:color="AAAAAA"/>
            </w:tcBorders>
            <w:shd w:val="clear" w:color="auto" w:fill="FFFFFF"/>
            <w:tcMar>
              <w:top w:w="80" w:type="dxa"/>
              <w:left w:w="100" w:type="dxa"/>
              <w:bottom w:w="80" w:type="dxa"/>
              <w:right w:w="100" w:type="dxa"/>
            </w:tcMar>
          </w:tcPr>
          <w:p w14:paraId="7530E57C" w14:textId="77777777" w:rsidR="00B524A9" w:rsidRDefault="00000000">
            <w:r>
              <w:rPr>
                <w:sz w:val="20"/>
                <w:szCs w:val="20"/>
              </w:rPr>
              <w:t>Sin cuantificar</w:t>
            </w:r>
          </w:p>
        </w:tc>
        <w:tc>
          <w:tcPr>
            <w:tcW w:w="1600" w:type="dxa"/>
            <w:tcBorders>
              <w:top w:val="single" w:sz="4" w:space="0" w:color="AAAAAA"/>
              <w:bottom w:val="single" w:sz="4" w:space="0" w:color="AAAAAA"/>
            </w:tcBorders>
            <w:shd w:val="clear" w:color="auto" w:fill="FFFFFF"/>
            <w:tcMar>
              <w:top w:w="80" w:type="dxa"/>
              <w:left w:w="100" w:type="dxa"/>
              <w:bottom w:w="80" w:type="dxa"/>
              <w:right w:w="100" w:type="dxa"/>
            </w:tcMar>
          </w:tcPr>
          <w:p w14:paraId="6FE0B7C9" w14:textId="77777777" w:rsidR="00B524A9" w:rsidRDefault="00000000">
            <w:r>
              <w:rPr>
                <w:sz w:val="20"/>
                <w:szCs w:val="20"/>
              </w:rPr>
              <w:t>Estimación simulada</w:t>
            </w:r>
          </w:p>
        </w:tc>
        <w:tc>
          <w:tcPr>
            <w:tcW w:w="1600" w:type="dxa"/>
            <w:tcBorders>
              <w:top w:val="single" w:sz="4" w:space="0" w:color="AAAAAA"/>
              <w:bottom w:val="single" w:sz="4" w:space="0" w:color="AAAAAA"/>
            </w:tcBorders>
            <w:shd w:val="clear" w:color="auto" w:fill="FFFFFF"/>
            <w:tcMar>
              <w:top w:w="80" w:type="dxa"/>
              <w:left w:w="100" w:type="dxa"/>
              <w:bottom w:w="80" w:type="dxa"/>
              <w:right w:w="100" w:type="dxa"/>
            </w:tcMar>
          </w:tcPr>
          <w:p w14:paraId="1AF79009" w14:textId="77777777" w:rsidR="00B524A9" w:rsidRDefault="00000000">
            <w:r>
              <w:rPr>
                <w:sz w:val="20"/>
                <w:szCs w:val="20"/>
              </w:rPr>
              <w:t>≥ 15% real</w:t>
            </w:r>
          </w:p>
        </w:tc>
        <w:tc>
          <w:tcPr>
            <w:tcW w:w="1826" w:type="dxa"/>
            <w:tcBorders>
              <w:top w:val="single" w:sz="4" w:space="0" w:color="AAAAAA"/>
              <w:bottom w:val="single" w:sz="4" w:space="0" w:color="AAAAAA"/>
            </w:tcBorders>
            <w:shd w:val="clear" w:color="auto" w:fill="FFFFFF"/>
            <w:tcMar>
              <w:top w:w="80" w:type="dxa"/>
              <w:left w:w="100" w:type="dxa"/>
              <w:bottom w:w="80" w:type="dxa"/>
              <w:right w:w="100" w:type="dxa"/>
            </w:tcMar>
          </w:tcPr>
          <w:p w14:paraId="265D600B" w14:textId="77777777" w:rsidR="00B524A9" w:rsidRDefault="00000000">
            <w:r>
              <w:rPr>
                <w:sz w:val="20"/>
                <w:szCs w:val="20"/>
              </w:rPr>
              <w:t>(Stock actual − Stock óptimo) × Precio unitario</w:t>
            </w:r>
          </w:p>
        </w:tc>
      </w:tr>
    </w:tbl>
    <w:p w14:paraId="44369507" w14:textId="77777777" w:rsidR="00B524A9" w:rsidRDefault="00000000">
      <w:pPr>
        <w:spacing w:before="60" w:after="240" w:line="360" w:lineRule="auto"/>
      </w:pPr>
      <w:r>
        <w:rPr>
          <w:i/>
          <w:iCs/>
          <w:sz w:val="20"/>
          <w:szCs w:val="20"/>
        </w:rPr>
        <w:t xml:space="preserve">Nota. </w:t>
      </w:r>
      <w:r>
        <w:rPr>
          <w:sz w:val="20"/>
          <w:szCs w:val="20"/>
        </w:rPr>
        <w:t xml:space="preserve">WAPE: </w:t>
      </w:r>
      <w:proofErr w:type="spellStart"/>
      <w:r>
        <w:rPr>
          <w:sz w:val="20"/>
          <w:szCs w:val="20"/>
        </w:rPr>
        <w:t>Weighted</w:t>
      </w:r>
      <w:proofErr w:type="spellEnd"/>
      <w:r>
        <w:rPr>
          <w:sz w:val="20"/>
          <w:szCs w:val="20"/>
        </w:rPr>
        <w:t xml:space="preserve"> </w:t>
      </w:r>
      <w:proofErr w:type="spellStart"/>
      <w:r>
        <w:rPr>
          <w:sz w:val="20"/>
          <w:szCs w:val="20"/>
        </w:rPr>
        <w:t>Average</w:t>
      </w:r>
      <w:proofErr w:type="spellEnd"/>
      <w:r>
        <w:rPr>
          <w:sz w:val="20"/>
          <w:szCs w:val="20"/>
        </w:rPr>
        <w:t xml:space="preserve"> </w:t>
      </w:r>
      <w:proofErr w:type="spellStart"/>
      <w:r>
        <w:rPr>
          <w:sz w:val="20"/>
          <w:szCs w:val="20"/>
        </w:rPr>
        <w:t>Percentage</w:t>
      </w:r>
      <w:proofErr w:type="spellEnd"/>
      <w:r>
        <w:rPr>
          <w:sz w:val="20"/>
          <w:szCs w:val="20"/>
        </w:rPr>
        <w:t xml:space="preserve"> Error. MAE: Mean Absolute Error. Umbrales calibrados con base en </w:t>
      </w:r>
      <w:proofErr w:type="spellStart"/>
      <w:r>
        <w:rPr>
          <w:sz w:val="20"/>
          <w:szCs w:val="20"/>
        </w:rPr>
        <w:t>Douaioui</w:t>
      </w:r>
      <w:proofErr w:type="spellEnd"/>
      <w:r>
        <w:rPr>
          <w:sz w:val="20"/>
          <w:szCs w:val="20"/>
        </w:rPr>
        <w:t xml:space="preserve"> et al. (2024) y Fildes et al. (2022).</w:t>
      </w:r>
    </w:p>
    <w:p w14:paraId="7D000C40" w14:textId="77777777" w:rsidR="00B524A9" w:rsidRDefault="00000000">
      <w:pPr>
        <w:spacing w:before="200" w:after="60" w:line="360" w:lineRule="auto"/>
      </w:pPr>
      <w:r>
        <w:rPr>
          <w:b/>
          <w:bCs/>
        </w:rPr>
        <w:t>4.3 Validación de la Solución</w:t>
      </w:r>
    </w:p>
    <w:p w14:paraId="05E2E3DF" w14:textId="7038B055" w:rsidR="00B524A9" w:rsidRDefault="00000000">
      <w:pPr>
        <w:spacing w:after="100" w:line="360" w:lineRule="auto"/>
        <w:ind w:firstLine="720"/>
        <w:jc w:val="both"/>
      </w:pPr>
      <w:r>
        <w:t xml:space="preserve">La validación opera en entorno estrictamente simulado. El procedimiento es el </w:t>
      </w:r>
      <w:proofErr w:type="spellStart"/>
      <w:r>
        <w:t>walk</w:t>
      </w:r>
      <w:proofErr w:type="spellEnd"/>
      <w:r>
        <w:t xml:space="preserve">-forward </w:t>
      </w:r>
      <w:proofErr w:type="spellStart"/>
      <w:r>
        <w:t>validation</w:t>
      </w:r>
      <w:proofErr w:type="spellEnd"/>
      <w:r>
        <w:t xml:space="preserve">: se entrena el modelo con los primeros nueve meses del histórico y se predice el mes diez; se </w:t>
      </w:r>
      <w:proofErr w:type="spellStart"/>
      <w:r>
        <w:t>reentrana</w:t>
      </w:r>
      <w:proofErr w:type="spellEnd"/>
      <w:r>
        <w:t xml:space="preserve"> con los primeros diez meses y se predice el mes once; así hasta cubrir tres meses de prueba. Este procedimiento respeta la dirección causal del tiempo </w:t>
      </w:r>
      <w:r w:rsidR="001161D0">
        <w:t>(</w:t>
      </w:r>
      <w:r>
        <w:t>nunca se usa información futura para predecir el pasado</w:t>
      </w:r>
      <w:r w:rsidR="001161D0">
        <w:t>)</w:t>
      </w:r>
      <w:r>
        <w:t xml:space="preserve"> y produce una estimación conservadora del error real en producción </w:t>
      </w:r>
      <w:r w:rsidR="001161D0">
        <w:t>(</w:t>
      </w:r>
      <w:r>
        <w:t>Petropoulos et al., 2022</w:t>
      </w:r>
      <w:r w:rsidR="001161D0">
        <w:t>)</w:t>
      </w:r>
      <w:r>
        <w:t xml:space="preserve">. Todos los modelos se comparan además contra un </w:t>
      </w:r>
      <w:proofErr w:type="spellStart"/>
      <w:r>
        <w:t>baseline</w:t>
      </w:r>
      <w:proofErr w:type="spellEnd"/>
      <w:r>
        <w:t xml:space="preserve"> </w:t>
      </w:r>
      <w:proofErr w:type="spellStart"/>
      <w:r>
        <w:t>Naïve</w:t>
      </w:r>
      <w:proofErr w:type="spellEnd"/>
      <w:r>
        <w:t xml:space="preserve"> estacional </w:t>
      </w:r>
      <w:r w:rsidR="001161D0">
        <w:t>(</w:t>
      </w:r>
      <w:r>
        <w:t>que predice la demanda del mismo mes del año anterior</w:t>
      </w:r>
      <w:r w:rsidR="001161D0">
        <w:t>)</w:t>
      </w:r>
      <w:r>
        <w:t xml:space="preserve"> para verificar que la IA agrega valor real y no solo ruido.</w:t>
      </w:r>
    </w:p>
    <w:p w14:paraId="6C4C95C9" w14:textId="77777777" w:rsidR="00B524A9" w:rsidRDefault="00000000">
      <w:pPr>
        <w:spacing w:before="200" w:after="60" w:line="360" w:lineRule="auto"/>
      </w:pPr>
      <w:r>
        <w:rPr>
          <w:b/>
          <w:bCs/>
        </w:rPr>
        <w:t>4.4 Viabilidad Técnica y Operativa</w:t>
      </w:r>
    </w:p>
    <w:p w14:paraId="511B2D90" w14:textId="75A96520" w:rsidR="00B524A9" w:rsidRDefault="00000000">
      <w:pPr>
        <w:spacing w:after="100" w:line="360" w:lineRule="auto"/>
        <w:ind w:firstLine="720"/>
        <w:jc w:val="both"/>
      </w:pPr>
      <w:r>
        <w:t xml:space="preserve">Técnicamente, el proyecto es viable con los recursos de una </w:t>
      </w:r>
      <w:proofErr w:type="spellStart"/>
      <w:r>
        <w:t>PyME</w:t>
      </w:r>
      <w:proofErr w:type="spellEnd"/>
      <w:r>
        <w:t xml:space="preserve">. Prophet </w:t>
      </w:r>
      <w:r w:rsidR="001161D0">
        <w:t>(</w:t>
      </w:r>
      <w:r>
        <w:t>Meta AI, licencia MIT</w:t>
      </w:r>
      <w:r w:rsidR="001161D0">
        <w:t>)</w:t>
      </w:r>
      <w:r>
        <w:t xml:space="preserve"> y SARIMA </w:t>
      </w:r>
      <w:r w:rsidR="001161D0">
        <w:t>(</w:t>
      </w:r>
      <w:r>
        <w:t xml:space="preserve">librería </w:t>
      </w:r>
      <w:proofErr w:type="spellStart"/>
      <w:r>
        <w:t>statsmodels</w:t>
      </w:r>
      <w:proofErr w:type="spellEnd"/>
      <w:r>
        <w:t xml:space="preserve"> de Python</w:t>
      </w:r>
      <w:r w:rsidR="001161D0">
        <w:t>)</w:t>
      </w:r>
      <w:r>
        <w:t xml:space="preserve"> corren en un computador de escritorio estándar. El ERP UNO ya exporta balances en formato texto estructurado, como lo demuestra el archivo PROMEDIO_2025. No se necesita infraestructura </w:t>
      </w:r>
      <w:proofErr w:type="spellStart"/>
      <w:r>
        <w:t>cloud</w:t>
      </w:r>
      <w:proofErr w:type="spellEnd"/>
      <w:r>
        <w:t xml:space="preserve"> en Fase 1.</w:t>
      </w:r>
    </w:p>
    <w:p w14:paraId="1AAFDCBC" w14:textId="73D63F3D" w:rsidR="00B524A9" w:rsidRDefault="00000000">
      <w:pPr>
        <w:spacing w:after="100" w:line="360" w:lineRule="auto"/>
        <w:ind w:firstLine="720"/>
        <w:jc w:val="both"/>
      </w:pPr>
      <w:r>
        <w:t xml:space="preserve">En lo operativo, la viabilidad depende de dos condiciones que la empresa ya cumple parcialmente: tener un responsable técnico </w:t>
      </w:r>
      <w:r w:rsidR="001161D0">
        <w:t>(</w:t>
      </w:r>
      <w:r>
        <w:t>un científico de datos externo en Fase 1, con transferencia al equipo interno en Fase 2</w:t>
      </w:r>
      <w:r w:rsidR="001161D0">
        <w:t>)</w:t>
      </w:r>
      <w:r>
        <w:t xml:space="preserve"> y mantener la actualización mensual del histórico de ventas, que el ERP realiza de manera rutinaria. El mayor </w:t>
      </w:r>
      <w:r>
        <w:lastRenderedPageBreak/>
        <w:t xml:space="preserve">riesgo, como señala la Tabla 1, no es tecnológico sino organizacional: la resistencia del equipo logístico a confiar en predicciones automatizadas. La estrategia de mitigación es usar Prophet por su descomposición visual </w:t>
      </w:r>
      <w:r w:rsidR="001161D0">
        <w:t>(</w:t>
      </w:r>
      <w:proofErr w:type="spellStart"/>
      <w:r>
        <w:t>Kaabi</w:t>
      </w:r>
      <w:proofErr w:type="spellEnd"/>
      <w:r>
        <w:t xml:space="preserve"> et al., 2023</w:t>
      </w:r>
      <w:r w:rsidR="001161D0">
        <w:t>)</w:t>
      </w:r>
      <w:r>
        <w:t xml:space="preserve"> y presentar los resultados en unidades físicas mensuales, no en métricas estadísticas abstractas.</w:t>
      </w:r>
    </w:p>
    <w:p w14:paraId="67B3CF98" w14:textId="77777777" w:rsidR="00B524A9" w:rsidRDefault="00B524A9">
      <w:pPr>
        <w:spacing w:line="360" w:lineRule="auto"/>
      </w:pPr>
    </w:p>
    <w:p w14:paraId="782FD601" w14:textId="77777777" w:rsidR="00B524A9" w:rsidRDefault="00000000">
      <w:pPr>
        <w:spacing w:before="240" w:after="120" w:line="360" w:lineRule="auto"/>
        <w:jc w:val="center"/>
      </w:pPr>
      <w:r>
        <w:rPr>
          <w:b/>
          <w:bCs/>
        </w:rPr>
        <w:t>5. Conclusiones y Recomendaciones Estratégicas</w:t>
      </w:r>
    </w:p>
    <w:p w14:paraId="5E31D1C2" w14:textId="02F52F88" w:rsidR="00B524A9" w:rsidRDefault="00000000">
      <w:pPr>
        <w:spacing w:after="100" w:line="360" w:lineRule="auto"/>
        <w:ind w:firstLine="720"/>
        <w:jc w:val="both"/>
      </w:pPr>
      <w:r>
        <w:t xml:space="preserve">Esta propuesta parte de evidencia concreta </w:t>
      </w:r>
      <w:r w:rsidR="001161D0">
        <w:t>(</w:t>
      </w:r>
      <w:r>
        <w:t>el PROMEDIO_2025 muestra stocks en cero y pedidos sugeridos negativos</w:t>
      </w:r>
      <w:r w:rsidR="001161D0">
        <w:t>)</w:t>
      </w:r>
      <w:r>
        <w:t xml:space="preserve"> y llega a una solución viable para una </w:t>
      </w:r>
      <w:proofErr w:type="spellStart"/>
      <w:r>
        <w:t>PyME</w:t>
      </w:r>
      <w:proofErr w:type="spellEnd"/>
      <w:r>
        <w:t xml:space="preserve"> de 56 personas en Manizales. Propongo Prophet como modelo principal no porque sea el más preciso según la literatura, sino porque es el que el jefe logístico puede entender sin formación estadística. Un modelo que el equipo no interpreta no se </w:t>
      </w:r>
      <w:proofErr w:type="gramStart"/>
      <w:r>
        <w:t>usa</w:t>
      </w:r>
      <w:r w:rsidR="001161D0">
        <w:t>.</w:t>
      </w:r>
      <w:r>
        <w:t>.</w:t>
      </w:r>
      <w:proofErr w:type="gramEnd"/>
    </w:p>
    <w:p w14:paraId="3848E0CF" w14:textId="132D24D0" w:rsidR="00B524A9" w:rsidRDefault="00000000">
      <w:pPr>
        <w:spacing w:after="100" w:line="360" w:lineRule="auto"/>
        <w:ind w:firstLine="720"/>
        <w:jc w:val="both"/>
      </w:pPr>
      <w:r>
        <w:t>El análisis ABC como filtro previo es la condición que hace sostenible el proyecto en una empresa sin equipo de datos. Concentrar el modelado en el 20% de referencias que representa el 80% del valor de consumo garantiza que el impacto sea visible desde las primeras semanas. Eso es lo que la gerencia necesita ver para aprobar una Fase 2.</w:t>
      </w:r>
    </w:p>
    <w:p w14:paraId="5EE53D2A" w14:textId="46AD6312" w:rsidR="00B524A9" w:rsidRDefault="00000000">
      <w:pPr>
        <w:spacing w:after="100" w:line="360" w:lineRule="auto"/>
        <w:ind w:firstLine="720"/>
        <w:jc w:val="both"/>
      </w:pPr>
      <w:r>
        <w:t>Dos recomendaciones antes de arrancar. Primera: solicitar en la semana 1 la exportación del histórico extendido del ERP, ya identificada como Escenario B; es la acción de mayor retorno sin costo adicional. Segunda: incorporar el ICCP-DANE como regresor externo en Prophet desde el inicio de la Fase 1</w:t>
      </w:r>
      <w:r w:rsidR="001161D0">
        <w:t>.</w:t>
      </w:r>
    </w:p>
    <w:p w14:paraId="1B68578A" w14:textId="77777777" w:rsidR="00B524A9" w:rsidRDefault="00B524A9">
      <w:pPr>
        <w:spacing w:line="360" w:lineRule="auto"/>
      </w:pPr>
    </w:p>
    <w:p w14:paraId="489FED23" w14:textId="77777777" w:rsidR="001161D0" w:rsidRDefault="001161D0">
      <w:pPr>
        <w:spacing w:before="240" w:after="120" w:line="360" w:lineRule="auto"/>
        <w:jc w:val="center"/>
        <w:rPr>
          <w:b/>
          <w:bCs/>
        </w:rPr>
      </w:pPr>
    </w:p>
    <w:p w14:paraId="08F77B79" w14:textId="77777777" w:rsidR="001161D0" w:rsidRDefault="001161D0">
      <w:pPr>
        <w:spacing w:before="240" w:after="120" w:line="360" w:lineRule="auto"/>
        <w:jc w:val="center"/>
        <w:rPr>
          <w:b/>
          <w:bCs/>
        </w:rPr>
      </w:pPr>
    </w:p>
    <w:p w14:paraId="1D7ABE20" w14:textId="77777777" w:rsidR="001161D0" w:rsidRDefault="001161D0">
      <w:pPr>
        <w:spacing w:before="240" w:after="120" w:line="360" w:lineRule="auto"/>
        <w:jc w:val="center"/>
        <w:rPr>
          <w:b/>
          <w:bCs/>
        </w:rPr>
      </w:pPr>
    </w:p>
    <w:p w14:paraId="0BC8C220" w14:textId="77777777" w:rsidR="001161D0" w:rsidRDefault="001161D0">
      <w:pPr>
        <w:spacing w:before="240" w:after="120" w:line="360" w:lineRule="auto"/>
        <w:jc w:val="center"/>
        <w:rPr>
          <w:b/>
          <w:bCs/>
        </w:rPr>
      </w:pPr>
    </w:p>
    <w:p w14:paraId="3D5440CF" w14:textId="77777777" w:rsidR="001161D0" w:rsidRDefault="001161D0">
      <w:pPr>
        <w:spacing w:before="240" w:after="120" w:line="360" w:lineRule="auto"/>
        <w:jc w:val="center"/>
        <w:rPr>
          <w:b/>
          <w:bCs/>
        </w:rPr>
      </w:pPr>
    </w:p>
    <w:p w14:paraId="0CF31676" w14:textId="2FCBED1D" w:rsidR="00B524A9" w:rsidRDefault="00000000">
      <w:pPr>
        <w:spacing w:before="240" w:after="120" w:line="360" w:lineRule="auto"/>
        <w:jc w:val="center"/>
      </w:pPr>
      <w:r>
        <w:rPr>
          <w:b/>
          <w:bCs/>
        </w:rPr>
        <w:lastRenderedPageBreak/>
        <w:t>Referencias</w:t>
      </w:r>
    </w:p>
    <w:p w14:paraId="64B171B9" w14:textId="77777777" w:rsidR="00B524A9" w:rsidRPr="001161D0" w:rsidRDefault="00000000">
      <w:pPr>
        <w:spacing w:after="40" w:line="252" w:lineRule="auto"/>
        <w:ind w:left="720" w:hanging="720"/>
        <w:jc w:val="both"/>
        <w:rPr>
          <w:sz w:val="18"/>
          <w:szCs w:val="18"/>
        </w:rPr>
      </w:pPr>
      <w:r w:rsidRPr="001161D0">
        <w:rPr>
          <w:sz w:val="18"/>
          <w:szCs w:val="18"/>
        </w:rPr>
        <w:t>Aguilera Martínez, J. (2023). Pronóstico de demanda utilizando inteligencia artificial [Trabajo de grado, Universidad Icesi]. Repositorio ICESI. https://repository.icesi.edu.co/biblioteca_digital/bitstream/10906/87548/1/TG03014.pdf</w:t>
      </w:r>
    </w:p>
    <w:p w14:paraId="0664C3A4" w14:textId="77777777" w:rsidR="00B524A9" w:rsidRPr="001161D0" w:rsidRDefault="00000000">
      <w:pPr>
        <w:spacing w:after="40" w:line="252" w:lineRule="auto"/>
        <w:ind w:left="720" w:hanging="720"/>
        <w:jc w:val="both"/>
        <w:rPr>
          <w:sz w:val="18"/>
          <w:szCs w:val="18"/>
        </w:rPr>
      </w:pPr>
      <w:proofErr w:type="spellStart"/>
      <w:r w:rsidRPr="001161D0">
        <w:rPr>
          <w:sz w:val="18"/>
          <w:szCs w:val="18"/>
        </w:rPr>
        <w:t>Albayrak</w:t>
      </w:r>
      <w:proofErr w:type="spellEnd"/>
      <w:r w:rsidRPr="001161D0">
        <w:rPr>
          <w:sz w:val="18"/>
          <w:szCs w:val="18"/>
        </w:rPr>
        <w:t xml:space="preserve"> Ünal, Ö., Erkayman, B., &amp; </w:t>
      </w:r>
      <w:proofErr w:type="spellStart"/>
      <w:r w:rsidRPr="001161D0">
        <w:rPr>
          <w:sz w:val="18"/>
          <w:szCs w:val="18"/>
        </w:rPr>
        <w:t>Usanmaz</w:t>
      </w:r>
      <w:proofErr w:type="spellEnd"/>
      <w:r w:rsidRPr="001161D0">
        <w:rPr>
          <w:sz w:val="18"/>
          <w:szCs w:val="18"/>
        </w:rPr>
        <w:t xml:space="preserve">, B. (2023). </w:t>
      </w:r>
      <w:proofErr w:type="spellStart"/>
      <w:r w:rsidRPr="001161D0">
        <w:rPr>
          <w:sz w:val="18"/>
          <w:szCs w:val="18"/>
        </w:rPr>
        <w:t>Applications</w:t>
      </w:r>
      <w:proofErr w:type="spellEnd"/>
      <w:r w:rsidRPr="001161D0">
        <w:rPr>
          <w:sz w:val="18"/>
          <w:szCs w:val="18"/>
        </w:rPr>
        <w:t xml:space="preserve"> </w:t>
      </w:r>
      <w:proofErr w:type="spellStart"/>
      <w:r w:rsidRPr="001161D0">
        <w:rPr>
          <w:sz w:val="18"/>
          <w:szCs w:val="18"/>
        </w:rPr>
        <w:t>of</w:t>
      </w:r>
      <w:proofErr w:type="spellEnd"/>
      <w:r w:rsidRPr="001161D0">
        <w:rPr>
          <w:sz w:val="18"/>
          <w:szCs w:val="18"/>
        </w:rPr>
        <w:t xml:space="preserve"> artificial </w:t>
      </w:r>
      <w:proofErr w:type="spellStart"/>
      <w:r w:rsidRPr="001161D0">
        <w:rPr>
          <w:sz w:val="18"/>
          <w:szCs w:val="18"/>
        </w:rPr>
        <w:t>intelligence</w:t>
      </w:r>
      <w:proofErr w:type="spellEnd"/>
      <w:r w:rsidRPr="001161D0">
        <w:rPr>
          <w:sz w:val="18"/>
          <w:szCs w:val="18"/>
        </w:rPr>
        <w:t xml:space="preserve"> in </w:t>
      </w:r>
      <w:proofErr w:type="spellStart"/>
      <w:r w:rsidRPr="001161D0">
        <w:rPr>
          <w:sz w:val="18"/>
          <w:szCs w:val="18"/>
        </w:rPr>
        <w:t>inventory</w:t>
      </w:r>
      <w:proofErr w:type="spellEnd"/>
      <w:r w:rsidRPr="001161D0">
        <w:rPr>
          <w:sz w:val="18"/>
          <w:szCs w:val="18"/>
        </w:rPr>
        <w:t xml:space="preserve"> </w:t>
      </w:r>
      <w:proofErr w:type="spellStart"/>
      <w:r w:rsidRPr="001161D0">
        <w:rPr>
          <w:sz w:val="18"/>
          <w:szCs w:val="18"/>
        </w:rPr>
        <w:t>management</w:t>
      </w:r>
      <w:proofErr w:type="spellEnd"/>
      <w:r w:rsidRPr="001161D0">
        <w:rPr>
          <w:sz w:val="18"/>
          <w:szCs w:val="18"/>
        </w:rPr>
        <w:t xml:space="preserve">: A </w:t>
      </w:r>
      <w:proofErr w:type="spellStart"/>
      <w:r w:rsidRPr="001161D0">
        <w:rPr>
          <w:sz w:val="18"/>
          <w:szCs w:val="18"/>
        </w:rPr>
        <w:t>systematic</w:t>
      </w:r>
      <w:proofErr w:type="spellEnd"/>
      <w:r w:rsidRPr="001161D0">
        <w:rPr>
          <w:sz w:val="18"/>
          <w:szCs w:val="18"/>
        </w:rPr>
        <w:t xml:space="preserve"> </w:t>
      </w:r>
      <w:proofErr w:type="spellStart"/>
      <w:r w:rsidRPr="001161D0">
        <w:rPr>
          <w:sz w:val="18"/>
          <w:szCs w:val="18"/>
        </w:rPr>
        <w:t>review</w:t>
      </w:r>
      <w:proofErr w:type="spellEnd"/>
      <w:r w:rsidRPr="001161D0">
        <w:rPr>
          <w:sz w:val="18"/>
          <w:szCs w:val="18"/>
        </w:rPr>
        <w:t xml:space="preserve"> </w:t>
      </w:r>
      <w:proofErr w:type="spellStart"/>
      <w:r w:rsidRPr="001161D0">
        <w:rPr>
          <w:sz w:val="18"/>
          <w:szCs w:val="18"/>
        </w:rPr>
        <w:t>of</w:t>
      </w:r>
      <w:proofErr w:type="spellEnd"/>
      <w:r w:rsidRPr="001161D0">
        <w:rPr>
          <w:sz w:val="18"/>
          <w:szCs w:val="18"/>
        </w:rPr>
        <w:t xml:space="preserve"> </w:t>
      </w:r>
      <w:proofErr w:type="spellStart"/>
      <w:r w:rsidRPr="001161D0">
        <w:rPr>
          <w:sz w:val="18"/>
          <w:szCs w:val="18"/>
        </w:rPr>
        <w:t>the</w:t>
      </w:r>
      <w:proofErr w:type="spellEnd"/>
      <w:r w:rsidRPr="001161D0">
        <w:rPr>
          <w:sz w:val="18"/>
          <w:szCs w:val="18"/>
        </w:rPr>
        <w:t xml:space="preserve"> </w:t>
      </w:r>
      <w:proofErr w:type="spellStart"/>
      <w:r w:rsidRPr="001161D0">
        <w:rPr>
          <w:sz w:val="18"/>
          <w:szCs w:val="18"/>
        </w:rPr>
        <w:t>literature</w:t>
      </w:r>
      <w:proofErr w:type="spellEnd"/>
      <w:r w:rsidRPr="001161D0">
        <w:rPr>
          <w:sz w:val="18"/>
          <w:szCs w:val="18"/>
        </w:rPr>
        <w:t xml:space="preserve">. Archives </w:t>
      </w:r>
      <w:proofErr w:type="spellStart"/>
      <w:r w:rsidRPr="001161D0">
        <w:rPr>
          <w:sz w:val="18"/>
          <w:szCs w:val="18"/>
        </w:rPr>
        <w:t>of</w:t>
      </w:r>
      <w:proofErr w:type="spellEnd"/>
      <w:r w:rsidRPr="001161D0">
        <w:rPr>
          <w:sz w:val="18"/>
          <w:szCs w:val="18"/>
        </w:rPr>
        <w:t xml:space="preserve"> </w:t>
      </w:r>
      <w:proofErr w:type="spellStart"/>
      <w:r w:rsidRPr="001161D0">
        <w:rPr>
          <w:sz w:val="18"/>
          <w:szCs w:val="18"/>
        </w:rPr>
        <w:t>Computational</w:t>
      </w:r>
      <w:proofErr w:type="spellEnd"/>
      <w:r w:rsidRPr="001161D0">
        <w:rPr>
          <w:sz w:val="18"/>
          <w:szCs w:val="18"/>
        </w:rPr>
        <w:t xml:space="preserve"> </w:t>
      </w:r>
      <w:proofErr w:type="spellStart"/>
      <w:r w:rsidRPr="001161D0">
        <w:rPr>
          <w:sz w:val="18"/>
          <w:szCs w:val="18"/>
        </w:rPr>
        <w:t>Methods</w:t>
      </w:r>
      <w:proofErr w:type="spellEnd"/>
      <w:r w:rsidRPr="001161D0">
        <w:rPr>
          <w:sz w:val="18"/>
          <w:szCs w:val="18"/>
        </w:rPr>
        <w:t xml:space="preserve"> in </w:t>
      </w:r>
      <w:proofErr w:type="spellStart"/>
      <w:r w:rsidRPr="001161D0">
        <w:rPr>
          <w:sz w:val="18"/>
          <w:szCs w:val="18"/>
        </w:rPr>
        <w:t>Engineering</w:t>
      </w:r>
      <w:proofErr w:type="spellEnd"/>
      <w:r w:rsidRPr="001161D0">
        <w:rPr>
          <w:sz w:val="18"/>
          <w:szCs w:val="18"/>
        </w:rPr>
        <w:t>, 30, 2605–2625. https://doi.org/10.1007/s11831-022-09879-5</w:t>
      </w:r>
    </w:p>
    <w:p w14:paraId="62B2209A" w14:textId="77777777" w:rsidR="00B524A9" w:rsidRPr="001161D0" w:rsidRDefault="00000000">
      <w:pPr>
        <w:spacing w:after="40" w:line="252" w:lineRule="auto"/>
        <w:ind w:left="720" w:hanging="720"/>
        <w:jc w:val="both"/>
        <w:rPr>
          <w:sz w:val="18"/>
          <w:szCs w:val="18"/>
        </w:rPr>
      </w:pPr>
      <w:r w:rsidRPr="001161D0">
        <w:rPr>
          <w:sz w:val="18"/>
          <w:szCs w:val="18"/>
        </w:rPr>
        <w:t xml:space="preserve">Catalán-Navarrete, V., Martínez-Gómez, J., Sánchez-Pérez, E. A., Fernández-Vilas, A., &amp; Díaz-Redondo, R. P. (2024). </w:t>
      </w:r>
      <w:proofErr w:type="spellStart"/>
      <w:r w:rsidRPr="001161D0">
        <w:rPr>
          <w:sz w:val="18"/>
          <w:szCs w:val="18"/>
        </w:rPr>
        <w:t>Prediction</w:t>
      </w:r>
      <w:proofErr w:type="spellEnd"/>
      <w:r w:rsidRPr="001161D0">
        <w:rPr>
          <w:sz w:val="18"/>
          <w:szCs w:val="18"/>
        </w:rPr>
        <w:t xml:space="preserve"> </w:t>
      </w:r>
      <w:proofErr w:type="spellStart"/>
      <w:r w:rsidRPr="001161D0">
        <w:rPr>
          <w:sz w:val="18"/>
          <w:szCs w:val="18"/>
        </w:rPr>
        <w:t>of</w:t>
      </w:r>
      <w:proofErr w:type="spellEnd"/>
      <w:r w:rsidRPr="001161D0">
        <w:rPr>
          <w:sz w:val="18"/>
          <w:szCs w:val="18"/>
        </w:rPr>
        <w:t xml:space="preserve"> </w:t>
      </w:r>
      <w:proofErr w:type="spellStart"/>
      <w:r w:rsidRPr="001161D0">
        <w:rPr>
          <w:sz w:val="18"/>
          <w:szCs w:val="18"/>
        </w:rPr>
        <w:t>footwear</w:t>
      </w:r>
      <w:proofErr w:type="spellEnd"/>
      <w:r w:rsidRPr="001161D0">
        <w:rPr>
          <w:sz w:val="18"/>
          <w:szCs w:val="18"/>
        </w:rPr>
        <w:t xml:space="preserve"> </w:t>
      </w:r>
      <w:proofErr w:type="spellStart"/>
      <w:r w:rsidRPr="001161D0">
        <w:rPr>
          <w:sz w:val="18"/>
          <w:szCs w:val="18"/>
        </w:rPr>
        <w:t>demand</w:t>
      </w:r>
      <w:proofErr w:type="spellEnd"/>
      <w:r w:rsidRPr="001161D0">
        <w:rPr>
          <w:sz w:val="18"/>
          <w:szCs w:val="18"/>
        </w:rPr>
        <w:t xml:space="preserve"> </w:t>
      </w:r>
      <w:proofErr w:type="spellStart"/>
      <w:r w:rsidRPr="001161D0">
        <w:rPr>
          <w:sz w:val="18"/>
          <w:szCs w:val="18"/>
        </w:rPr>
        <w:t>using</w:t>
      </w:r>
      <w:proofErr w:type="spellEnd"/>
      <w:r w:rsidRPr="001161D0">
        <w:rPr>
          <w:sz w:val="18"/>
          <w:szCs w:val="18"/>
        </w:rPr>
        <w:t xml:space="preserve"> Prophet and SARIMA. Expert </w:t>
      </w:r>
      <w:proofErr w:type="spellStart"/>
      <w:r w:rsidRPr="001161D0">
        <w:rPr>
          <w:sz w:val="18"/>
          <w:szCs w:val="18"/>
        </w:rPr>
        <w:t>Systems</w:t>
      </w:r>
      <w:proofErr w:type="spellEnd"/>
      <w:r w:rsidRPr="001161D0">
        <w:rPr>
          <w:sz w:val="18"/>
          <w:szCs w:val="18"/>
        </w:rPr>
        <w:t xml:space="preserve"> </w:t>
      </w:r>
      <w:proofErr w:type="spellStart"/>
      <w:r w:rsidRPr="001161D0">
        <w:rPr>
          <w:sz w:val="18"/>
          <w:szCs w:val="18"/>
        </w:rPr>
        <w:t>with</w:t>
      </w:r>
      <w:proofErr w:type="spellEnd"/>
      <w:r w:rsidRPr="001161D0">
        <w:rPr>
          <w:sz w:val="18"/>
          <w:szCs w:val="18"/>
        </w:rPr>
        <w:t xml:space="preserve"> </w:t>
      </w:r>
      <w:proofErr w:type="spellStart"/>
      <w:r w:rsidRPr="001161D0">
        <w:rPr>
          <w:sz w:val="18"/>
          <w:szCs w:val="18"/>
        </w:rPr>
        <w:t>Applications</w:t>
      </w:r>
      <w:proofErr w:type="spellEnd"/>
      <w:r w:rsidRPr="001161D0">
        <w:rPr>
          <w:sz w:val="18"/>
          <w:szCs w:val="18"/>
        </w:rPr>
        <w:t>, 253, 124408. https://doi.org/10.1016/j.eswa.2024.124408</w:t>
      </w:r>
    </w:p>
    <w:p w14:paraId="66998C5C" w14:textId="77777777" w:rsidR="00B524A9" w:rsidRPr="001161D0" w:rsidRDefault="00000000">
      <w:pPr>
        <w:spacing w:after="40" w:line="252" w:lineRule="auto"/>
        <w:ind w:left="720" w:hanging="720"/>
        <w:jc w:val="both"/>
        <w:rPr>
          <w:sz w:val="18"/>
          <w:szCs w:val="18"/>
        </w:rPr>
      </w:pPr>
      <w:r w:rsidRPr="001161D0">
        <w:rPr>
          <w:sz w:val="18"/>
          <w:szCs w:val="18"/>
        </w:rPr>
        <w:t xml:space="preserve">Chaturvedi, S., Rajasekar, E., Natarajan, S., &amp; McCullen, N. (2022). A comparative </w:t>
      </w:r>
      <w:proofErr w:type="spellStart"/>
      <w:r w:rsidRPr="001161D0">
        <w:rPr>
          <w:sz w:val="18"/>
          <w:szCs w:val="18"/>
        </w:rPr>
        <w:t>assessment</w:t>
      </w:r>
      <w:proofErr w:type="spellEnd"/>
      <w:r w:rsidRPr="001161D0">
        <w:rPr>
          <w:sz w:val="18"/>
          <w:szCs w:val="18"/>
        </w:rPr>
        <w:t xml:space="preserve"> </w:t>
      </w:r>
      <w:proofErr w:type="spellStart"/>
      <w:r w:rsidRPr="001161D0">
        <w:rPr>
          <w:sz w:val="18"/>
          <w:szCs w:val="18"/>
        </w:rPr>
        <w:t>of</w:t>
      </w:r>
      <w:proofErr w:type="spellEnd"/>
      <w:r w:rsidRPr="001161D0">
        <w:rPr>
          <w:sz w:val="18"/>
          <w:szCs w:val="18"/>
        </w:rPr>
        <w:t xml:space="preserve"> SARIMA, LSTM RNN and </w:t>
      </w:r>
      <w:proofErr w:type="spellStart"/>
      <w:r w:rsidRPr="001161D0">
        <w:rPr>
          <w:sz w:val="18"/>
          <w:szCs w:val="18"/>
        </w:rPr>
        <w:t>Fb</w:t>
      </w:r>
      <w:proofErr w:type="spellEnd"/>
      <w:r w:rsidRPr="001161D0">
        <w:rPr>
          <w:sz w:val="18"/>
          <w:szCs w:val="18"/>
        </w:rPr>
        <w:t xml:space="preserve"> Prophet </w:t>
      </w:r>
      <w:proofErr w:type="spellStart"/>
      <w:r w:rsidRPr="001161D0">
        <w:rPr>
          <w:sz w:val="18"/>
          <w:szCs w:val="18"/>
        </w:rPr>
        <w:t>models</w:t>
      </w:r>
      <w:proofErr w:type="spellEnd"/>
      <w:r w:rsidRPr="001161D0">
        <w:rPr>
          <w:sz w:val="18"/>
          <w:szCs w:val="18"/>
        </w:rPr>
        <w:t xml:space="preserve"> </w:t>
      </w:r>
      <w:proofErr w:type="spellStart"/>
      <w:r w:rsidRPr="001161D0">
        <w:rPr>
          <w:sz w:val="18"/>
          <w:szCs w:val="18"/>
        </w:rPr>
        <w:t>to</w:t>
      </w:r>
      <w:proofErr w:type="spellEnd"/>
      <w:r w:rsidRPr="001161D0">
        <w:rPr>
          <w:sz w:val="18"/>
          <w:szCs w:val="18"/>
        </w:rPr>
        <w:t xml:space="preserve"> </w:t>
      </w:r>
      <w:proofErr w:type="spellStart"/>
      <w:r w:rsidRPr="001161D0">
        <w:rPr>
          <w:sz w:val="18"/>
          <w:szCs w:val="18"/>
        </w:rPr>
        <w:t>forecast</w:t>
      </w:r>
      <w:proofErr w:type="spellEnd"/>
      <w:r w:rsidRPr="001161D0">
        <w:rPr>
          <w:sz w:val="18"/>
          <w:szCs w:val="18"/>
        </w:rPr>
        <w:t xml:space="preserve"> total and </w:t>
      </w:r>
      <w:proofErr w:type="spellStart"/>
      <w:r w:rsidRPr="001161D0">
        <w:rPr>
          <w:sz w:val="18"/>
          <w:szCs w:val="18"/>
        </w:rPr>
        <w:t>peak</w:t>
      </w:r>
      <w:proofErr w:type="spellEnd"/>
      <w:r w:rsidRPr="001161D0">
        <w:rPr>
          <w:sz w:val="18"/>
          <w:szCs w:val="18"/>
        </w:rPr>
        <w:t xml:space="preserve"> </w:t>
      </w:r>
      <w:proofErr w:type="spellStart"/>
      <w:r w:rsidRPr="001161D0">
        <w:rPr>
          <w:sz w:val="18"/>
          <w:szCs w:val="18"/>
        </w:rPr>
        <w:t>monthly</w:t>
      </w:r>
      <w:proofErr w:type="spellEnd"/>
      <w:r w:rsidRPr="001161D0">
        <w:rPr>
          <w:sz w:val="18"/>
          <w:szCs w:val="18"/>
        </w:rPr>
        <w:t xml:space="preserve"> </w:t>
      </w:r>
      <w:proofErr w:type="spellStart"/>
      <w:r w:rsidRPr="001161D0">
        <w:rPr>
          <w:sz w:val="18"/>
          <w:szCs w:val="18"/>
        </w:rPr>
        <w:t>energy</w:t>
      </w:r>
      <w:proofErr w:type="spellEnd"/>
      <w:r w:rsidRPr="001161D0">
        <w:rPr>
          <w:sz w:val="18"/>
          <w:szCs w:val="18"/>
        </w:rPr>
        <w:t xml:space="preserve"> </w:t>
      </w:r>
      <w:proofErr w:type="spellStart"/>
      <w:r w:rsidRPr="001161D0">
        <w:rPr>
          <w:sz w:val="18"/>
          <w:szCs w:val="18"/>
        </w:rPr>
        <w:t>demand</w:t>
      </w:r>
      <w:proofErr w:type="spellEnd"/>
      <w:r w:rsidRPr="001161D0">
        <w:rPr>
          <w:sz w:val="18"/>
          <w:szCs w:val="18"/>
        </w:rPr>
        <w:t xml:space="preserve"> </w:t>
      </w:r>
      <w:proofErr w:type="spellStart"/>
      <w:r w:rsidRPr="001161D0">
        <w:rPr>
          <w:sz w:val="18"/>
          <w:szCs w:val="18"/>
        </w:rPr>
        <w:t>for</w:t>
      </w:r>
      <w:proofErr w:type="spellEnd"/>
      <w:r w:rsidRPr="001161D0">
        <w:rPr>
          <w:sz w:val="18"/>
          <w:szCs w:val="18"/>
        </w:rPr>
        <w:t xml:space="preserve"> India. Energy Policy, 168, 113097. https://doi.org/10.1016/j.enpol.2022.113097</w:t>
      </w:r>
    </w:p>
    <w:p w14:paraId="2BAA8C26" w14:textId="77777777" w:rsidR="00B524A9" w:rsidRPr="001161D0" w:rsidRDefault="00000000">
      <w:pPr>
        <w:spacing w:after="40" w:line="252" w:lineRule="auto"/>
        <w:ind w:left="720" w:hanging="720"/>
        <w:jc w:val="both"/>
        <w:rPr>
          <w:sz w:val="18"/>
          <w:szCs w:val="18"/>
        </w:rPr>
      </w:pPr>
      <w:r w:rsidRPr="001161D0">
        <w:rPr>
          <w:sz w:val="18"/>
          <w:szCs w:val="18"/>
        </w:rPr>
        <w:t xml:space="preserve">Douaioui, K., </w:t>
      </w:r>
      <w:proofErr w:type="spellStart"/>
      <w:r w:rsidRPr="001161D0">
        <w:rPr>
          <w:sz w:val="18"/>
          <w:szCs w:val="18"/>
        </w:rPr>
        <w:t>Oucheikh</w:t>
      </w:r>
      <w:proofErr w:type="spellEnd"/>
      <w:r w:rsidRPr="001161D0">
        <w:rPr>
          <w:sz w:val="18"/>
          <w:szCs w:val="18"/>
        </w:rPr>
        <w:t xml:space="preserve">, R., Benmoussa, O., &amp; Mabrouki, C. (2024). Machine </w:t>
      </w:r>
      <w:proofErr w:type="spellStart"/>
      <w:r w:rsidRPr="001161D0">
        <w:rPr>
          <w:sz w:val="18"/>
          <w:szCs w:val="18"/>
        </w:rPr>
        <w:t>learning</w:t>
      </w:r>
      <w:proofErr w:type="spellEnd"/>
      <w:r w:rsidRPr="001161D0">
        <w:rPr>
          <w:sz w:val="18"/>
          <w:szCs w:val="18"/>
        </w:rPr>
        <w:t xml:space="preserve"> and </w:t>
      </w:r>
      <w:proofErr w:type="spellStart"/>
      <w:r w:rsidRPr="001161D0">
        <w:rPr>
          <w:sz w:val="18"/>
          <w:szCs w:val="18"/>
        </w:rPr>
        <w:t>deep</w:t>
      </w:r>
      <w:proofErr w:type="spellEnd"/>
      <w:r w:rsidRPr="001161D0">
        <w:rPr>
          <w:sz w:val="18"/>
          <w:szCs w:val="18"/>
        </w:rPr>
        <w:t xml:space="preserve"> </w:t>
      </w:r>
      <w:proofErr w:type="spellStart"/>
      <w:r w:rsidRPr="001161D0">
        <w:rPr>
          <w:sz w:val="18"/>
          <w:szCs w:val="18"/>
        </w:rPr>
        <w:t>learning</w:t>
      </w:r>
      <w:proofErr w:type="spellEnd"/>
      <w:r w:rsidRPr="001161D0">
        <w:rPr>
          <w:sz w:val="18"/>
          <w:szCs w:val="18"/>
        </w:rPr>
        <w:t xml:space="preserve"> </w:t>
      </w:r>
      <w:proofErr w:type="spellStart"/>
      <w:r w:rsidRPr="001161D0">
        <w:rPr>
          <w:sz w:val="18"/>
          <w:szCs w:val="18"/>
        </w:rPr>
        <w:t>models</w:t>
      </w:r>
      <w:proofErr w:type="spellEnd"/>
      <w:r w:rsidRPr="001161D0">
        <w:rPr>
          <w:sz w:val="18"/>
          <w:szCs w:val="18"/>
        </w:rPr>
        <w:t xml:space="preserve"> </w:t>
      </w:r>
      <w:proofErr w:type="spellStart"/>
      <w:r w:rsidRPr="001161D0">
        <w:rPr>
          <w:sz w:val="18"/>
          <w:szCs w:val="18"/>
        </w:rPr>
        <w:t>for</w:t>
      </w:r>
      <w:proofErr w:type="spellEnd"/>
      <w:r w:rsidRPr="001161D0">
        <w:rPr>
          <w:sz w:val="18"/>
          <w:szCs w:val="18"/>
        </w:rPr>
        <w:t xml:space="preserve"> </w:t>
      </w:r>
      <w:proofErr w:type="spellStart"/>
      <w:r w:rsidRPr="001161D0">
        <w:rPr>
          <w:sz w:val="18"/>
          <w:szCs w:val="18"/>
        </w:rPr>
        <w:t>demand</w:t>
      </w:r>
      <w:proofErr w:type="spellEnd"/>
      <w:r w:rsidRPr="001161D0">
        <w:rPr>
          <w:sz w:val="18"/>
          <w:szCs w:val="18"/>
        </w:rPr>
        <w:t xml:space="preserve"> </w:t>
      </w:r>
      <w:proofErr w:type="spellStart"/>
      <w:r w:rsidRPr="001161D0">
        <w:rPr>
          <w:sz w:val="18"/>
          <w:szCs w:val="18"/>
        </w:rPr>
        <w:t>forecasting</w:t>
      </w:r>
      <w:proofErr w:type="spellEnd"/>
      <w:r w:rsidRPr="001161D0">
        <w:rPr>
          <w:sz w:val="18"/>
          <w:szCs w:val="18"/>
        </w:rPr>
        <w:t xml:space="preserve"> in </w:t>
      </w:r>
      <w:proofErr w:type="spellStart"/>
      <w:r w:rsidRPr="001161D0">
        <w:rPr>
          <w:sz w:val="18"/>
          <w:szCs w:val="18"/>
        </w:rPr>
        <w:t>supply</w:t>
      </w:r>
      <w:proofErr w:type="spellEnd"/>
      <w:r w:rsidRPr="001161D0">
        <w:rPr>
          <w:sz w:val="18"/>
          <w:szCs w:val="18"/>
        </w:rPr>
        <w:t xml:space="preserve"> </w:t>
      </w:r>
      <w:proofErr w:type="spellStart"/>
      <w:r w:rsidRPr="001161D0">
        <w:rPr>
          <w:sz w:val="18"/>
          <w:szCs w:val="18"/>
        </w:rPr>
        <w:t>chain</w:t>
      </w:r>
      <w:proofErr w:type="spellEnd"/>
      <w:r w:rsidRPr="001161D0">
        <w:rPr>
          <w:sz w:val="18"/>
          <w:szCs w:val="18"/>
        </w:rPr>
        <w:t xml:space="preserve"> </w:t>
      </w:r>
      <w:proofErr w:type="spellStart"/>
      <w:r w:rsidRPr="001161D0">
        <w:rPr>
          <w:sz w:val="18"/>
          <w:szCs w:val="18"/>
        </w:rPr>
        <w:t>management</w:t>
      </w:r>
      <w:proofErr w:type="spellEnd"/>
      <w:r w:rsidRPr="001161D0">
        <w:rPr>
          <w:sz w:val="18"/>
          <w:szCs w:val="18"/>
        </w:rPr>
        <w:t xml:space="preserve">: A </w:t>
      </w:r>
      <w:proofErr w:type="spellStart"/>
      <w:r w:rsidRPr="001161D0">
        <w:rPr>
          <w:sz w:val="18"/>
          <w:szCs w:val="18"/>
        </w:rPr>
        <w:t>critical</w:t>
      </w:r>
      <w:proofErr w:type="spellEnd"/>
      <w:r w:rsidRPr="001161D0">
        <w:rPr>
          <w:sz w:val="18"/>
          <w:szCs w:val="18"/>
        </w:rPr>
        <w:t xml:space="preserve"> </w:t>
      </w:r>
      <w:proofErr w:type="spellStart"/>
      <w:r w:rsidRPr="001161D0">
        <w:rPr>
          <w:sz w:val="18"/>
          <w:szCs w:val="18"/>
        </w:rPr>
        <w:t>review</w:t>
      </w:r>
      <w:proofErr w:type="spellEnd"/>
      <w:r w:rsidRPr="001161D0">
        <w:rPr>
          <w:sz w:val="18"/>
          <w:szCs w:val="18"/>
        </w:rPr>
        <w:t xml:space="preserve">. </w:t>
      </w:r>
      <w:proofErr w:type="spellStart"/>
      <w:r w:rsidRPr="001161D0">
        <w:rPr>
          <w:sz w:val="18"/>
          <w:szCs w:val="18"/>
        </w:rPr>
        <w:t>Applied</w:t>
      </w:r>
      <w:proofErr w:type="spellEnd"/>
      <w:r w:rsidRPr="001161D0">
        <w:rPr>
          <w:sz w:val="18"/>
          <w:szCs w:val="18"/>
        </w:rPr>
        <w:t xml:space="preserve"> </w:t>
      </w:r>
      <w:proofErr w:type="spellStart"/>
      <w:r w:rsidRPr="001161D0">
        <w:rPr>
          <w:sz w:val="18"/>
          <w:szCs w:val="18"/>
        </w:rPr>
        <w:t>System</w:t>
      </w:r>
      <w:proofErr w:type="spellEnd"/>
      <w:r w:rsidRPr="001161D0">
        <w:rPr>
          <w:sz w:val="18"/>
          <w:szCs w:val="18"/>
        </w:rPr>
        <w:t xml:space="preserve"> </w:t>
      </w:r>
      <w:proofErr w:type="spellStart"/>
      <w:r w:rsidRPr="001161D0">
        <w:rPr>
          <w:sz w:val="18"/>
          <w:szCs w:val="18"/>
        </w:rPr>
        <w:t>Innovation</w:t>
      </w:r>
      <w:proofErr w:type="spellEnd"/>
      <w:r w:rsidRPr="001161D0">
        <w:rPr>
          <w:sz w:val="18"/>
          <w:szCs w:val="18"/>
        </w:rPr>
        <w:t>, 7(5), 93. https://doi.org/10.3390/asi7050093</w:t>
      </w:r>
    </w:p>
    <w:p w14:paraId="48CF68C4" w14:textId="77777777" w:rsidR="00B524A9" w:rsidRPr="001161D0" w:rsidRDefault="00000000">
      <w:pPr>
        <w:spacing w:after="40" w:line="252" w:lineRule="auto"/>
        <w:ind w:left="720" w:hanging="720"/>
        <w:jc w:val="both"/>
        <w:rPr>
          <w:sz w:val="18"/>
          <w:szCs w:val="18"/>
        </w:rPr>
      </w:pPr>
      <w:proofErr w:type="spellStart"/>
      <w:r w:rsidRPr="001161D0">
        <w:rPr>
          <w:sz w:val="18"/>
          <w:szCs w:val="18"/>
        </w:rPr>
        <w:t>Feizabadi</w:t>
      </w:r>
      <w:proofErr w:type="spellEnd"/>
      <w:r w:rsidRPr="001161D0">
        <w:rPr>
          <w:sz w:val="18"/>
          <w:szCs w:val="18"/>
        </w:rPr>
        <w:t xml:space="preserve">, J. (2022). Machine </w:t>
      </w:r>
      <w:proofErr w:type="spellStart"/>
      <w:r w:rsidRPr="001161D0">
        <w:rPr>
          <w:sz w:val="18"/>
          <w:szCs w:val="18"/>
        </w:rPr>
        <w:t>learning</w:t>
      </w:r>
      <w:proofErr w:type="spellEnd"/>
      <w:r w:rsidRPr="001161D0">
        <w:rPr>
          <w:sz w:val="18"/>
          <w:szCs w:val="18"/>
        </w:rPr>
        <w:t xml:space="preserve"> </w:t>
      </w:r>
      <w:proofErr w:type="spellStart"/>
      <w:r w:rsidRPr="001161D0">
        <w:rPr>
          <w:sz w:val="18"/>
          <w:szCs w:val="18"/>
        </w:rPr>
        <w:t>demand</w:t>
      </w:r>
      <w:proofErr w:type="spellEnd"/>
      <w:r w:rsidRPr="001161D0">
        <w:rPr>
          <w:sz w:val="18"/>
          <w:szCs w:val="18"/>
        </w:rPr>
        <w:t xml:space="preserve"> </w:t>
      </w:r>
      <w:proofErr w:type="spellStart"/>
      <w:r w:rsidRPr="001161D0">
        <w:rPr>
          <w:sz w:val="18"/>
          <w:szCs w:val="18"/>
        </w:rPr>
        <w:t>forecasting</w:t>
      </w:r>
      <w:proofErr w:type="spellEnd"/>
      <w:r w:rsidRPr="001161D0">
        <w:rPr>
          <w:sz w:val="18"/>
          <w:szCs w:val="18"/>
        </w:rPr>
        <w:t xml:space="preserve"> and </w:t>
      </w:r>
      <w:proofErr w:type="spellStart"/>
      <w:r w:rsidRPr="001161D0">
        <w:rPr>
          <w:sz w:val="18"/>
          <w:szCs w:val="18"/>
        </w:rPr>
        <w:t>supply</w:t>
      </w:r>
      <w:proofErr w:type="spellEnd"/>
      <w:r w:rsidRPr="001161D0">
        <w:rPr>
          <w:sz w:val="18"/>
          <w:szCs w:val="18"/>
        </w:rPr>
        <w:t xml:space="preserve"> </w:t>
      </w:r>
      <w:proofErr w:type="spellStart"/>
      <w:r w:rsidRPr="001161D0">
        <w:rPr>
          <w:sz w:val="18"/>
          <w:szCs w:val="18"/>
        </w:rPr>
        <w:t>chain</w:t>
      </w:r>
      <w:proofErr w:type="spellEnd"/>
      <w:r w:rsidRPr="001161D0">
        <w:rPr>
          <w:sz w:val="18"/>
          <w:szCs w:val="18"/>
        </w:rPr>
        <w:t xml:space="preserve"> performance. International </w:t>
      </w:r>
      <w:proofErr w:type="spellStart"/>
      <w:r w:rsidRPr="001161D0">
        <w:rPr>
          <w:sz w:val="18"/>
          <w:szCs w:val="18"/>
        </w:rPr>
        <w:t>Journal</w:t>
      </w:r>
      <w:proofErr w:type="spellEnd"/>
      <w:r w:rsidRPr="001161D0">
        <w:rPr>
          <w:sz w:val="18"/>
          <w:szCs w:val="18"/>
        </w:rPr>
        <w:t xml:space="preserve"> </w:t>
      </w:r>
      <w:proofErr w:type="spellStart"/>
      <w:r w:rsidRPr="001161D0">
        <w:rPr>
          <w:sz w:val="18"/>
          <w:szCs w:val="18"/>
        </w:rPr>
        <w:t>of</w:t>
      </w:r>
      <w:proofErr w:type="spellEnd"/>
      <w:r w:rsidRPr="001161D0">
        <w:rPr>
          <w:sz w:val="18"/>
          <w:szCs w:val="18"/>
        </w:rPr>
        <w:t xml:space="preserve"> </w:t>
      </w:r>
      <w:proofErr w:type="spellStart"/>
      <w:r w:rsidRPr="001161D0">
        <w:rPr>
          <w:sz w:val="18"/>
          <w:szCs w:val="18"/>
        </w:rPr>
        <w:t>Logistics</w:t>
      </w:r>
      <w:proofErr w:type="spellEnd"/>
      <w:r w:rsidRPr="001161D0">
        <w:rPr>
          <w:sz w:val="18"/>
          <w:szCs w:val="18"/>
        </w:rPr>
        <w:t xml:space="preserve"> </w:t>
      </w:r>
      <w:proofErr w:type="spellStart"/>
      <w:r w:rsidRPr="001161D0">
        <w:rPr>
          <w:sz w:val="18"/>
          <w:szCs w:val="18"/>
        </w:rPr>
        <w:t>Research</w:t>
      </w:r>
      <w:proofErr w:type="spellEnd"/>
      <w:r w:rsidRPr="001161D0">
        <w:rPr>
          <w:sz w:val="18"/>
          <w:szCs w:val="18"/>
        </w:rPr>
        <w:t xml:space="preserve"> and </w:t>
      </w:r>
      <w:proofErr w:type="spellStart"/>
      <w:r w:rsidRPr="001161D0">
        <w:rPr>
          <w:sz w:val="18"/>
          <w:szCs w:val="18"/>
        </w:rPr>
        <w:t>Applications</w:t>
      </w:r>
      <w:proofErr w:type="spellEnd"/>
      <w:r w:rsidRPr="001161D0">
        <w:rPr>
          <w:sz w:val="18"/>
          <w:szCs w:val="18"/>
        </w:rPr>
        <w:t>, 25(2), 119–142. https://doi.org/10.1080/13675567.2020.1803246</w:t>
      </w:r>
    </w:p>
    <w:p w14:paraId="57F314AC" w14:textId="77777777" w:rsidR="00B524A9" w:rsidRPr="001161D0" w:rsidRDefault="00000000">
      <w:pPr>
        <w:spacing w:after="40" w:line="252" w:lineRule="auto"/>
        <w:ind w:left="720" w:hanging="720"/>
        <w:jc w:val="both"/>
        <w:rPr>
          <w:sz w:val="18"/>
          <w:szCs w:val="18"/>
        </w:rPr>
      </w:pPr>
      <w:r w:rsidRPr="001161D0">
        <w:rPr>
          <w:sz w:val="18"/>
          <w:szCs w:val="18"/>
        </w:rPr>
        <w:t xml:space="preserve">Feng, T., Zheng, Z., </w:t>
      </w:r>
      <w:proofErr w:type="spellStart"/>
      <w:r w:rsidRPr="001161D0">
        <w:rPr>
          <w:sz w:val="18"/>
          <w:szCs w:val="18"/>
        </w:rPr>
        <w:t>Xu</w:t>
      </w:r>
      <w:proofErr w:type="spellEnd"/>
      <w:r w:rsidRPr="001161D0">
        <w:rPr>
          <w:sz w:val="18"/>
          <w:szCs w:val="18"/>
        </w:rPr>
        <w:t xml:space="preserve">, J., Liu, M., Li, M., Jia, H., &amp; </w:t>
      </w:r>
      <w:proofErr w:type="spellStart"/>
      <w:r w:rsidRPr="001161D0">
        <w:rPr>
          <w:sz w:val="18"/>
          <w:szCs w:val="18"/>
        </w:rPr>
        <w:t>Yu</w:t>
      </w:r>
      <w:proofErr w:type="spellEnd"/>
      <w:r w:rsidRPr="001161D0">
        <w:rPr>
          <w:sz w:val="18"/>
          <w:szCs w:val="18"/>
        </w:rPr>
        <w:t xml:space="preserve">, X. (2022). The comparative </w:t>
      </w:r>
      <w:proofErr w:type="spellStart"/>
      <w:r w:rsidRPr="001161D0">
        <w:rPr>
          <w:sz w:val="18"/>
          <w:szCs w:val="18"/>
        </w:rPr>
        <w:t>analysis</w:t>
      </w:r>
      <w:proofErr w:type="spellEnd"/>
      <w:r w:rsidRPr="001161D0">
        <w:rPr>
          <w:sz w:val="18"/>
          <w:szCs w:val="18"/>
        </w:rPr>
        <w:t xml:space="preserve"> </w:t>
      </w:r>
      <w:proofErr w:type="spellStart"/>
      <w:r w:rsidRPr="001161D0">
        <w:rPr>
          <w:sz w:val="18"/>
          <w:szCs w:val="18"/>
        </w:rPr>
        <w:t>of</w:t>
      </w:r>
      <w:proofErr w:type="spellEnd"/>
      <w:r w:rsidRPr="001161D0">
        <w:rPr>
          <w:sz w:val="18"/>
          <w:szCs w:val="18"/>
        </w:rPr>
        <w:t xml:space="preserve"> SARIMA, Facebook Prophet, and LSTM </w:t>
      </w:r>
      <w:proofErr w:type="spellStart"/>
      <w:r w:rsidRPr="001161D0">
        <w:rPr>
          <w:sz w:val="18"/>
          <w:szCs w:val="18"/>
        </w:rPr>
        <w:t>for</w:t>
      </w:r>
      <w:proofErr w:type="spellEnd"/>
      <w:r w:rsidRPr="001161D0">
        <w:rPr>
          <w:sz w:val="18"/>
          <w:szCs w:val="18"/>
        </w:rPr>
        <w:t xml:space="preserve"> </w:t>
      </w:r>
      <w:proofErr w:type="spellStart"/>
      <w:r w:rsidRPr="001161D0">
        <w:rPr>
          <w:sz w:val="18"/>
          <w:szCs w:val="18"/>
        </w:rPr>
        <w:t>road</w:t>
      </w:r>
      <w:proofErr w:type="spellEnd"/>
      <w:r w:rsidRPr="001161D0">
        <w:rPr>
          <w:sz w:val="18"/>
          <w:szCs w:val="18"/>
        </w:rPr>
        <w:t xml:space="preserve"> </w:t>
      </w:r>
      <w:proofErr w:type="spellStart"/>
      <w:r w:rsidRPr="001161D0">
        <w:rPr>
          <w:sz w:val="18"/>
          <w:szCs w:val="18"/>
        </w:rPr>
        <w:t>traffic</w:t>
      </w:r>
      <w:proofErr w:type="spellEnd"/>
      <w:r w:rsidRPr="001161D0">
        <w:rPr>
          <w:sz w:val="18"/>
          <w:szCs w:val="18"/>
        </w:rPr>
        <w:t xml:space="preserve"> </w:t>
      </w:r>
      <w:proofErr w:type="spellStart"/>
      <w:r w:rsidRPr="001161D0">
        <w:rPr>
          <w:sz w:val="18"/>
          <w:szCs w:val="18"/>
        </w:rPr>
        <w:t>injury</w:t>
      </w:r>
      <w:proofErr w:type="spellEnd"/>
      <w:r w:rsidRPr="001161D0">
        <w:rPr>
          <w:sz w:val="18"/>
          <w:szCs w:val="18"/>
        </w:rPr>
        <w:t xml:space="preserve"> </w:t>
      </w:r>
      <w:proofErr w:type="spellStart"/>
      <w:r w:rsidRPr="001161D0">
        <w:rPr>
          <w:sz w:val="18"/>
          <w:szCs w:val="18"/>
        </w:rPr>
        <w:t>prediction</w:t>
      </w:r>
      <w:proofErr w:type="spellEnd"/>
      <w:r w:rsidRPr="001161D0">
        <w:rPr>
          <w:sz w:val="18"/>
          <w:szCs w:val="18"/>
        </w:rPr>
        <w:t xml:space="preserve"> in </w:t>
      </w:r>
      <w:proofErr w:type="spellStart"/>
      <w:r w:rsidRPr="001161D0">
        <w:rPr>
          <w:sz w:val="18"/>
          <w:szCs w:val="18"/>
        </w:rPr>
        <w:t>Northeast</w:t>
      </w:r>
      <w:proofErr w:type="spellEnd"/>
      <w:r w:rsidRPr="001161D0">
        <w:rPr>
          <w:sz w:val="18"/>
          <w:szCs w:val="18"/>
        </w:rPr>
        <w:t xml:space="preserve"> China. </w:t>
      </w:r>
      <w:proofErr w:type="spellStart"/>
      <w:r w:rsidRPr="001161D0">
        <w:rPr>
          <w:sz w:val="18"/>
          <w:szCs w:val="18"/>
        </w:rPr>
        <w:t>Frontiers</w:t>
      </w:r>
      <w:proofErr w:type="spellEnd"/>
      <w:r w:rsidRPr="001161D0">
        <w:rPr>
          <w:sz w:val="18"/>
          <w:szCs w:val="18"/>
        </w:rPr>
        <w:t xml:space="preserve"> in Public Health, 10, 946563. https://doi.org/10.3389/fpubh.2022.946563</w:t>
      </w:r>
    </w:p>
    <w:p w14:paraId="236CF2C9" w14:textId="77777777" w:rsidR="00B524A9" w:rsidRPr="001161D0" w:rsidRDefault="00000000">
      <w:pPr>
        <w:spacing w:after="40" w:line="252" w:lineRule="auto"/>
        <w:ind w:left="720" w:hanging="720"/>
        <w:jc w:val="both"/>
        <w:rPr>
          <w:sz w:val="18"/>
          <w:szCs w:val="18"/>
        </w:rPr>
      </w:pPr>
      <w:r w:rsidRPr="001161D0">
        <w:rPr>
          <w:sz w:val="18"/>
          <w:szCs w:val="18"/>
        </w:rPr>
        <w:t xml:space="preserve">Fildes, R., Ma, S., &amp; Kolassa, S. (2022). </w:t>
      </w:r>
      <w:proofErr w:type="spellStart"/>
      <w:r w:rsidRPr="001161D0">
        <w:rPr>
          <w:sz w:val="18"/>
          <w:szCs w:val="18"/>
        </w:rPr>
        <w:t>Retail</w:t>
      </w:r>
      <w:proofErr w:type="spellEnd"/>
      <w:r w:rsidRPr="001161D0">
        <w:rPr>
          <w:sz w:val="18"/>
          <w:szCs w:val="18"/>
        </w:rPr>
        <w:t xml:space="preserve"> </w:t>
      </w:r>
      <w:proofErr w:type="spellStart"/>
      <w:r w:rsidRPr="001161D0">
        <w:rPr>
          <w:sz w:val="18"/>
          <w:szCs w:val="18"/>
        </w:rPr>
        <w:t>forecasting</w:t>
      </w:r>
      <w:proofErr w:type="spellEnd"/>
      <w:r w:rsidRPr="001161D0">
        <w:rPr>
          <w:sz w:val="18"/>
          <w:szCs w:val="18"/>
        </w:rPr>
        <w:t xml:space="preserve">: </w:t>
      </w:r>
      <w:proofErr w:type="spellStart"/>
      <w:r w:rsidRPr="001161D0">
        <w:rPr>
          <w:sz w:val="18"/>
          <w:szCs w:val="18"/>
        </w:rPr>
        <w:t>Research</w:t>
      </w:r>
      <w:proofErr w:type="spellEnd"/>
      <w:r w:rsidRPr="001161D0">
        <w:rPr>
          <w:sz w:val="18"/>
          <w:szCs w:val="18"/>
        </w:rPr>
        <w:t xml:space="preserve"> and </w:t>
      </w:r>
      <w:proofErr w:type="spellStart"/>
      <w:r w:rsidRPr="001161D0">
        <w:rPr>
          <w:sz w:val="18"/>
          <w:szCs w:val="18"/>
        </w:rPr>
        <w:t>practice</w:t>
      </w:r>
      <w:proofErr w:type="spellEnd"/>
      <w:r w:rsidRPr="001161D0">
        <w:rPr>
          <w:sz w:val="18"/>
          <w:szCs w:val="18"/>
        </w:rPr>
        <w:t xml:space="preserve">. International </w:t>
      </w:r>
      <w:proofErr w:type="spellStart"/>
      <w:r w:rsidRPr="001161D0">
        <w:rPr>
          <w:sz w:val="18"/>
          <w:szCs w:val="18"/>
        </w:rPr>
        <w:t>Journal</w:t>
      </w:r>
      <w:proofErr w:type="spellEnd"/>
      <w:r w:rsidRPr="001161D0">
        <w:rPr>
          <w:sz w:val="18"/>
          <w:szCs w:val="18"/>
        </w:rPr>
        <w:t xml:space="preserve"> </w:t>
      </w:r>
      <w:proofErr w:type="spellStart"/>
      <w:r w:rsidRPr="001161D0">
        <w:rPr>
          <w:sz w:val="18"/>
          <w:szCs w:val="18"/>
        </w:rPr>
        <w:t>of</w:t>
      </w:r>
      <w:proofErr w:type="spellEnd"/>
      <w:r w:rsidRPr="001161D0">
        <w:rPr>
          <w:sz w:val="18"/>
          <w:szCs w:val="18"/>
        </w:rPr>
        <w:t xml:space="preserve"> </w:t>
      </w:r>
      <w:proofErr w:type="spellStart"/>
      <w:r w:rsidRPr="001161D0">
        <w:rPr>
          <w:sz w:val="18"/>
          <w:szCs w:val="18"/>
        </w:rPr>
        <w:t>Forecasting</w:t>
      </w:r>
      <w:proofErr w:type="spellEnd"/>
      <w:r w:rsidRPr="001161D0">
        <w:rPr>
          <w:sz w:val="18"/>
          <w:szCs w:val="18"/>
        </w:rPr>
        <w:t>, 38(4), 1283–1318. https://doi.org/10.1016/j.ijforecast.2019.06.004</w:t>
      </w:r>
    </w:p>
    <w:p w14:paraId="25AADCDE" w14:textId="77777777" w:rsidR="00B524A9" w:rsidRPr="001161D0" w:rsidRDefault="00000000">
      <w:pPr>
        <w:spacing w:after="40" w:line="252" w:lineRule="auto"/>
        <w:ind w:left="720" w:hanging="720"/>
        <w:jc w:val="both"/>
        <w:rPr>
          <w:sz w:val="18"/>
          <w:szCs w:val="18"/>
        </w:rPr>
      </w:pPr>
      <w:r w:rsidRPr="001161D0">
        <w:rPr>
          <w:sz w:val="18"/>
          <w:szCs w:val="18"/>
        </w:rPr>
        <w:t xml:space="preserve">Hyndman, R. J., &amp; Koehler, A. B. (2006). </w:t>
      </w:r>
      <w:proofErr w:type="spellStart"/>
      <w:r w:rsidRPr="001161D0">
        <w:rPr>
          <w:sz w:val="18"/>
          <w:szCs w:val="18"/>
        </w:rPr>
        <w:t>Another</w:t>
      </w:r>
      <w:proofErr w:type="spellEnd"/>
      <w:r w:rsidRPr="001161D0">
        <w:rPr>
          <w:sz w:val="18"/>
          <w:szCs w:val="18"/>
        </w:rPr>
        <w:t xml:space="preserve"> </w:t>
      </w:r>
      <w:proofErr w:type="gramStart"/>
      <w:r w:rsidRPr="001161D0">
        <w:rPr>
          <w:sz w:val="18"/>
          <w:szCs w:val="18"/>
        </w:rPr>
        <w:t>look</w:t>
      </w:r>
      <w:proofErr w:type="gramEnd"/>
      <w:r w:rsidRPr="001161D0">
        <w:rPr>
          <w:sz w:val="18"/>
          <w:szCs w:val="18"/>
        </w:rPr>
        <w:t xml:space="preserve"> at </w:t>
      </w:r>
      <w:proofErr w:type="spellStart"/>
      <w:r w:rsidRPr="001161D0">
        <w:rPr>
          <w:sz w:val="18"/>
          <w:szCs w:val="18"/>
        </w:rPr>
        <w:t>measures</w:t>
      </w:r>
      <w:proofErr w:type="spellEnd"/>
      <w:r w:rsidRPr="001161D0">
        <w:rPr>
          <w:sz w:val="18"/>
          <w:szCs w:val="18"/>
        </w:rPr>
        <w:t xml:space="preserve"> </w:t>
      </w:r>
      <w:proofErr w:type="spellStart"/>
      <w:r w:rsidRPr="001161D0">
        <w:rPr>
          <w:sz w:val="18"/>
          <w:szCs w:val="18"/>
        </w:rPr>
        <w:t>of</w:t>
      </w:r>
      <w:proofErr w:type="spellEnd"/>
      <w:r w:rsidRPr="001161D0">
        <w:rPr>
          <w:sz w:val="18"/>
          <w:szCs w:val="18"/>
        </w:rPr>
        <w:t xml:space="preserve"> </w:t>
      </w:r>
      <w:proofErr w:type="spellStart"/>
      <w:r w:rsidRPr="001161D0">
        <w:rPr>
          <w:sz w:val="18"/>
          <w:szCs w:val="18"/>
        </w:rPr>
        <w:t>forecast</w:t>
      </w:r>
      <w:proofErr w:type="spellEnd"/>
      <w:r w:rsidRPr="001161D0">
        <w:rPr>
          <w:sz w:val="18"/>
          <w:szCs w:val="18"/>
        </w:rPr>
        <w:t xml:space="preserve"> </w:t>
      </w:r>
      <w:proofErr w:type="spellStart"/>
      <w:r w:rsidRPr="001161D0">
        <w:rPr>
          <w:sz w:val="18"/>
          <w:szCs w:val="18"/>
        </w:rPr>
        <w:t>accuracy</w:t>
      </w:r>
      <w:proofErr w:type="spellEnd"/>
      <w:r w:rsidRPr="001161D0">
        <w:rPr>
          <w:sz w:val="18"/>
          <w:szCs w:val="18"/>
        </w:rPr>
        <w:t xml:space="preserve">. International </w:t>
      </w:r>
      <w:proofErr w:type="spellStart"/>
      <w:r w:rsidRPr="001161D0">
        <w:rPr>
          <w:sz w:val="18"/>
          <w:szCs w:val="18"/>
        </w:rPr>
        <w:t>Journal</w:t>
      </w:r>
      <w:proofErr w:type="spellEnd"/>
      <w:r w:rsidRPr="001161D0">
        <w:rPr>
          <w:sz w:val="18"/>
          <w:szCs w:val="18"/>
        </w:rPr>
        <w:t xml:space="preserve"> </w:t>
      </w:r>
      <w:proofErr w:type="spellStart"/>
      <w:r w:rsidRPr="001161D0">
        <w:rPr>
          <w:sz w:val="18"/>
          <w:szCs w:val="18"/>
        </w:rPr>
        <w:t>of</w:t>
      </w:r>
      <w:proofErr w:type="spellEnd"/>
      <w:r w:rsidRPr="001161D0">
        <w:rPr>
          <w:sz w:val="18"/>
          <w:szCs w:val="18"/>
        </w:rPr>
        <w:t xml:space="preserve"> </w:t>
      </w:r>
      <w:proofErr w:type="spellStart"/>
      <w:r w:rsidRPr="001161D0">
        <w:rPr>
          <w:sz w:val="18"/>
          <w:szCs w:val="18"/>
        </w:rPr>
        <w:t>Forecasting</w:t>
      </w:r>
      <w:proofErr w:type="spellEnd"/>
      <w:r w:rsidRPr="001161D0">
        <w:rPr>
          <w:sz w:val="18"/>
          <w:szCs w:val="18"/>
        </w:rPr>
        <w:t>, 22(4), 679–688. https://doi.org/10.1016/j.ijforecast.2006.03.001</w:t>
      </w:r>
    </w:p>
    <w:p w14:paraId="26E7EDF1" w14:textId="77777777" w:rsidR="00B524A9" w:rsidRPr="001161D0" w:rsidRDefault="00000000">
      <w:pPr>
        <w:spacing w:after="40" w:line="252" w:lineRule="auto"/>
        <w:ind w:left="720" w:hanging="720"/>
        <w:jc w:val="both"/>
        <w:rPr>
          <w:sz w:val="18"/>
          <w:szCs w:val="18"/>
        </w:rPr>
      </w:pPr>
      <w:proofErr w:type="spellStart"/>
      <w:r w:rsidRPr="001161D0">
        <w:rPr>
          <w:sz w:val="18"/>
          <w:szCs w:val="18"/>
        </w:rPr>
        <w:t>Kaabi</w:t>
      </w:r>
      <w:proofErr w:type="spellEnd"/>
      <w:r w:rsidRPr="001161D0">
        <w:rPr>
          <w:sz w:val="18"/>
          <w:szCs w:val="18"/>
        </w:rPr>
        <w:t xml:space="preserve">, H., </w:t>
      </w:r>
      <w:proofErr w:type="spellStart"/>
      <w:r w:rsidRPr="001161D0">
        <w:rPr>
          <w:sz w:val="18"/>
          <w:szCs w:val="18"/>
        </w:rPr>
        <w:t>Jabeur</w:t>
      </w:r>
      <w:proofErr w:type="spellEnd"/>
      <w:r w:rsidRPr="001161D0">
        <w:rPr>
          <w:sz w:val="18"/>
          <w:szCs w:val="18"/>
        </w:rPr>
        <w:t xml:space="preserve">, K., &amp; </w:t>
      </w:r>
      <w:proofErr w:type="spellStart"/>
      <w:r w:rsidRPr="001161D0">
        <w:rPr>
          <w:sz w:val="18"/>
          <w:szCs w:val="18"/>
        </w:rPr>
        <w:t>Ladhari</w:t>
      </w:r>
      <w:proofErr w:type="spellEnd"/>
      <w:r w:rsidRPr="001161D0">
        <w:rPr>
          <w:sz w:val="18"/>
          <w:szCs w:val="18"/>
        </w:rPr>
        <w:t xml:space="preserve">, T. (2023). </w:t>
      </w:r>
      <w:proofErr w:type="spellStart"/>
      <w:r w:rsidRPr="001161D0">
        <w:rPr>
          <w:sz w:val="18"/>
          <w:szCs w:val="18"/>
        </w:rPr>
        <w:t>An</w:t>
      </w:r>
      <w:proofErr w:type="spellEnd"/>
      <w:r w:rsidRPr="001161D0">
        <w:rPr>
          <w:sz w:val="18"/>
          <w:szCs w:val="18"/>
        </w:rPr>
        <w:t xml:space="preserve"> </w:t>
      </w:r>
      <w:proofErr w:type="spellStart"/>
      <w:r w:rsidRPr="001161D0">
        <w:rPr>
          <w:sz w:val="18"/>
          <w:szCs w:val="18"/>
        </w:rPr>
        <w:t>explainable</w:t>
      </w:r>
      <w:proofErr w:type="spellEnd"/>
      <w:r w:rsidRPr="001161D0">
        <w:rPr>
          <w:sz w:val="18"/>
          <w:szCs w:val="18"/>
        </w:rPr>
        <w:t xml:space="preserve"> artificial </w:t>
      </w:r>
      <w:proofErr w:type="spellStart"/>
      <w:r w:rsidRPr="001161D0">
        <w:rPr>
          <w:sz w:val="18"/>
          <w:szCs w:val="18"/>
        </w:rPr>
        <w:t>intelligence</w:t>
      </w:r>
      <w:proofErr w:type="spellEnd"/>
      <w:r w:rsidRPr="001161D0">
        <w:rPr>
          <w:sz w:val="18"/>
          <w:szCs w:val="18"/>
        </w:rPr>
        <w:t xml:space="preserve"> </w:t>
      </w:r>
      <w:proofErr w:type="spellStart"/>
      <w:r w:rsidRPr="001161D0">
        <w:rPr>
          <w:sz w:val="18"/>
          <w:szCs w:val="18"/>
        </w:rPr>
        <w:t>approach</w:t>
      </w:r>
      <w:proofErr w:type="spellEnd"/>
      <w:r w:rsidRPr="001161D0">
        <w:rPr>
          <w:sz w:val="18"/>
          <w:szCs w:val="18"/>
        </w:rPr>
        <w:t xml:space="preserve"> </w:t>
      </w:r>
      <w:proofErr w:type="spellStart"/>
      <w:r w:rsidRPr="001161D0">
        <w:rPr>
          <w:sz w:val="18"/>
          <w:szCs w:val="18"/>
        </w:rPr>
        <w:t>for</w:t>
      </w:r>
      <w:proofErr w:type="spellEnd"/>
      <w:r w:rsidRPr="001161D0">
        <w:rPr>
          <w:sz w:val="18"/>
          <w:szCs w:val="18"/>
        </w:rPr>
        <w:t xml:space="preserve"> </w:t>
      </w:r>
      <w:proofErr w:type="spellStart"/>
      <w:r w:rsidRPr="001161D0">
        <w:rPr>
          <w:sz w:val="18"/>
          <w:szCs w:val="18"/>
        </w:rPr>
        <w:t>multi-criteria</w:t>
      </w:r>
      <w:proofErr w:type="spellEnd"/>
      <w:r w:rsidRPr="001161D0">
        <w:rPr>
          <w:sz w:val="18"/>
          <w:szCs w:val="18"/>
        </w:rPr>
        <w:t xml:space="preserve"> ABC </w:t>
      </w:r>
      <w:proofErr w:type="spellStart"/>
      <w:r w:rsidRPr="001161D0">
        <w:rPr>
          <w:sz w:val="18"/>
          <w:szCs w:val="18"/>
        </w:rPr>
        <w:t>item</w:t>
      </w:r>
      <w:proofErr w:type="spellEnd"/>
      <w:r w:rsidRPr="001161D0">
        <w:rPr>
          <w:sz w:val="18"/>
          <w:szCs w:val="18"/>
        </w:rPr>
        <w:t xml:space="preserve"> </w:t>
      </w:r>
      <w:proofErr w:type="spellStart"/>
      <w:r w:rsidRPr="001161D0">
        <w:rPr>
          <w:sz w:val="18"/>
          <w:szCs w:val="18"/>
        </w:rPr>
        <w:t>classification</w:t>
      </w:r>
      <w:proofErr w:type="spellEnd"/>
      <w:r w:rsidRPr="001161D0">
        <w:rPr>
          <w:sz w:val="18"/>
          <w:szCs w:val="18"/>
        </w:rPr>
        <w:t xml:space="preserve">. </w:t>
      </w:r>
      <w:proofErr w:type="spellStart"/>
      <w:r w:rsidRPr="001161D0">
        <w:rPr>
          <w:sz w:val="18"/>
          <w:szCs w:val="18"/>
        </w:rPr>
        <w:t>Journal</w:t>
      </w:r>
      <w:proofErr w:type="spellEnd"/>
      <w:r w:rsidRPr="001161D0">
        <w:rPr>
          <w:sz w:val="18"/>
          <w:szCs w:val="18"/>
        </w:rPr>
        <w:t xml:space="preserve"> </w:t>
      </w:r>
      <w:proofErr w:type="spellStart"/>
      <w:r w:rsidRPr="001161D0">
        <w:rPr>
          <w:sz w:val="18"/>
          <w:szCs w:val="18"/>
        </w:rPr>
        <w:t>of</w:t>
      </w:r>
      <w:proofErr w:type="spellEnd"/>
      <w:r w:rsidRPr="001161D0">
        <w:rPr>
          <w:sz w:val="18"/>
          <w:szCs w:val="18"/>
        </w:rPr>
        <w:t xml:space="preserve"> </w:t>
      </w:r>
      <w:proofErr w:type="spellStart"/>
      <w:r w:rsidRPr="001161D0">
        <w:rPr>
          <w:sz w:val="18"/>
          <w:szCs w:val="18"/>
        </w:rPr>
        <w:t>Theoretical</w:t>
      </w:r>
      <w:proofErr w:type="spellEnd"/>
      <w:r w:rsidRPr="001161D0">
        <w:rPr>
          <w:sz w:val="18"/>
          <w:szCs w:val="18"/>
        </w:rPr>
        <w:t xml:space="preserve"> and </w:t>
      </w:r>
      <w:proofErr w:type="spellStart"/>
      <w:r w:rsidRPr="001161D0">
        <w:rPr>
          <w:sz w:val="18"/>
          <w:szCs w:val="18"/>
        </w:rPr>
        <w:t>Applied</w:t>
      </w:r>
      <w:proofErr w:type="spellEnd"/>
      <w:r w:rsidRPr="001161D0">
        <w:rPr>
          <w:sz w:val="18"/>
          <w:szCs w:val="18"/>
        </w:rPr>
        <w:t xml:space="preserve"> Electronic Commerce </w:t>
      </w:r>
      <w:proofErr w:type="spellStart"/>
      <w:r w:rsidRPr="001161D0">
        <w:rPr>
          <w:sz w:val="18"/>
          <w:szCs w:val="18"/>
        </w:rPr>
        <w:t>Research</w:t>
      </w:r>
      <w:proofErr w:type="spellEnd"/>
      <w:r w:rsidRPr="001161D0">
        <w:rPr>
          <w:sz w:val="18"/>
          <w:szCs w:val="18"/>
        </w:rPr>
        <w:t>, 18(2), 848–866. https://doi.org/10.3390/jtaer18020044</w:t>
      </w:r>
    </w:p>
    <w:p w14:paraId="2AA0005B" w14:textId="77777777" w:rsidR="00B524A9" w:rsidRPr="001161D0" w:rsidRDefault="00000000">
      <w:pPr>
        <w:spacing w:after="40" w:line="252" w:lineRule="auto"/>
        <w:ind w:left="720" w:hanging="720"/>
        <w:jc w:val="both"/>
        <w:rPr>
          <w:sz w:val="18"/>
          <w:szCs w:val="18"/>
        </w:rPr>
      </w:pPr>
      <w:r w:rsidRPr="001161D0">
        <w:rPr>
          <w:sz w:val="18"/>
          <w:szCs w:val="18"/>
        </w:rPr>
        <w:t xml:space="preserve">Kartal, H., </w:t>
      </w:r>
      <w:proofErr w:type="spellStart"/>
      <w:r w:rsidRPr="001161D0">
        <w:rPr>
          <w:sz w:val="18"/>
          <w:szCs w:val="18"/>
        </w:rPr>
        <w:t>Oztekin</w:t>
      </w:r>
      <w:proofErr w:type="spellEnd"/>
      <w:r w:rsidRPr="001161D0">
        <w:rPr>
          <w:sz w:val="18"/>
          <w:szCs w:val="18"/>
        </w:rPr>
        <w:t xml:space="preserve">, A., Gunasekaran, A., &amp; Cebi, F. (2016). </w:t>
      </w:r>
      <w:proofErr w:type="spellStart"/>
      <w:r w:rsidRPr="001161D0">
        <w:rPr>
          <w:sz w:val="18"/>
          <w:szCs w:val="18"/>
        </w:rPr>
        <w:t>An</w:t>
      </w:r>
      <w:proofErr w:type="spellEnd"/>
      <w:r w:rsidRPr="001161D0">
        <w:rPr>
          <w:sz w:val="18"/>
          <w:szCs w:val="18"/>
        </w:rPr>
        <w:t xml:space="preserve"> </w:t>
      </w:r>
      <w:proofErr w:type="spellStart"/>
      <w:r w:rsidRPr="001161D0">
        <w:rPr>
          <w:sz w:val="18"/>
          <w:szCs w:val="18"/>
        </w:rPr>
        <w:t>integrated</w:t>
      </w:r>
      <w:proofErr w:type="spellEnd"/>
      <w:r w:rsidRPr="001161D0">
        <w:rPr>
          <w:sz w:val="18"/>
          <w:szCs w:val="18"/>
        </w:rPr>
        <w:t xml:space="preserve"> </w:t>
      </w:r>
      <w:proofErr w:type="spellStart"/>
      <w:r w:rsidRPr="001161D0">
        <w:rPr>
          <w:sz w:val="18"/>
          <w:szCs w:val="18"/>
        </w:rPr>
        <w:t>decision</w:t>
      </w:r>
      <w:proofErr w:type="spellEnd"/>
      <w:r w:rsidRPr="001161D0">
        <w:rPr>
          <w:sz w:val="18"/>
          <w:szCs w:val="18"/>
        </w:rPr>
        <w:t xml:space="preserve"> </w:t>
      </w:r>
      <w:proofErr w:type="spellStart"/>
      <w:r w:rsidRPr="001161D0">
        <w:rPr>
          <w:sz w:val="18"/>
          <w:szCs w:val="18"/>
        </w:rPr>
        <w:t>analytic</w:t>
      </w:r>
      <w:proofErr w:type="spellEnd"/>
      <w:r w:rsidRPr="001161D0">
        <w:rPr>
          <w:sz w:val="18"/>
          <w:szCs w:val="18"/>
        </w:rPr>
        <w:t xml:space="preserve"> </w:t>
      </w:r>
      <w:proofErr w:type="spellStart"/>
      <w:r w:rsidRPr="001161D0">
        <w:rPr>
          <w:sz w:val="18"/>
          <w:szCs w:val="18"/>
        </w:rPr>
        <w:t>framework</w:t>
      </w:r>
      <w:proofErr w:type="spellEnd"/>
      <w:r w:rsidRPr="001161D0">
        <w:rPr>
          <w:sz w:val="18"/>
          <w:szCs w:val="18"/>
        </w:rPr>
        <w:t xml:space="preserve"> </w:t>
      </w:r>
      <w:proofErr w:type="spellStart"/>
      <w:r w:rsidRPr="001161D0">
        <w:rPr>
          <w:sz w:val="18"/>
          <w:szCs w:val="18"/>
        </w:rPr>
        <w:t>of</w:t>
      </w:r>
      <w:proofErr w:type="spellEnd"/>
      <w:r w:rsidRPr="001161D0">
        <w:rPr>
          <w:sz w:val="18"/>
          <w:szCs w:val="18"/>
        </w:rPr>
        <w:t xml:space="preserve"> machine </w:t>
      </w:r>
      <w:proofErr w:type="spellStart"/>
      <w:r w:rsidRPr="001161D0">
        <w:rPr>
          <w:sz w:val="18"/>
          <w:szCs w:val="18"/>
        </w:rPr>
        <w:t>learning</w:t>
      </w:r>
      <w:proofErr w:type="spellEnd"/>
      <w:r w:rsidRPr="001161D0">
        <w:rPr>
          <w:sz w:val="18"/>
          <w:szCs w:val="18"/>
        </w:rPr>
        <w:t xml:space="preserve"> </w:t>
      </w:r>
      <w:proofErr w:type="spellStart"/>
      <w:r w:rsidRPr="001161D0">
        <w:rPr>
          <w:sz w:val="18"/>
          <w:szCs w:val="18"/>
        </w:rPr>
        <w:t>with</w:t>
      </w:r>
      <w:proofErr w:type="spellEnd"/>
      <w:r w:rsidRPr="001161D0">
        <w:rPr>
          <w:sz w:val="18"/>
          <w:szCs w:val="18"/>
        </w:rPr>
        <w:t xml:space="preserve"> </w:t>
      </w:r>
      <w:proofErr w:type="spellStart"/>
      <w:r w:rsidRPr="001161D0">
        <w:rPr>
          <w:sz w:val="18"/>
          <w:szCs w:val="18"/>
        </w:rPr>
        <w:t>multi-criteria</w:t>
      </w:r>
      <w:proofErr w:type="spellEnd"/>
      <w:r w:rsidRPr="001161D0">
        <w:rPr>
          <w:sz w:val="18"/>
          <w:szCs w:val="18"/>
        </w:rPr>
        <w:t xml:space="preserve"> </w:t>
      </w:r>
      <w:proofErr w:type="spellStart"/>
      <w:r w:rsidRPr="001161D0">
        <w:rPr>
          <w:sz w:val="18"/>
          <w:szCs w:val="18"/>
        </w:rPr>
        <w:t>decision</w:t>
      </w:r>
      <w:proofErr w:type="spellEnd"/>
      <w:r w:rsidRPr="001161D0">
        <w:rPr>
          <w:sz w:val="18"/>
          <w:szCs w:val="18"/>
        </w:rPr>
        <w:t xml:space="preserve"> </w:t>
      </w:r>
      <w:proofErr w:type="spellStart"/>
      <w:r w:rsidRPr="001161D0">
        <w:rPr>
          <w:sz w:val="18"/>
          <w:szCs w:val="18"/>
        </w:rPr>
        <w:t>making</w:t>
      </w:r>
      <w:proofErr w:type="spellEnd"/>
      <w:r w:rsidRPr="001161D0">
        <w:rPr>
          <w:sz w:val="18"/>
          <w:szCs w:val="18"/>
        </w:rPr>
        <w:t xml:space="preserve"> </w:t>
      </w:r>
      <w:proofErr w:type="spellStart"/>
      <w:r w:rsidRPr="001161D0">
        <w:rPr>
          <w:sz w:val="18"/>
          <w:szCs w:val="18"/>
        </w:rPr>
        <w:t>for</w:t>
      </w:r>
      <w:proofErr w:type="spellEnd"/>
      <w:r w:rsidRPr="001161D0">
        <w:rPr>
          <w:sz w:val="18"/>
          <w:szCs w:val="18"/>
        </w:rPr>
        <w:t xml:space="preserve"> </w:t>
      </w:r>
      <w:proofErr w:type="spellStart"/>
      <w:r w:rsidRPr="001161D0">
        <w:rPr>
          <w:sz w:val="18"/>
          <w:szCs w:val="18"/>
        </w:rPr>
        <w:t>multi-attribute</w:t>
      </w:r>
      <w:proofErr w:type="spellEnd"/>
      <w:r w:rsidRPr="001161D0">
        <w:rPr>
          <w:sz w:val="18"/>
          <w:szCs w:val="18"/>
        </w:rPr>
        <w:t xml:space="preserve"> </w:t>
      </w:r>
      <w:proofErr w:type="spellStart"/>
      <w:r w:rsidRPr="001161D0">
        <w:rPr>
          <w:sz w:val="18"/>
          <w:szCs w:val="18"/>
        </w:rPr>
        <w:t>inventory</w:t>
      </w:r>
      <w:proofErr w:type="spellEnd"/>
      <w:r w:rsidRPr="001161D0">
        <w:rPr>
          <w:sz w:val="18"/>
          <w:szCs w:val="18"/>
        </w:rPr>
        <w:t xml:space="preserve"> </w:t>
      </w:r>
      <w:proofErr w:type="spellStart"/>
      <w:r w:rsidRPr="001161D0">
        <w:rPr>
          <w:sz w:val="18"/>
          <w:szCs w:val="18"/>
        </w:rPr>
        <w:t>classification</w:t>
      </w:r>
      <w:proofErr w:type="spellEnd"/>
      <w:r w:rsidRPr="001161D0">
        <w:rPr>
          <w:sz w:val="18"/>
          <w:szCs w:val="18"/>
        </w:rPr>
        <w:t xml:space="preserve">. </w:t>
      </w:r>
      <w:proofErr w:type="spellStart"/>
      <w:r w:rsidRPr="001161D0">
        <w:rPr>
          <w:sz w:val="18"/>
          <w:szCs w:val="18"/>
        </w:rPr>
        <w:t>Computers</w:t>
      </w:r>
      <w:proofErr w:type="spellEnd"/>
      <w:r w:rsidRPr="001161D0">
        <w:rPr>
          <w:sz w:val="18"/>
          <w:szCs w:val="18"/>
        </w:rPr>
        <w:t xml:space="preserve"> &amp; Industrial </w:t>
      </w:r>
      <w:proofErr w:type="spellStart"/>
      <w:r w:rsidRPr="001161D0">
        <w:rPr>
          <w:sz w:val="18"/>
          <w:szCs w:val="18"/>
        </w:rPr>
        <w:t>Engineering</w:t>
      </w:r>
      <w:proofErr w:type="spellEnd"/>
      <w:r w:rsidRPr="001161D0">
        <w:rPr>
          <w:sz w:val="18"/>
          <w:szCs w:val="18"/>
        </w:rPr>
        <w:t>, 101, 599–613. https://doi.org/10.1016/j.cie.2016.06.004</w:t>
      </w:r>
    </w:p>
    <w:p w14:paraId="573A79AD" w14:textId="77777777" w:rsidR="00B524A9" w:rsidRPr="001161D0" w:rsidRDefault="00000000">
      <w:pPr>
        <w:spacing w:after="40" w:line="252" w:lineRule="auto"/>
        <w:ind w:left="720" w:hanging="720"/>
        <w:jc w:val="both"/>
        <w:rPr>
          <w:sz w:val="18"/>
          <w:szCs w:val="18"/>
        </w:rPr>
      </w:pPr>
      <w:proofErr w:type="spellStart"/>
      <w:r w:rsidRPr="001161D0">
        <w:rPr>
          <w:sz w:val="18"/>
          <w:szCs w:val="18"/>
        </w:rPr>
        <w:t>Kenaka</w:t>
      </w:r>
      <w:proofErr w:type="spellEnd"/>
      <w:r w:rsidRPr="001161D0">
        <w:rPr>
          <w:sz w:val="18"/>
          <w:szCs w:val="18"/>
        </w:rPr>
        <w:t xml:space="preserve">, S. P., </w:t>
      </w:r>
      <w:proofErr w:type="spellStart"/>
      <w:r w:rsidRPr="001161D0">
        <w:rPr>
          <w:sz w:val="18"/>
          <w:szCs w:val="18"/>
        </w:rPr>
        <w:t>Cakravastia</w:t>
      </w:r>
      <w:proofErr w:type="spellEnd"/>
      <w:r w:rsidRPr="001161D0">
        <w:rPr>
          <w:sz w:val="18"/>
          <w:szCs w:val="18"/>
        </w:rPr>
        <w:t xml:space="preserve">, A., </w:t>
      </w:r>
      <w:proofErr w:type="spellStart"/>
      <w:r w:rsidRPr="001161D0">
        <w:rPr>
          <w:sz w:val="18"/>
          <w:szCs w:val="18"/>
        </w:rPr>
        <w:t>Diawati</w:t>
      </w:r>
      <w:proofErr w:type="spellEnd"/>
      <w:r w:rsidRPr="001161D0">
        <w:rPr>
          <w:sz w:val="18"/>
          <w:szCs w:val="18"/>
        </w:rPr>
        <w:t xml:space="preserve">, L., &amp; </w:t>
      </w:r>
      <w:proofErr w:type="spellStart"/>
      <w:r w:rsidRPr="001161D0">
        <w:rPr>
          <w:sz w:val="18"/>
          <w:szCs w:val="18"/>
        </w:rPr>
        <w:t>Bahagia</w:t>
      </w:r>
      <w:proofErr w:type="spellEnd"/>
      <w:r w:rsidRPr="001161D0">
        <w:rPr>
          <w:sz w:val="18"/>
          <w:szCs w:val="18"/>
        </w:rPr>
        <w:t xml:space="preserve">, S. N. (2025). </w:t>
      </w:r>
      <w:proofErr w:type="spellStart"/>
      <w:r w:rsidRPr="001161D0">
        <w:rPr>
          <w:sz w:val="18"/>
          <w:szCs w:val="18"/>
        </w:rPr>
        <w:t>Enhancing</w:t>
      </w:r>
      <w:proofErr w:type="spellEnd"/>
      <w:r w:rsidRPr="001161D0">
        <w:rPr>
          <w:sz w:val="18"/>
          <w:szCs w:val="18"/>
        </w:rPr>
        <w:t xml:space="preserve"> </w:t>
      </w:r>
      <w:proofErr w:type="spellStart"/>
      <w:r w:rsidRPr="001161D0">
        <w:rPr>
          <w:sz w:val="18"/>
          <w:szCs w:val="18"/>
        </w:rPr>
        <w:t>intermittent</w:t>
      </w:r>
      <w:proofErr w:type="spellEnd"/>
      <w:r w:rsidRPr="001161D0">
        <w:rPr>
          <w:sz w:val="18"/>
          <w:szCs w:val="18"/>
        </w:rPr>
        <w:t xml:space="preserve"> </w:t>
      </w:r>
      <w:proofErr w:type="spellStart"/>
      <w:r w:rsidRPr="001161D0">
        <w:rPr>
          <w:sz w:val="18"/>
          <w:szCs w:val="18"/>
        </w:rPr>
        <w:t>spare</w:t>
      </w:r>
      <w:proofErr w:type="spellEnd"/>
      <w:r w:rsidRPr="001161D0">
        <w:rPr>
          <w:sz w:val="18"/>
          <w:szCs w:val="18"/>
        </w:rPr>
        <w:t xml:space="preserve"> </w:t>
      </w:r>
      <w:proofErr w:type="spellStart"/>
      <w:r w:rsidRPr="001161D0">
        <w:rPr>
          <w:sz w:val="18"/>
          <w:szCs w:val="18"/>
        </w:rPr>
        <w:t>part</w:t>
      </w:r>
      <w:proofErr w:type="spellEnd"/>
      <w:r w:rsidRPr="001161D0">
        <w:rPr>
          <w:sz w:val="18"/>
          <w:szCs w:val="18"/>
        </w:rPr>
        <w:t xml:space="preserve"> </w:t>
      </w:r>
      <w:proofErr w:type="spellStart"/>
      <w:r w:rsidRPr="001161D0">
        <w:rPr>
          <w:sz w:val="18"/>
          <w:szCs w:val="18"/>
        </w:rPr>
        <w:t>demand</w:t>
      </w:r>
      <w:proofErr w:type="spellEnd"/>
      <w:r w:rsidRPr="001161D0">
        <w:rPr>
          <w:sz w:val="18"/>
          <w:szCs w:val="18"/>
        </w:rPr>
        <w:t xml:space="preserve"> </w:t>
      </w:r>
      <w:proofErr w:type="spellStart"/>
      <w:r w:rsidRPr="001161D0">
        <w:rPr>
          <w:sz w:val="18"/>
          <w:szCs w:val="18"/>
        </w:rPr>
        <w:t>forecasting</w:t>
      </w:r>
      <w:proofErr w:type="spellEnd"/>
      <w:r w:rsidRPr="001161D0">
        <w:rPr>
          <w:sz w:val="18"/>
          <w:szCs w:val="18"/>
        </w:rPr>
        <w:t xml:space="preserve">: A novel ensemble </w:t>
      </w:r>
      <w:proofErr w:type="spellStart"/>
      <w:r w:rsidRPr="001161D0">
        <w:rPr>
          <w:sz w:val="18"/>
          <w:szCs w:val="18"/>
        </w:rPr>
        <w:t>approach</w:t>
      </w:r>
      <w:proofErr w:type="spellEnd"/>
      <w:r w:rsidRPr="001161D0">
        <w:rPr>
          <w:sz w:val="18"/>
          <w:szCs w:val="18"/>
        </w:rPr>
        <w:t xml:space="preserve"> </w:t>
      </w:r>
      <w:proofErr w:type="spellStart"/>
      <w:r w:rsidRPr="001161D0">
        <w:rPr>
          <w:sz w:val="18"/>
          <w:szCs w:val="18"/>
        </w:rPr>
        <w:t>with</w:t>
      </w:r>
      <w:proofErr w:type="spellEnd"/>
      <w:r w:rsidRPr="001161D0">
        <w:rPr>
          <w:sz w:val="18"/>
          <w:szCs w:val="18"/>
        </w:rPr>
        <w:t xml:space="preserve"> focal </w:t>
      </w:r>
      <w:proofErr w:type="spellStart"/>
      <w:r w:rsidRPr="001161D0">
        <w:rPr>
          <w:sz w:val="18"/>
          <w:szCs w:val="18"/>
        </w:rPr>
        <w:t>loss</w:t>
      </w:r>
      <w:proofErr w:type="spellEnd"/>
      <w:r w:rsidRPr="001161D0">
        <w:rPr>
          <w:sz w:val="18"/>
          <w:szCs w:val="18"/>
        </w:rPr>
        <w:t xml:space="preserve"> and SMOTE. </w:t>
      </w:r>
      <w:proofErr w:type="spellStart"/>
      <w:r w:rsidRPr="001161D0">
        <w:rPr>
          <w:sz w:val="18"/>
          <w:szCs w:val="18"/>
        </w:rPr>
        <w:t>Logistics</w:t>
      </w:r>
      <w:proofErr w:type="spellEnd"/>
      <w:r w:rsidRPr="001161D0">
        <w:rPr>
          <w:sz w:val="18"/>
          <w:szCs w:val="18"/>
        </w:rPr>
        <w:t>, 9(1), 25. https://doi.org/10.3390/logistics9010025</w:t>
      </w:r>
    </w:p>
    <w:p w14:paraId="795ABAC9" w14:textId="51FD1A95" w:rsidR="00B524A9" w:rsidRPr="001161D0" w:rsidRDefault="00DC00D5">
      <w:pPr>
        <w:spacing w:after="40" w:line="252" w:lineRule="auto"/>
        <w:ind w:left="720" w:hanging="720"/>
        <w:jc w:val="both"/>
        <w:rPr>
          <w:sz w:val="18"/>
          <w:szCs w:val="18"/>
        </w:rPr>
      </w:pPr>
      <w:proofErr w:type="spellStart"/>
      <w:r w:rsidRPr="00DC00D5">
        <w:rPr>
          <w:sz w:val="18"/>
          <w:szCs w:val="18"/>
        </w:rPr>
        <w:t>Nonthaphat</w:t>
      </w:r>
      <w:proofErr w:type="spellEnd"/>
      <w:r w:rsidRPr="00DC00D5">
        <w:rPr>
          <w:sz w:val="18"/>
          <w:szCs w:val="18"/>
        </w:rPr>
        <w:t> </w:t>
      </w:r>
      <w:proofErr w:type="spellStart"/>
      <w:r w:rsidRPr="00DC00D5">
        <w:rPr>
          <w:sz w:val="18"/>
          <w:szCs w:val="18"/>
        </w:rPr>
        <w:t>Sukolkit</w:t>
      </w:r>
      <w:proofErr w:type="spellEnd"/>
      <w:r w:rsidRPr="00DC00D5">
        <w:rPr>
          <w:sz w:val="18"/>
          <w:szCs w:val="18"/>
        </w:rPr>
        <w:t>, </w:t>
      </w:r>
      <w:proofErr w:type="spellStart"/>
      <w:r w:rsidRPr="00DC00D5">
        <w:rPr>
          <w:sz w:val="18"/>
          <w:szCs w:val="18"/>
        </w:rPr>
        <w:t>Sirawadee</w:t>
      </w:r>
      <w:proofErr w:type="spellEnd"/>
      <w:r w:rsidRPr="00DC00D5">
        <w:rPr>
          <w:sz w:val="18"/>
          <w:szCs w:val="18"/>
        </w:rPr>
        <w:t> </w:t>
      </w:r>
      <w:proofErr w:type="spellStart"/>
      <w:r w:rsidRPr="00DC00D5">
        <w:rPr>
          <w:sz w:val="18"/>
          <w:szCs w:val="18"/>
        </w:rPr>
        <w:t>Arunyanart</w:t>
      </w:r>
      <w:proofErr w:type="spellEnd"/>
      <w:r w:rsidRPr="00DC00D5">
        <w:rPr>
          <w:sz w:val="18"/>
          <w:szCs w:val="18"/>
        </w:rPr>
        <w:t>, Arthit </w:t>
      </w:r>
      <w:proofErr w:type="spellStart"/>
      <w:r w:rsidRPr="00DC00D5">
        <w:rPr>
          <w:sz w:val="18"/>
          <w:szCs w:val="18"/>
        </w:rPr>
        <w:t>Apichottanakul</w:t>
      </w:r>
      <w:proofErr w:type="spellEnd"/>
      <w:r w:rsidRPr="00DC00D5">
        <w:rPr>
          <w:sz w:val="18"/>
          <w:szCs w:val="18"/>
        </w:rPr>
        <w:t xml:space="preserve"> </w:t>
      </w:r>
      <w:r w:rsidR="00000000" w:rsidRPr="001161D0">
        <w:rPr>
          <w:sz w:val="18"/>
          <w:szCs w:val="18"/>
        </w:rPr>
        <w:t xml:space="preserve">(2024). </w:t>
      </w:r>
      <w:proofErr w:type="spellStart"/>
      <w:r w:rsidR="00000000" w:rsidRPr="001161D0">
        <w:rPr>
          <w:sz w:val="18"/>
          <w:szCs w:val="18"/>
        </w:rPr>
        <w:t>An</w:t>
      </w:r>
      <w:proofErr w:type="spellEnd"/>
      <w:r w:rsidR="00000000" w:rsidRPr="001161D0">
        <w:rPr>
          <w:sz w:val="18"/>
          <w:szCs w:val="18"/>
        </w:rPr>
        <w:t xml:space="preserve"> open innovative </w:t>
      </w:r>
      <w:proofErr w:type="spellStart"/>
      <w:r w:rsidR="00000000" w:rsidRPr="001161D0">
        <w:rPr>
          <w:sz w:val="18"/>
          <w:szCs w:val="18"/>
        </w:rPr>
        <w:t>inventory</w:t>
      </w:r>
      <w:proofErr w:type="spellEnd"/>
      <w:r w:rsidR="00000000" w:rsidRPr="001161D0">
        <w:rPr>
          <w:sz w:val="18"/>
          <w:szCs w:val="18"/>
        </w:rPr>
        <w:t xml:space="preserve"> </w:t>
      </w:r>
      <w:proofErr w:type="spellStart"/>
      <w:r w:rsidR="00000000" w:rsidRPr="001161D0">
        <w:rPr>
          <w:sz w:val="18"/>
          <w:szCs w:val="18"/>
        </w:rPr>
        <w:t>management</w:t>
      </w:r>
      <w:proofErr w:type="spellEnd"/>
      <w:r w:rsidR="00000000" w:rsidRPr="001161D0">
        <w:rPr>
          <w:sz w:val="18"/>
          <w:szCs w:val="18"/>
        </w:rPr>
        <w:t xml:space="preserve"> </w:t>
      </w:r>
      <w:proofErr w:type="spellStart"/>
      <w:r w:rsidR="00000000" w:rsidRPr="001161D0">
        <w:rPr>
          <w:sz w:val="18"/>
          <w:szCs w:val="18"/>
        </w:rPr>
        <w:t>based</w:t>
      </w:r>
      <w:proofErr w:type="spellEnd"/>
      <w:r w:rsidR="00000000" w:rsidRPr="001161D0">
        <w:rPr>
          <w:sz w:val="18"/>
          <w:szCs w:val="18"/>
        </w:rPr>
        <w:t xml:space="preserve"> </w:t>
      </w:r>
      <w:proofErr w:type="spellStart"/>
      <w:r w:rsidR="00000000" w:rsidRPr="001161D0">
        <w:rPr>
          <w:sz w:val="18"/>
          <w:szCs w:val="18"/>
        </w:rPr>
        <w:t>demand</w:t>
      </w:r>
      <w:proofErr w:type="spellEnd"/>
      <w:r w:rsidR="00000000" w:rsidRPr="001161D0">
        <w:rPr>
          <w:sz w:val="18"/>
          <w:szCs w:val="18"/>
        </w:rPr>
        <w:t xml:space="preserve"> </w:t>
      </w:r>
      <w:proofErr w:type="spellStart"/>
      <w:r w:rsidR="00000000" w:rsidRPr="001161D0">
        <w:rPr>
          <w:sz w:val="18"/>
          <w:szCs w:val="18"/>
        </w:rPr>
        <w:t>forecasting</w:t>
      </w:r>
      <w:proofErr w:type="spellEnd"/>
      <w:r w:rsidR="00000000" w:rsidRPr="001161D0">
        <w:rPr>
          <w:sz w:val="18"/>
          <w:szCs w:val="18"/>
        </w:rPr>
        <w:t xml:space="preserve"> </w:t>
      </w:r>
      <w:proofErr w:type="spellStart"/>
      <w:r w:rsidR="00000000" w:rsidRPr="001161D0">
        <w:rPr>
          <w:sz w:val="18"/>
          <w:szCs w:val="18"/>
        </w:rPr>
        <w:t>approach</w:t>
      </w:r>
      <w:proofErr w:type="spellEnd"/>
      <w:r w:rsidR="00000000" w:rsidRPr="001161D0">
        <w:rPr>
          <w:sz w:val="18"/>
          <w:szCs w:val="18"/>
        </w:rPr>
        <w:t xml:space="preserve"> </w:t>
      </w:r>
      <w:proofErr w:type="spellStart"/>
      <w:r w:rsidR="00000000" w:rsidRPr="001161D0">
        <w:rPr>
          <w:sz w:val="18"/>
          <w:szCs w:val="18"/>
        </w:rPr>
        <w:t>for</w:t>
      </w:r>
      <w:proofErr w:type="spellEnd"/>
      <w:r w:rsidR="00000000" w:rsidRPr="001161D0">
        <w:rPr>
          <w:sz w:val="18"/>
          <w:szCs w:val="18"/>
        </w:rPr>
        <w:t xml:space="preserve"> </w:t>
      </w:r>
      <w:proofErr w:type="spellStart"/>
      <w:r w:rsidR="00000000" w:rsidRPr="001161D0">
        <w:rPr>
          <w:sz w:val="18"/>
          <w:szCs w:val="18"/>
        </w:rPr>
        <w:t>the</w:t>
      </w:r>
      <w:proofErr w:type="spellEnd"/>
      <w:r w:rsidR="00000000" w:rsidRPr="001161D0">
        <w:rPr>
          <w:sz w:val="18"/>
          <w:szCs w:val="18"/>
        </w:rPr>
        <w:t xml:space="preserve"> </w:t>
      </w:r>
      <w:proofErr w:type="spellStart"/>
      <w:r w:rsidR="00000000" w:rsidRPr="001161D0">
        <w:rPr>
          <w:sz w:val="18"/>
          <w:szCs w:val="18"/>
        </w:rPr>
        <w:t>steel</w:t>
      </w:r>
      <w:proofErr w:type="spellEnd"/>
      <w:r w:rsidR="00000000" w:rsidRPr="001161D0">
        <w:rPr>
          <w:sz w:val="18"/>
          <w:szCs w:val="18"/>
        </w:rPr>
        <w:t xml:space="preserve"> </w:t>
      </w:r>
      <w:proofErr w:type="spellStart"/>
      <w:r w:rsidR="00000000" w:rsidRPr="001161D0">
        <w:rPr>
          <w:sz w:val="18"/>
          <w:szCs w:val="18"/>
        </w:rPr>
        <w:t>industry</w:t>
      </w:r>
      <w:proofErr w:type="spellEnd"/>
      <w:r w:rsidR="00000000" w:rsidRPr="001161D0">
        <w:rPr>
          <w:sz w:val="18"/>
          <w:szCs w:val="18"/>
        </w:rPr>
        <w:t xml:space="preserve">. </w:t>
      </w:r>
      <w:proofErr w:type="spellStart"/>
      <w:r w:rsidR="00000000" w:rsidRPr="001161D0">
        <w:rPr>
          <w:sz w:val="18"/>
          <w:szCs w:val="18"/>
        </w:rPr>
        <w:t>Journal</w:t>
      </w:r>
      <w:proofErr w:type="spellEnd"/>
      <w:r w:rsidR="00000000" w:rsidRPr="001161D0">
        <w:rPr>
          <w:sz w:val="18"/>
          <w:szCs w:val="18"/>
        </w:rPr>
        <w:t xml:space="preserve"> </w:t>
      </w:r>
      <w:proofErr w:type="spellStart"/>
      <w:r w:rsidR="00000000" w:rsidRPr="001161D0">
        <w:rPr>
          <w:sz w:val="18"/>
          <w:szCs w:val="18"/>
        </w:rPr>
        <w:t>of</w:t>
      </w:r>
      <w:proofErr w:type="spellEnd"/>
      <w:r w:rsidR="00000000" w:rsidRPr="001161D0">
        <w:rPr>
          <w:sz w:val="18"/>
          <w:szCs w:val="18"/>
        </w:rPr>
        <w:t xml:space="preserve"> Open </w:t>
      </w:r>
      <w:proofErr w:type="spellStart"/>
      <w:r w:rsidR="00000000" w:rsidRPr="001161D0">
        <w:rPr>
          <w:sz w:val="18"/>
          <w:szCs w:val="18"/>
        </w:rPr>
        <w:t>Innovation</w:t>
      </w:r>
      <w:proofErr w:type="spellEnd"/>
      <w:r w:rsidR="00000000" w:rsidRPr="001161D0">
        <w:rPr>
          <w:sz w:val="18"/>
          <w:szCs w:val="18"/>
        </w:rPr>
        <w:t xml:space="preserve">: </w:t>
      </w:r>
      <w:proofErr w:type="spellStart"/>
      <w:r w:rsidR="00000000" w:rsidRPr="001161D0">
        <w:rPr>
          <w:sz w:val="18"/>
          <w:szCs w:val="18"/>
        </w:rPr>
        <w:t>Technology</w:t>
      </w:r>
      <w:proofErr w:type="spellEnd"/>
      <w:r w:rsidR="00000000" w:rsidRPr="001161D0">
        <w:rPr>
          <w:sz w:val="18"/>
          <w:szCs w:val="18"/>
        </w:rPr>
        <w:t xml:space="preserve">, Market, and </w:t>
      </w:r>
      <w:proofErr w:type="spellStart"/>
      <w:r w:rsidR="00000000" w:rsidRPr="001161D0">
        <w:rPr>
          <w:sz w:val="18"/>
          <w:szCs w:val="18"/>
        </w:rPr>
        <w:t>Complexity</w:t>
      </w:r>
      <w:proofErr w:type="spellEnd"/>
      <w:r w:rsidR="00000000" w:rsidRPr="001161D0">
        <w:rPr>
          <w:sz w:val="18"/>
          <w:szCs w:val="18"/>
        </w:rPr>
        <w:t>. https://doi.org/10.1016/j.joitmc.2024.</w:t>
      </w:r>
      <w:r w:rsidRPr="00DC00D5">
        <w:rPr>
          <w:sz w:val="18"/>
          <w:szCs w:val="18"/>
        </w:rPr>
        <w:t>100407</w:t>
      </w:r>
    </w:p>
    <w:p w14:paraId="28BCA22A" w14:textId="77777777" w:rsidR="00B524A9" w:rsidRPr="001161D0" w:rsidRDefault="00000000">
      <w:pPr>
        <w:spacing w:after="40" w:line="252" w:lineRule="auto"/>
        <w:ind w:left="720" w:hanging="720"/>
        <w:jc w:val="both"/>
        <w:rPr>
          <w:sz w:val="18"/>
          <w:szCs w:val="18"/>
        </w:rPr>
      </w:pPr>
      <w:r w:rsidRPr="001161D0">
        <w:rPr>
          <w:sz w:val="18"/>
          <w:szCs w:val="18"/>
        </w:rPr>
        <w:t xml:space="preserve">Petropoulos, F., Apiletti, D., </w:t>
      </w:r>
      <w:proofErr w:type="spellStart"/>
      <w:r w:rsidRPr="001161D0">
        <w:rPr>
          <w:sz w:val="18"/>
          <w:szCs w:val="18"/>
        </w:rPr>
        <w:t>Assimakopoulos</w:t>
      </w:r>
      <w:proofErr w:type="spellEnd"/>
      <w:r w:rsidRPr="001161D0">
        <w:rPr>
          <w:sz w:val="18"/>
          <w:szCs w:val="18"/>
        </w:rPr>
        <w:t xml:space="preserve">, V., Babai, M. Z., Barrow, D. K., Ben Taieb, S., </w:t>
      </w:r>
      <w:proofErr w:type="spellStart"/>
      <w:r w:rsidRPr="001161D0">
        <w:rPr>
          <w:sz w:val="18"/>
          <w:szCs w:val="18"/>
        </w:rPr>
        <w:t>Bergmeir</w:t>
      </w:r>
      <w:proofErr w:type="spellEnd"/>
      <w:r w:rsidRPr="001161D0">
        <w:rPr>
          <w:sz w:val="18"/>
          <w:szCs w:val="18"/>
        </w:rPr>
        <w:t xml:space="preserve">, C., Bessa, R. J., Bijak, J., Boylan, J. E., Browell, J., Carnevale, C., Castle, J. L., Cirillo, P., Clements, M. P., Cordeiro, C., </w:t>
      </w:r>
      <w:proofErr w:type="spellStart"/>
      <w:r w:rsidRPr="001161D0">
        <w:rPr>
          <w:sz w:val="18"/>
          <w:szCs w:val="18"/>
        </w:rPr>
        <w:t>Cyrino</w:t>
      </w:r>
      <w:proofErr w:type="spellEnd"/>
      <w:r w:rsidRPr="001161D0">
        <w:rPr>
          <w:sz w:val="18"/>
          <w:szCs w:val="18"/>
        </w:rPr>
        <w:t xml:space="preserve"> Oliveira, F. L., De </w:t>
      </w:r>
      <w:proofErr w:type="spellStart"/>
      <w:r w:rsidRPr="001161D0">
        <w:rPr>
          <w:sz w:val="18"/>
          <w:szCs w:val="18"/>
        </w:rPr>
        <w:t>Baets</w:t>
      </w:r>
      <w:proofErr w:type="spellEnd"/>
      <w:r w:rsidRPr="001161D0">
        <w:rPr>
          <w:sz w:val="18"/>
          <w:szCs w:val="18"/>
        </w:rPr>
        <w:t xml:space="preserve">, S., </w:t>
      </w:r>
      <w:proofErr w:type="spellStart"/>
      <w:r w:rsidRPr="001161D0">
        <w:rPr>
          <w:sz w:val="18"/>
          <w:szCs w:val="18"/>
        </w:rPr>
        <w:t>Dokumentov</w:t>
      </w:r>
      <w:proofErr w:type="spellEnd"/>
      <w:r w:rsidRPr="001161D0">
        <w:rPr>
          <w:sz w:val="18"/>
          <w:szCs w:val="18"/>
        </w:rPr>
        <w:t xml:space="preserve">, A., … Ziel, F. (2022). </w:t>
      </w:r>
      <w:proofErr w:type="spellStart"/>
      <w:r w:rsidRPr="001161D0">
        <w:rPr>
          <w:sz w:val="18"/>
          <w:szCs w:val="18"/>
        </w:rPr>
        <w:t>Forecasting</w:t>
      </w:r>
      <w:proofErr w:type="spellEnd"/>
      <w:r w:rsidRPr="001161D0">
        <w:rPr>
          <w:sz w:val="18"/>
          <w:szCs w:val="18"/>
        </w:rPr>
        <w:t xml:space="preserve">: Theory and </w:t>
      </w:r>
      <w:proofErr w:type="spellStart"/>
      <w:r w:rsidRPr="001161D0">
        <w:rPr>
          <w:sz w:val="18"/>
          <w:szCs w:val="18"/>
        </w:rPr>
        <w:t>practice</w:t>
      </w:r>
      <w:proofErr w:type="spellEnd"/>
      <w:r w:rsidRPr="001161D0">
        <w:rPr>
          <w:sz w:val="18"/>
          <w:szCs w:val="18"/>
        </w:rPr>
        <w:t xml:space="preserve">. International </w:t>
      </w:r>
      <w:proofErr w:type="spellStart"/>
      <w:r w:rsidRPr="001161D0">
        <w:rPr>
          <w:sz w:val="18"/>
          <w:szCs w:val="18"/>
        </w:rPr>
        <w:t>Journal</w:t>
      </w:r>
      <w:proofErr w:type="spellEnd"/>
      <w:r w:rsidRPr="001161D0">
        <w:rPr>
          <w:sz w:val="18"/>
          <w:szCs w:val="18"/>
        </w:rPr>
        <w:t xml:space="preserve"> </w:t>
      </w:r>
      <w:proofErr w:type="spellStart"/>
      <w:r w:rsidRPr="001161D0">
        <w:rPr>
          <w:sz w:val="18"/>
          <w:szCs w:val="18"/>
        </w:rPr>
        <w:t>of</w:t>
      </w:r>
      <w:proofErr w:type="spellEnd"/>
      <w:r w:rsidRPr="001161D0">
        <w:rPr>
          <w:sz w:val="18"/>
          <w:szCs w:val="18"/>
        </w:rPr>
        <w:t xml:space="preserve"> </w:t>
      </w:r>
      <w:proofErr w:type="spellStart"/>
      <w:r w:rsidRPr="001161D0">
        <w:rPr>
          <w:sz w:val="18"/>
          <w:szCs w:val="18"/>
        </w:rPr>
        <w:t>Forecasting</w:t>
      </w:r>
      <w:proofErr w:type="spellEnd"/>
      <w:r w:rsidRPr="001161D0">
        <w:rPr>
          <w:sz w:val="18"/>
          <w:szCs w:val="18"/>
        </w:rPr>
        <w:t>, 38(3), 705–871. https://doi.org/10.1016/j.ijforecast.2021.11.001</w:t>
      </w:r>
    </w:p>
    <w:p w14:paraId="67A5E385" w14:textId="77777777" w:rsidR="00B524A9" w:rsidRPr="001161D0" w:rsidRDefault="00000000">
      <w:pPr>
        <w:spacing w:after="40" w:line="252" w:lineRule="auto"/>
        <w:ind w:left="720" w:hanging="720"/>
        <w:jc w:val="both"/>
        <w:rPr>
          <w:sz w:val="18"/>
          <w:szCs w:val="18"/>
        </w:rPr>
      </w:pPr>
      <w:proofErr w:type="spellStart"/>
      <w:r w:rsidRPr="001161D0">
        <w:rPr>
          <w:sz w:val="18"/>
          <w:szCs w:val="18"/>
        </w:rPr>
        <w:t>Prastuti</w:t>
      </w:r>
      <w:proofErr w:type="spellEnd"/>
      <w:r w:rsidRPr="001161D0">
        <w:rPr>
          <w:sz w:val="18"/>
          <w:szCs w:val="18"/>
        </w:rPr>
        <w:t xml:space="preserve">, M., Pujawan, I. N., </w:t>
      </w:r>
      <w:proofErr w:type="spellStart"/>
      <w:r w:rsidRPr="001161D0">
        <w:rPr>
          <w:sz w:val="18"/>
          <w:szCs w:val="18"/>
        </w:rPr>
        <w:t>Widodo</w:t>
      </w:r>
      <w:proofErr w:type="spellEnd"/>
      <w:r w:rsidRPr="001161D0">
        <w:rPr>
          <w:sz w:val="18"/>
          <w:szCs w:val="18"/>
        </w:rPr>
        <w:t xml:space="preserve">, E., &amp; Astuti, W. (2025). Machine </w:t>
      </w:r>
      <w:proofErr w:type="spellStart"/>
      <w:r w:rsidRPr="001161D0">
        <w:rPr>
          <w:sz w:val="18"/>
          <w:szCs w:val="18"/>
        </w:rPr>
        <w:t>learning</w:t>
      </w:r>
      <w:proofErr w:type="spellEnd"/>
      <w:r w:rsidRPr="001161D0">
        <w:rPr>
          <w:sz w:val="18"/>
          <w:szCs w:val="18"/>
        </w:rPr>
        <w:t xml:space="preserve"> </w:t>
      </w:r>
      <w:proofErr w:type="spellStart"/>
      <w:r w:rsidRPr="001161D0">
        <w:rPr>
          <w:sz w:val="18"/>
          <w:szCs w:val="18"/>
        </w:rPr>
        <w:t>methods</w:t>
      </w:r>
      <w:proofErr w:type="spellEnd"/>
      <w:r w:rsidRPr="001161D0">
        <w:rPr>
          <w:sz w:val="18"/>
          <w:szCs w:val="18"/>
        </w:rPr>
        <w:t xml:space="preserve"> </w:t>
      </w:r>
      <w:proofErr w:type="spellStart"/>
      <w:r w:rsidRPr="001161D0">
        <w:rPr>
          <w:sz w:val="18"/>
          <w:szCs w:val="18"/>
        </w:rPr>
        <w:t>for</w:t>
      </w:r>
      <w:proofErr w:type="spellEnd"/>
      <w:r w:rsidRPr="001161D0">
        <w:rPr>
          <w:sz w:val="18"/>
          <w:szCs w:val="18"/>
        </w:rPr>
        <w:t xml:space="preserve"> </w:t>
      </w:r>
      <w:proofErr w:type="spellStart"/>
      <w:r w:rsidRPr="001161D0">
        <w:rPr>
          <w:sz w:val="18"/>
          <w:szCs w:val="18"/>
        </w:rPr>
        <w:t>accurate</w:t>
      </w:r>
      <w:proofErr w:type="spellEnd"/>
      <w:r w:rsidRPr="001161D0">
        <w:rPr>
          <w:sz w:val="18"/>
          <w:szCs w:val="18"/>
        </w:rPr>
        <w:t xml:space="preserve"> </w:t>
      </w:r>
      <w:proofErr w:type="spellStart"/>
      <w:r w:rsidRPr="001161D0">
        <w:rPr>
          <w:sz w:val="18"/>
          <w:szCs w:val="18"/>
        </w:rPr>
        <w:t>demand</w:t>
      </w:r>
      <w:proofErr w:type="spellEnd"/>
      <w:r w:rsidRPr="001161D0">
        <w:rPr>
          <w:sz w:val="18"/>
          <w:szCs w:val="18"/>
        </w:rPr>
        <w:t xml:space="preserve"> </w:t>
      </w:r>
      <w:proofErr w:type="spellStart"/>
      <w:r w:rsidRPr="001161D0">
        <w:rPr>
          <w:sz w:val="18"/>
          <w:szCs w:val="18"/>
        </w:rPr>
        <w:t>forecasting</w:t>
      </w:r>
      <w:proofErr w:type="spellEnd"/>
      <w:r w:rsidRPr="001161D0">
        <w:rPr>
          <w:sz w:val="18"/>
          <w:szCs w:val="18"/>
        </w:rPr>
        <w:t xml:space="preserve"> in </w:t>
      </w:r>
      <w:proofErr w:type="spellStart"/>
      <w:r w:rsidRPr="001161D0">
        <w:rPr>
          <w:sz w:val="18"/>
          <w:szCs w:val="18"/>
        </w:rPr>
        <w:t>the</w:t>
      </w:r>
      <w:proofErr w:type="spellEnd"/>
      <w:r w:rsidRPr="001161D0">
        <w:rPr>
          <w:sz w:val="18"/>
          <w:szCs w:val="18"/>
        </w:rPr>
        <w:t xml:space="preserve"> </w:t>
      </w:r>
      <w:proofErr w:type="spellStart"/>
      <w:r w:rsidRPr="001161D0">
        <w:rPr>
          <w:sz w:val="18"/>
          <w:szCs w:val="18"/>
        </w:rPr>
        <w:t>cement</w:t>
      </w:r>
      <w:proofErr w:type="spellEnd"/>
      <w:r w:rsidRPr="001161D0">
        <w:rPr>
          <w:sz w:val="18"/>
          <w:szCs w:val="18"/>
        </w:rPr>
        <w:t xml:space="preserve"> </w:t>
      </w:r>
      <w:proofErr w:type="spellStart"/>
      <w:r w:rsidRPr="001161D0">
        <w:rPr>
          <w:sz w:val="18"/>
          <w:szCs w:val="18"/>
        </w:rPr>
        <w:t>industry</w:t>
      </w:r>
      <w:proofErr w:type="spellEnd"/>
      <w:r w:rsidRPr="001161D0">
        <w:rPr>
          <w:sz w:val="18"/>
          <w:szCs w:val="18"/>
        </w:rPr>
        <w:t xml:space="preserve">. En </w:t>
      </w:r>
      <w:proofErr w:type="spellStart"/>
      <w:r w:rsidRPr="001161D0">
        <w:rPr>
          <w:sz w:val="18"/>
          <w:szCs w:val="18"/>
        </w:rPr>
        <w:t>Lecture</w:t>
      </w:r>
      <w:proofErr w:type="spellEnd"/>
      <w:r w:rsidRPr="001161D0">
        <w:rPr>
          <w:sz w:val="18"/>
          <w:szCs w:val="18"/>
        </w:rPr>
        <w:t xml:space="preserve"> Notes </w:t>
      </w:r>
      <w:proofErr w:type="spellStart"/>
      <w:r w:rsidRPr="001161D0">
        <w:rPr>
          <w:sz w:val="18"/>
          <w:szCs w:val="18"/>
        </w:rPr>
        <w:t>on</w:t>
      </w:r>
      <w:proofErr w:type="spellEnd"/>
      <w:r w:rsidRPr="001161D0">
        <w:rPr>
          <w:sz w:val="18"/>
          <w:szCs w:val="18"/>
        </w:rPr>
        <w:t xml:space="preserve"> Data </w:t>
      </w:r>
      <w:proofErr w:type="spellStart"/>
      <w:r w:rsidRPr="001161D0">
        <w:rPr>
          <w:sz w:val="18"/>
          <w:szCs w:val="18"/>
        </w:rPr>
        <w:t>Engineering</w:t>
      </w:r>
      <w:proofErr w:type="spellEnd"/>
      <w:r w:rsidRPr="001161D0">
        <w:rPr>
          <w:sz w:val="18"/>
          <w:szCs w:val="18"/>
        </w:rPr>
        <w:t xml:space="preserve"> and </w:t>
      </w:r>
      <w:proofErr w:type="spellStart"/>
      <w:r w:rsidRPr="001161D0">
        <w:rPr>
          <w:sz w:val="18"/>
          <w:szCs w:val="18"/>
        </w:rPr>
        <w:t>Communications</w:t>
      </w:r>
      <w:proofErr w:type="spellEnd"/>
      <w:r w:rsidRPr="001161D0">
        <w:rPr>
          <w:sz w:val="18"/>
          <w:szCs w:val="18"/>
        </w:rPr>
        <w:t xml:space="preserve"> Technologies: Vol. 257 (pp. 665–680). Springer. https://doi.org/10.1007/978-981-96-7749-8_43</w:t>
      </w:r>
    </w:p>
    <w:p w14:paraId="62166358" w14:textId="77777777" w:rsidR="00B524A9" w:rsidRPr="001161D0" w:rsidRDefault="00000000">
      <w:pPr>
        <w:spacing w:after="40" w:line="252" w:lineRule="auto"/>
        <w:ind w:left="720" w:hanging="720"/>
        <w:jc w:val="both"/>
        <w:rPr>
          <w:sz w:val="18"/>
          <w:szCs w:val="18"/>
        </w:rPr>
      </w:pPr>
      <w:proofErr w:type="spellStart"/>
      <w:r w:rsidRPr="001161D0">
        <w:rPr>
          <w:sz w:val="18"/>
          <w:szCs w:val="18"/>
        </w:rPr>
        <w:t>Seyedan</w:t>
      </w:r>
      <w:proofErr w:type="spellEnd"/>
      <w:r w:rsidRPr="001161D0">
        <w:rPr>
          <w:sz w:val="18"/>
          <w:szCs w:val="18"/>
        </w:rPr>
        <w:t xml:space="preserve">, M., &amp; </w:t>
      </w:r>
      <w:proofErr w:type="spellStart"/>
      <w:r w:rsidRPr="001161D0">
        <w:rPr>
          <w:sz w:val="18"/>
          <w:szCs w:val="18"/>
        </w:rPr>
        <w:t>Mafakheri</w:t>
      </w:r>
      <w:proofErr w:type="spellEnd"/>
      <w:r w:rsidRPr="001161D0">
        <w:rPr>
          <w:sz w:val="18"/>
          <w:szCs w:val="18"/>
        </w:rPr>
        <w:t xml:space="preserve">, F. (2020). Predictive </w:t>
      </w:r>
      <w:proofErr w:type="spellStart"/>
      <w:r w:rsidRPr="001161D0">
        <w:rPr>
          <w:sz w:val="18"/>
          <w:szCs w:val="18"/>
        </w:rPr>
        <w:t>big</w:t>
      </w:r>
      <w:proofErr w:type="spellEnd"/>
      <w:r w:rsidRPr="001161D0">
        <w:rPr>
          <w:sz w:val="18"/>
          <w:szCs w:val="18"/>
        </w:rPr>
        <w:t xml:space="preserve"> data </w:t>
      </w:r>
      <w:proofErr w:type="spellStart"/>
      <w:r w:rsidRPr="001161D0">
        <w:rPr>
          <w:sz w:val="18"/>
          <w:szCs w:val="18"/>
        </w:rPr>
        <w:t>analytics</w:t>
      </w:r>
      <w:proofErr w:type="spellEnd"/>
      <w:r w:rsidRPr="001161D0">
        <w:rPr>
          <w:sz w:val="18"/>
          <w:szCs w:val="18"/>
        </w:rPr>
        <w:t xml:space="preserve"> </w:t>
      </w:r>
      <w:proofErr w:type="spellStart"/>
      <w:r w:rsidRPr="001161D0">
        <w:rPr>
          <w:sz w:val="18"/>
          <w:szCs w:val="18"/>
        </w:rPr>
        <w:t>for</w:t>
      </w:r>
      <w:proofErr w:type="spellEnd"/>
      <w:r w:rsidRPr="001161D0">
        <w:rPr>
          <w:sz w:val="18"/>
          <w:szCs w:val="18"/>
        </w:rPr>
        <w:t xml:space="preserve"> </w:t>
      </w:r>
      <w:proofErr w:type="spellStart"/>
      <w:r w:rsidRPr="001161D0">
        <w:rPr>
          <w:sz w:val="18"/>
          <w:szCs w:val="18"/>
        </w:rPr>
        <w:t>supply</w:t>
      </w:r>
      <w:proofErr w:type="spellEnd"/>
      <w:r w:rsidRPr="001161D0">
        <w:rPr>
          <w:sz w:val="18"/>
          <w:szCs w:val="18"/>
        </w:rPr>
        <w:t xml:space="preserve"> </w:t>
      </w:r>
      <w:proofErr w:type="spellStart"/>
      <w:r w:rsidRPr="001161D0">
        <w:rPr>
          <w:sz w:val="18"/>
          <w:szCs w:val="18"/>
        </w:rPr>
        <w:t>chain</w:t>
      </w:r>
      <w:proofErr w:type="spellEnd"/>
      <w:r w:rsidRPr="001161D0">
        <w:rPr>
          <w:sz w:val="18"/>
          <w:szCs w:val="18"/>
        </w:rPr>
        <w:t xml:space="preserve"> </w:t>
      </w:r>
      <w:proofErr w:type="spellStart"/>
      <w:r w:rsidRPr="001161D0">
        <w:rPr>
          <w:sz w:val="18"/>
          <w:szCs w:val="18"/>
        </w:rPr>
        <w:t>demand</w:t>
      </w:r>
      <w:proofErr w:type="spellEnd"/>
      <w:r w:rsidRPr="001161D0">
        <w:rPr>
          <w:sz w:val="18"/>
          <w:szCs w:val="18"/>
        </w:rPr>
        <w:t xml:space="preserve"> </w:t>
      </w:r>
      <w:proofErr w:type="spellStart"/>
      <w:r w:rsidRPr="001161D0">
        <w:rPr>
          <w:sz w:val="18"/>
          <w:szCs w:val="18"/>
        </w:rPr>
        <w:t>forecasting</w:t>
      </w:r>
      <w:proofErr w:type="spellEnd"/>
      <w:r w:rsidRPr="001161D0">
        <w:rPr>
          <w:sz w:val="18"/>
          <w:szCs w:val="18"/>
        </w:rPr>
        <w:t xml:space="preserve">: </w:t>
      </w:r>
      <w:proofErr w:type="spellStart"/>
      <w:r w:rsidRPr="001161D0">
        <w:rPr>
          <w:sz w:val="18"/>
          <w:szCs w:val="18"/>
        </w:rPr>
        <w:t>Methods</w:t>
      </w:r>
      <w:proofErr w:type="spellEnd"/>
      <w:r w:rsidRPr="001161D0">
        <w:rPr>
          <w:sz w:val="18"/>
          <w:szCs w:val="18"/>
        </w:rPr>
        <w:t xml:space="preserve">, </w:t>
      </w:r>
      <w:proofErr w:type="spellStart"/>
      <w:r w:rsidRPr="001161D0">
        <w:rPr>
          <w:sz w:val="18"/>
          <w:szCs w:val="18"/>
        </w:rPr>
        <w:t>applications</w:t>
      </w:r>
      <w:proofErr w:type="spellEnd"/>
      <w:r w:rsidRPr="001161D0">
        <w:rPr>
          <w:sz w:val="18"/>
          <w:szCs w:val="18"/>
        </w:rPr>
        <w:t xml:space="preserve">, and </w:t>
      </w:r>
      <w:proofErr w:type="spellStart"/>
      <w:r w:rsidRPr="001161D0">
        <w:rPr>
          <w:sz w:val="18"/>
          <w:szCs w:val="18"/>
        </w:rPr>
        <w:t>research</w:t>
      </w:r>
      <w:proofErr w:type="spellEnd"/>
      <w:r w:rsidRPr="001161D0">
        <w:rPr>
          <w:sz w:val="18"/>
          <w:szCs w:val="18"/>
        </w:rPr>
        <w:t xml:space="preserve"> </w:t>
      </w:r>
      <w:proofErr w:type="spellStart"/>
      <w:r w:rsidRPr="001161D0">
        <w:rPr>
          <w:sz w:val="18"/>
          <w:szCs w:val="18"/>
        </w:rPr>
        <w:t>opportunities</w:t>
      </w:r>
      <w:proofErr w:type="spellEnd"/>
      <w:r w:rsidRPr="001161D0">
        <w:rPr>
          <w:sz w:val="18"/>
          <w:szCs w:val="18"/>
        </w:rPr>
        <w:t xml:space="preserve">. </w:t>
      </w:r>
      <w:proofErr w:type="spellStart"/>
      <w:r w:rsidRPr="001161D0">
        <w:rPr>
          <w:sz w:val="18"/>
          <w:szCs w:val="18"/>
        </w:rPr>
        <w:t>Journal</w:t>
      </w:r>
      <w:proofErr w:type="spellEnd"/>
      <w:r w:rsidRPr="001161D0">
        <w:rPr>
          <w:sz w:val="18"/>
          <w:szCs w:val="18"/>
        </w:rPr>
        <w:t xml:space="preserve"> </w:t>
      </w:r>
      <w:proofErr w:type="spellStart"/>
      <w:r w:rsidRPr="001161D0">
        <w:rPr>
          <w:sz w:val="18"/>
          <w:szCs w:val="18"/>
        </w:rPr>
        <w:t>of</w:t>
      </w:r>
      <w:proofErr w:type="spellEnd"/>
      <w:r w:rsidRPr="001161D0">
        <w:rPr>
          <w:sz w:val="18"/>
          <w:szCs w:val="18"/>
        </w:rPr>
        <w:t xml:space="preserve"> Big Data, 7(53). https://doi.org/10.1186/s40537-020-00329-2</w:t>
      </w:r>
    </w:p>
    <w:p w14:paraId="0FEE14BE" w14:textId="77777777" w:rsidR="00B524A9" w:rsidRPr="001161D0" w:rsidRDefault="00000000">
      <w:pPr>
        <w:spacing w:after="40" w:line="252" w:lineRule="auto"/>
        <w:ind w:left="720" w:hanging="720"/>
        <w:jc w:val="both"/>
        <w:rPr>
          <w:sz w:val="18"/>
          <w:szCs w:val="18"/>
        </w:rPr>
      </w:pPr>
      <w:proofErr w:type="spellStart"/>
      <w:r w:rsidRPr="001161D0">
        <w:rPr>
          <w:sz w:val="18"/>
          <w:szCs w:val="18"/>
        </w:rPr>
        <w:t>Toorajipour</w:t>
      </w:r>
      <w:proofErr w:type="spellEnd"/>
      <w:r w:rsidRPr="001161D0">
        <w:rPr>
          <w:sz w:val="18"/>
          <w:szCs w:val="18"/>
        </w:rPr>
        <w:t xml:space="preserve">, R., </w:t>
      </w:r>
      <w:proofErr w:type="spellStart"/>
      <w:r w:rsidRPr="001161D0">
        <w:rPr>
          <w:sz w:val="18"/>
          <w:szCs w:val="18"/>
        </w:rPr>
        <w:t>Sohrabpour</w:t>
      </w:r>
      <w:proofErr w:type="spellEnd"/>
      <w:r w:rsidRPr="001161D0">
        <w:rPr>
          <w:sz w:val="18"/>
          <w:szCs w:val="18"/>
        </w:rPr>
        <w:t xml:space="preserve">, V., </w:t>
      </w:r>
      <w:proofErr w:type="spellStart"/>
      <w:r w:rsidRPr="001161D0">
        <w:rPr>
          <w:sz w:val="18"/>
          <w:szCs w:val="18"/>
        </w:rPr>
        <w:t>Nazarpour</w:t>
      </w:r>
      <w:proofErr w:type="spellEnd"/>
      <w:r w:rsidRPr="001161D0">
        <w:rPr>
          <w:sz w:val="18"/>
          <w:szCs w:val="18"/>
        </w:rPr>
        <w:t xml:space="preserve">, A., </w:t>
      </w:r>
      <w:proofErr w:type="spellStart"/>
      <w:r w:rsidRPr="001161D0">
        <w:rPr>
          <w:sz w:val="18"/>
          <w:szCs w:val="18"/>
        </w:rPr>
        <w:t>Oghazi</w:t>
      </w:r>
      <w:proofErr w:type="spellEnd"/>
      <w:r w:rsidRPr="001161D0">
        <w:rPr>
          <w:sz w:val="18"/>
          <w:szCs w:val="18"/>
        </w:rPr>
        <w:t xml:space="preserve">, P., &amp; Fischl, M. (2021). Artificial </w:t>
      </w:r>
      <w:proofErr w:type="spellStart"/>
      <w:r w:rsidRPr="001161D0">
        <w:rPr>
          <w:sz w:val="18"/>
          <w:szCs w:val="18"/>
        </w:rPr>
        <w:t>intelligence</w:t>
      </w:r>
      <w:proofErr w:type="spellEnd"/>
      <w:r w:rsidRPr="001161D0">
        <w:rPr>
          <w:sz w:val="18"/>
          <w:szCs w:val="18"/>
        </w:rPr>
        <w:t xml:space="preserve"> in </w:t>
      </w:r>
      <w:proofErr w:type="spellStart"/>
      <w:r w:rsidRPr="001161D0">
        <w:rPr>
          <w:sz w:val="18"/>
          <w:szCs w:val="18"/>
        </w:rPr>
        <w:t>supply</w:t>
      </w:r>
      <w:proofErr w:type="spellEnd"/>
      <w:r w:rsidRPr="001161D0">
        <w:rPr>
          <w:sz w:val="18"/>
          <w:szCs w:val="18"/>
        </w:rPr>
        <w:t xml:space="preserve"> </w:t>
      </w:r>
      <w:proofErr w:type="spellStart"/>
      <w:r w:rsidRPr="001161D0">
        <w:rPr>
          <w:sz w:val="18"/>
          <w:szCs w:val="18"/>
        </w:rPr>
        <w:t>chain</w:t>
      </w:r>
      <w:proofErr w:type="spellEnd"/>
      <w:r w:rsidRPr="001161D0">
        <w:rPr>
          <w:sz w:val="18"/>
          <w:szCs w:val="18"/>
        </w:rPr>
        <w:t xml:space="preserve"> </w:t>
      </w:r>
      <w:proofErr w:type="spellStart"/>
      <w:r w:rsidRPr="001161D0">
        <w:rPr>
          <w:sz w:val="18"/>
          <w:szCs w:val="18"/>
        </w:rPr>
        <w:t>management</w:t>
      </w:r>
      <w:proofErr w:type="spellEnd"/>
      <w:r w:rsidRPr="001161D0">
        <w:rPr>
          <w:sz w:val="18"/>
          <w:szCs w:val="18"/>
        </w:rPr>
        <w:t xml:space="preserve">: A </w:t>
      </w:r>
      <w:proofErr w:type="spellStart"/>
      <w:r w:rsidRPr="001161D0">
        <w:rPr>
          <w:sz w:val="18"/>
          <w:szCs w:val="18"/>
        </w:rPr>
        <w:t>systematic</w:t>
      </w:r>
      <w:proofErr w:type="spellEnd"/>
      <w:r w:rsidRPr="001161D0">
        <w:rPr>
          <w:sz w:val="18"/>
          <w:szCs w:val="18"/>
        </w:rPr>
        <w:t xml:space="preserve"> </w:t>
      </w:r>
      <w:proofErr w:type="spellStart"/>
      <w:r w:rsidRPr="001161D0">
        <w:rPr>
          <w:sz w:val="18"/>
          <w:szCs w:val="18"/>
        </w:rPr>
        <w:t>literature</w:t>
      </w:r>
      <w:proofErr w:type="spellEnd"/>
      <w:r w:rsidRPr="001161D0">
        <w:rPr>
          <w:sz w:val="18"/>
          <w:szCs w:val="18"/>
        </w:rPr>
        <w:t xml:space="preserve"> </w:t>
      </w:r>
      <w:proofErr w:type="spellStart"/>
      <w:r w:rsidRPr="001161D0">
        <w:rPr>
          <w:sz w:val="18"/>
          <w:szCs w:val="18"/>
        </w:rPr>
        <w:t>review</w:t>
      </w:r>
      <w:proofErr w:type="spellEnd"/>
      <w:r w:rsidRPr="001161D0">
        <w:rPr>
          <w:sz w:val="18"/>
          <w:szCs w:val="18"/>
        </w:rPr>
        <w:t xml:space="preserve">. </w:t>
      </w:r>
      <w:proofErr w:type="spellStart"/>
      <w:r w:rsidRPr="001161D0">
        <w:rPr>
          <w:sz w:val="18"/>
          <w:szCs w:val="18"/>
        </w:rPr>
        <w:t>Journal</w:t>
      </w:r>
      <w:proofErr w:type="spellEnd"/>
      <w:r w:rsidRPr="001161D0">
        <w:rPr>
          <w:sz w:val="18"/>
          <w:szCs w:val="18"/>
        </w:rPr>
        <w:t xml:space="preserve"> </w:t>
      </w:r>
      <w:proofErr w:type="spellStart"/>
      <w:r w:rsidRPr="001161D0">
        <w:rPr>
          <w:sz w:val="18"/>
          <w:szCs w:val="18"/>
        </w:rPr>
        <w:t>of</w:t>
      </w:r>
      <w:proofErr w:type="spellEnd"/>
      <w:r w:rsidRPr="001161D0">
        <w:rPr>
          <w:sz w:val="18"/>
          <w:szCs w:val="18"/>
        </w:rPr>
        <w:t xml:space="preserve"> Business </w:t>
      </w:r>
      <w:proofErr w:type="spellStart"/>
      <w:r w:rsidRPr="001161D0">
        <w:rPr>
          <w:sz w:val="18"/>
          <w:szCs w:val="18"/>
        </w:rPr>
        <w:t>Research</w:t>
      </w:r>
      <w:proofErr w:type="spellEnd"/>
      <w:r w:rsidRPr="001161D0">
        <w:rPr>
          <w:sz w:val="18"/>
          <w:szCs w:val="18"/>
        </w:rPr>
        <w:t>, 122, 502–517. https://doi.org/10.1016/j.jbusres.2020.09.009</w:t>
      </w:r>
    </w:p>
    <w:p w14:paraId="3B9E7479" w14:textId="77777777" w:rsidR="00B524A9" w:rsidRPr="001161D0" w:rsidRDefault="00000000">
      <w:pPr>
        <w:spacing w:after="40" w:line="252" w:lineRule="auto"/>
        <w:ind w:left="720" w:hanging="720"/>
        <w:jc w:val="both"/>
        <w:rPr>
          <w:sz w:val="18"/>
          <w:szCs w:val="18"/>
        </w:rPr>
      </w:pPr>
      <w:r w:rsidRPr="001161D0">
        <w:rPr>
          <w:sz w:val="18"/>
          <w:szCs w:val="18"/>
        </w:rPr>
        <w:t>Tubos y Perfiles de Occidente S.A.S. (2025). Balance de inventario septiembre 2025 [Archivo ERP UNO versión 8.5]. Documento interno.</w:t>
      </w:r>
    </w:p>
    <w:sectPr w:rsidR="00B524A9" w:rsidRPr="001161D0">
      <w:head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9FC48F" w14:textId="77777777" w:rsidR="00076147" w:rsidRDefault="00076147">
      <w:r>
        <w:separator/>
      </w:r>
    </w:p>
  </w:endnote>
  <w:endnote w:type="continuationSeparator" w:id="0">
    <w:p w14:paraId="1D45FFFF" w14:textId="77777777" w:rsidR="00076147" w:rsidRDefault="000761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4AF6E7" w14:textId="77777777" w:rsidR="00076147" w:rsidRDefault="00076147">
      <w:r>
        <w:separator/>
      </w:r>
    </w:p>
  </w:footnote>
  <w:footnote w:type="continuationSeparator" w:id="0">
    <w:p w14:paraId="4037BD64" w14:textId="77777777" w:rsidR="00076147" w:rsidRDefault="000761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A5CAA" w14:textId="77777777" w:rsidR="00B524A9" w:rsidRDefault="00000000">
    <w:pPr>
      <w:jc w:val="right"/>
    </w:pPr>
    <w:r>
      <w:fldChar w:fldCharType="begin"/>
    </w:r>
    <w:r>
      <w:instrText>PAGE</w:instrText>
    </w:r>
    <w:r>
      <w:fldChar w:fldCharType="separate"/>
    </w:r>
    <w:r w:rsidR="0072248F">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A68D7"/>
    <w:multiLevelType w:val="hybridMultilevel"/>
    <w:tmpl w:val="B3740938"/>
    <w:lvl w:ilvl="0" w:tplc="0E4E43F4">
      <w:start w:val="1"/>
      <w:numFmt w:val="bullet"/>
      <w:lvlText w:val="•"/>
      <w:lvlJc w:val="left"/>
      <w:pPr>
        <w:ind w:left="1080" w:hanging="360"/>
      </w:pPr>
    </w:lvl>
    <w:lvl w:ilvl="1" w:tplc="4C781E4A">
      <w:numFmt w:val="decimal"/>
      <w:lvlText w:val=""/>
      <w:lvlJc w:val="left"/>
    </w:lvl>
    <w:lvl w:ilvl="2" w:tplc="591A8E48">
      <w:numFmt w:val="decimal"/>
      <w:lvlText w:val=""/>
      <w:lvlJc w:val="left"/>
    </w:lvl>
    <w:lvl w:ilvl="3" w:tplc="048E2AB8">
      <w:numFmt w:val="decimal"/>
      <w:lvlText w:val=""/>
      <w:lvlJc w:val="left"/>
    </w:lvl>
    <w:lvl w:ilvl="4" w:tplc="5F906F70">
      <w:numFmt w:val="decimal"/>
      <w:lvlText w:val=""/>
      <w:lvlJc w:val="left"/>
    </w:lvl>
    <w:lvl w:ilvl="5" w:tplc="8FB24010">
      <w:numFmt w:val="decimal"/>
      <w:lvlText w:val=""/>
      <w:lvlJc w:val="left"/>
    </w:lvl>
    <w:lvl w:ilvl="6" w:tplc="FD427D78">
      <w:numFmt w:val="decimal"/>
      <w:lvlText w:val=""/>
      <w:lvlJc w:val="left"/>
    </w:lvl>
    <w:lvl w:ilvl="7" w:tplc="EC20412A">
      <w:numFmt w:val="decimal"/>
      <w:lvlText w:val=""/>
      <w:lvlJc w:val="left"/>
    </w:lvl>
    <w:lvl w:ilvl="8" w:tplc="7346AEEC">
      <w:numFmt w:val="decimal"/>
      <w:lvlText w:val=""/>
      <w:lvlJc w:val="left"/>
    </w:lvl>
  </w:abstractNum>
  <w:abstractNum w:abstractNumId="1" w15:restartNumberingAfterBreak="0">
    <w:nsid w:val="23A4054E"/>
    <w:multiLevelType w:val="hybridMultilevel"/>
    <w:tmpl w:val="632C29D0"/>
    <w:lvl w:ilvl="0" w:tplc="7FD8E336">
      <w:start w:val="1"/>
      <w:numFmt w:val="bullet"/>
      <w:lvlText w:val="●"/>
      <w:lvlJc w:val="left"/>
      <w:pPr>
        <w:ind w:left="720" w:hanging="360"/>
      </w:pPr>
    </w:lvl>
    <w:lvl w:ilvl="1" w:tplc="20802264">
      <w:start w:val="1"/>
      <w:numFmt w:val="bullet"/>
      <w:lvlText w:val="○"/>
      <w:lvlJc w:val="left"/>
      <w:pPr>
        <w:ind w:left="1440" w:hanging="360"/>
      </w:pPr>
    </w:lvl>
    <w:lvl w:ilvl="2" w:tplc="CBB2EC22">
      <w:start w:val="1"/>
      <w:numFmt w:val="bullet"/>
      <w:lvlText w:val="■"/>
      <w:lvlJc w:val="left"/>
      <w:pPr>
        <w:ind w:left="2160" w:hanging="360"/>
      </w:pPr>
    </w:lvl>
    <w:lvl w:ilvl="3" w:tplc="7A0EF5CA">
      <w:start w:val="1"/>
      <w:numFmt w:val="bullet"/>
      <w:lvlText w:val="●"/>
      <w:lvlJc w:val="left"/>
      <w:pPr>
        <w:ind w:left="2880" w:hanging="360"/>
      </w:pPr>
    </w:lvl>
    <w:lvl w:ilvl="4" w:tplc="DBBAFE32">
      <w:start w:val="1"/>
      <w:numFmt w:val="bullet"/>
      <w:lvlText w:val="○"/>
      <w:lvlJc w:val="left"/>
      <w:pPr>
        <w:ind w:left="3600" w:hanging="360"/>
      </w:pPr>
    </w:lvl>
    <w:lvl w:ilvl="5" w:tplc="4FDABB3A">
      <w:start w:val="1"/>
      <w:numFmt w:val="bullet"/>
      <w:lvlText w:val="■"/>
      <w:lvlJc w:val="left"/>
      <w:pPr>
        <w:ind w:left="4320" w:hanging="360"/>
      </w:pPr>
    </w:lvl>
    <w:lvl w:ilvl="6" w:tplc="1FB824C8">
      <w:start w:val="1"/>
      <w:numFmt w:val="bullet"/>
      <w:lvlText w:val="●"/>
      <w:lvlJc w:val="left"/>
      <w:pPr>
        <w:ind w:left="5040" w:hanging="360"/>
      </w:pPr>
    </w:lvl>
    <w:lvl w:ilvl="7" w:tplc="4EF80E58">
      <w:start w:val="1"/>
      <w:numFmt w:val="bullet"/>
      <w:lvlText w:val="●"/>
      <w:lvlJc w:val="left"/>
      <w:pPr>
        <w:ind w:left="5760" w:hanging="360"/>
      </w:pPr>
    </w:lvl>
    <w:lvl w:ilvl="8" w:tplc="911A2742">
      <w:start w:val="1"/>
      <w:numFmt w:val="bullet"/>
      <w:lvlText w:val="●"/>
      <w:lvlJc w:val="left"/>
      <w:pPr>
        <w:ind w:left="6480" w:hanging="360"/>
      </w:pPr>
    </w:lvl>
  </w:abstractNum>
  <w:num w:numId="1" w16cid:durableId="81533251">
    <w:abstractNumId w:val="1"/>
    <w:lvlOverride w:ilvl="0">
      <w:startOverride w:val="1"/>
    </w:lvlOverride>
  </w:num>
  <w:num w:numId="2" w16cid:durableId="31484676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24A9"/>
    <w:rsid w:val="00076147"/>
    <w:rsid w:val="001161D0"/>
    <w:rsid w:val="005B4215"/>
    <w:rsid w:val="0072248F"/>
    <w:rsid w:val="00B524A9"/>
    <w:rsid w:val="00DC00D5"/>
    <w:rsid w:val="00E7724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38BCC"/>
  <w15:docId w15:val="{48216734-0F08-419D-BCF3-C04A26C9B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TotalTime>
  <Pages>15</Pages>
  <Words>4719</Words>
  <Characters>25956</Characters>
  <Application>Microsoft Office Word</Application>
  <DocSecurity>0</DocSecurity>
  <Lines>216</Lines>
  <Paragraphs>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Pablo Alberto Marin</cp:lastModifiedBy>
  <cp:revision>3</cp:revision>
  <dcterms:created xsi:type="dcterms:W3CDTF">2026-04-21T21:07:00Z</dcterms:created>
  <dcterms:modified xsi:type="dcterms:W3CDTF">2026-04-21T22:07:00Z</dcterms:modified>
</cp:coreProperties>
</file>