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22437" w14:textId="77777777" w:rsidR="00730093" w:rsidRDefault="00730093">
      <w:pPr>
        <w:spacing w:before="2400"/>
      </w:pPr>
    </w:p>
    <w:p w14:paraId="0554156B" w14:textId="77777777" w:rsidR="00730093" w:rsidRDefault="00000000">
      <w:pPr>
        <w:spacing w:after="240"/>
        <w:jc w:val="center"/>
      </w:pPr>
      <w:r>
        <w:rPr>
          <w:b/>
          <w:bCs/>
          <w:sz w:val="28"/>
          <w:szCs w:val="28"/>
        </w:rPr>
        <w:t>Universidad Internacional de La Rioja (UNIR)</w:t>
      </w:r>
    </w:p>
    <w:p w14:paraId="05C66FA2" w14:textId="77777777" w:rsidR="00730093" w:rsidRDefault="00000000">
      <w:pPr>
        <w:spacing w:after="240"/>
        <w:jc w:val="center"/>
      </w:pPr>
      <w:r>
        <w:rPr>
          <w:sz w:val="26"/>
          <w:szCs w:val="26"/>
        </w:rPr>
        <w:t>Máster en Inteligencia Artificial</w:t>
      </w:r>
    </w:p>
    <w:p w14:paraId="28B55173" w14:textId="77777777" w:rsidR="00730093" w:rsidRDefault="00000000">
      <w:pPr>
        <w:spacing w:after="480"/>
        <w:jc w:val="center"/>
      </w:pPr>
      <w:r>
        <w:rPr>
          <w:i/>
          <w:iCs/>
        </w:rPr>
        <w:t>Inteligencia Artificial Generativa Aplicada al Análisis de Datos</w:t>
      </w:r>
    </w:p>
    <w:p w14:paraId="4F027A13" w14:textId="77777777" w:rsidR="00730093" w:rsidRDefault="00730093">
      <w:pPr>
        <w:spacing w:before="1200"/>
      </w:pPr>
    </w:p>
    <w:p w14:paraId="2D1207D1" w14:textId="77777777" w:rsidR="00730093" w:rsidRDefault="00000000">
      <w:pPr>
        <w:spacing w:after="360"/>
        <w:jc w:val="center"/>
      </w:pPr>
      <w:r>
        <w:rPr>
          <w:b/>
          <w:bCs/>
          <w:sz w:val="32"/>
          <w:szCs w:val="32"/>
        </w:rPr>
        <w:t>Actividad 1 — Comparación de Modelos Generativos y Aplicación Práctica con CTGAN y LLM</w:t>
      </w:r>
    </w:p>
    <w:p w14:paraId="27C29965" w14:textId="77777777" w:rsidR="00730093" w:rsidRDefault="00730093">
      <w:pPr>
        <w:spacing w:before="1200"/>
      </w:pPr>
    </w:p>
    <w:p w14:paraId="6F838191" w14:textId="77777777" w:rsidR="00730093" w:rsidRDefault="00000000">
      <w:pPr>
        <w:spacing w:after="240"/>
        <w:jc w:val="center"/>
      </w:pPr>
      <w:r>
        <w:rPr>
          <w:b/>
          <w:bCs/>
          <w:sz w:val="26"/>
          <w:szCs w:val="26"/>
        </w:rPr>
        <w:t>Pablo Alberto Duque Marín</w:t>
      </w:r>
    </w:p>
    <w:p w14:paraId="230E9BA0" w14:textId="77777777" w:rsidR="00730093" w:rsidRDefault="00000000">
      <w:pPr>
        <w:spacing w:after="240"/>
        <w:jc w:val="center"/>
      </w:pPr>
      <w:r>
        <w:t>Abril 25 de 2026</w:t>
      </w:r>
    </w:p>
    <w:p w14:paraId="02751E06" w14:textId="77777777" w:rsidR="00730093" w:rsidRDefault="00000000">
      <w:pPr>
        <w:jc w:val="center"/>
      </w:pPr>
      <w:r>
        <w:t>Manizales, Caldas, Colombia</w:t>
      </w:r>
    </w:p>
    <w:p w14:paraId="620D77F0" w14:textId="77777777" w:rsidR="00730093" w:rsidRDefault="00000000">
      <w:r>
        <w:br w:type="page"/>
      </w:r>
    </w:p>
    <w:p w14:paraId="39BF0F07" w14:textId="77777777" w:rsidR="00730093" w:rsidRDefault="00000000">
      <w:pPr>
        <w:pStyle w:val="Ttulo1"/>
      </w:pPr>
      <w:r>
        <w:lastRenderedPageBreak/>
        <w:t>Declaración de uso de IA generativa</w:t>
      </w:r>
    </w:p>
    <w:p w14:paraId="71B04C0B" w14:textId="77777777" w:rsidR="00730093" w:rsidRDefault="00000000">
      <w:pPr>
        <w:spacing w:after="120" w:line="360" w:lineRule="auto"/>
        <w:jc w:val="both"/>
      </w:pPr>
      <w:r>
        <w:t xml:space="preserve">Para la elaboración de esta actividad utilicé asistencia de IA generativa (Claude Opus 4.7 de </w:t>
      </w:r>
      <w:proofErr w:type="spellStart"/>
      <w:r>
        <w:t>Anthropic</w:t>
      </w:r>
      <w:proofErr w:type="spellEnd"/>
      <w:r>
        <w:t xml:space="preserve">) en las siguientes tareas: revisión de redacción y estilo, validación de los conceptos teóricos cubiertos en clase (modelos generativos para datos tabulares, métricas de evaluación de calidad sintética, </w:t>
      </w:r>
      <w:proofErr w:type="spellStart"/>
      <w:r>
        <w:t>prompting</w:t>
      </w:r>
      <w:proofErr w:type="spellEnd"/>
      <w:r>
        <w:t xml:space="preserve"> robusto), apoyo en la estructuración de explicaciones técnicas, y discusión iterativa de los hallazgos experimentales obtenidos.</w:t>
      </w:r>
    </w:p>
    <w:p w14:paraId="13622D4C" w14:textId="77777777" w:rsidR="00730093" w:rsidRDefault="00000000">
      <w:pPr>
        <w:spacing w:after="120" w:line="360" w:lineRule="auto"/>
        <w:jc w:val="both"/>
      </w:pPr>
      <w:r>
        <w:t xml:space="preserve">Todas las ejecuciones de código (entrenamiento de CTGAN sobre </w:t>
      </w:r>
      <w:proofErr w:type="spellStart"/>
      <w:r>
        <w:t>Adult</w:t>
      </w:r>
      <w:proofErr w:type="spellEnd"/>
      <w:r>
        <w:t xml:space="preserve"> </w:t>
      </w:r>
      <w:proofErr w:type="spellStart"/>
      <w:r>
        <w:t>Census</w:t>
      </w:r>
      <w:proofErr w:type="spellEnd"/>
      <w:r>
        <w:t xml:space="preserve">, llamadas a la API de </w:t>
      </w:r>
      <w:proofErr w:type="spellStart"/>
      <w:r>
        <w:t>OpenAI</w:t>
      </w:r>
      <w:proofErr w:type="spellEnd"/>
      <w:r>
        <w:t xml:space="preserve"> con GPT-4o-mini, cálculo de métricas y generación de gráficos) fueron realizadas por mí en mi entorno local. La IA cumplió un rol de tutor y revisor: ayudó a afinar terminología técnica, plantear preguntas dirigidas que profundizaron mi comprensión, y validar la coherencia de mis interpretaciones. El análisis crítico de los resultados, las decisiones metodológicas y las conclusiones son de elaboración propia.</w:t>
      </w:r>
    </w:p>
    <w:p w14:paraId="38707448" w14:textId="77777777" w:rsidR="00730093" w:rsidRDefault="00000000">
      <w:r>
        <w:br w:type="page"/>
      </w:r>
    </w:p>
    <w:p w14:paraId="4D29C66C" w14:textId="77777777" w:rsidR="00730093" w:rsidRDefault="00000000">
      <w:pPr>
        <w:pStyle w:val="Ttulo1"/>
      </w:pPr>
      <w:r>
        <w:lastRenderedPageBreak/>
        <w:t>Criterio 1. Comparación entre modelos clásicos (GAN, VAE) y un LLM moderno</w:t>
      </w:r>
    </w:p>
    <w:p w14:paraId="56ADF606" w14:textId="77777777" w:rsidR="00730093" w:rsidRDefault="00000000">
      <w:pPr>
        <w:spacing w:after="120" w:line="360" w:lineRule="auto"/>
        <w:jc w:val="both"/>
      </w:pPr>
      <w:r>
        <w:t xml:space="preserve">La inteligencia artificial generativa ha evolucionado de arquitecturas especializadas en distribuciones de datos específicas hacia modelos de propósito general capaces de adaptarse mediante </w:t>
      </w:r>
      <w:proofErr w:type="spellStart"/>
      <w:r>
        <w:t>prompting</w:t>
      </w:r>
      <w:proofErr w:type="spellEnd"/>
      <w:r>
        <w:t xml:space="preserve">. Esta sección compara los tres paradigmas más relevantes: las Redes Generativas Antagónicas (GAN) en su variante para datos tabulares (CTGAN), los </w:t>
      </w:r>
      <w:proofErr w:type="spellStart"/>
      <w:r>
        <w:t>Autoencoders</w:t>
      </w:r>
      <w:proofErr w:type="spellEnd"/>
      <w:r>
        <w:t xml:space="preserve"> Variacionales (VAE) en su variante TVAE, y los Modelos de Lenguaje de Gran Escala (LLM) ejemplificados por GPT-4. La comparación se estructura en cuatro dimensiones clave: objetivo del modelo, arquitectura técnica, requisitos de datos y aplicaciones típicas.</w:t>
      </w:r>
    </w:p>
    <w:p w14:paraId="6AC42762" w14:textId="77777777" w:rsidR="00730093" w:rsidRDefault="00000000">
      <w:pPr>
        <w:pStyle w:val="Ttulo2"/>
      </w:pPr>
      <w:r>
        <w:t>1.1 Tabla comparativa</w:t>
      </w:r>
    </w:p>
    <w:p w14:paraId="0227C754" w14:textId="77777777" w:rsidR="00730093" w:rsidRDefault="00000000">
      <w:pPr>
        <w:spacing w:before="120" w:after="60"/>
      </w:pPr>
      <w:r>
        <w:rPr>
          <w:b/>
          <w:bCs/>
        </w:rPr>
        <w:t>Tabla 1</w:t>
      </w:r>
    </w:p>
    <w:p w14:paraId="4B168435" w14:textId="77777777" w:rsidR="00730093" w:rsidRDefault="00000000">
      <w:pPr>
        <w:spacing w:after="180"/>
      </w:pPr>
      <w:r>
        <w:rPr>
          <w:i/>
          <w:iCs/>
        </w:rPr>
        <w:t>Comparación de modelos generativos según objetivo, arquitectura, requisitos de datos y aplicaciones típicas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730093" w14:paraId="545C0F5C" w14:textId="77777777">
        <w:tblPrEx>
          <w:tblCellMar>
            <w:top w:w="0" w:type="dxa"/>
            <w:bottom w:w="0" w:type="dxa"/>
          </w:tblCellMar>
        </w:tblPrEx>
        <w:trPr>
          <w:tblHeader/>
        </w:trPr>
        <w:tc>
          <w:tcPr>
            <w:tcW w:w="1800" w:type="dxa"/>
            <w:tcBorders>
              <w:top w:val="single" w:sz="4" w:space="0" w:color="000000"/>
              <w:left w:val="none" w:sz="0" w:space="0" w:color="FFFFFF"/>
              <w:bottom w:val="single" w:sz="4" w:space="0" w:color="000000"/>
              <w:right w:val="none" w:sz="0" w:space="0" w:color="FFFFFF"/>
            </w:tcBorders>
            <w:tcMar>
              <w:top w:w="80" w:type="dxa"/>
              <w:left w:w="100" w:type="dxa"/>
              <w:bottom w:w="80" w:type="dxa"/>
              <w:right w:w="100" w:type="dxa"/>
            </w:tcMar>
          </w:tcPr>
          <w:p w14:paraId="39DAC2EB" w14:textId="77777777" w:rsidR="00730093" w:rsidRDefault="00000000">
            <w:pPr>
              <w:jc w:val="center"/>
            </w:pPr>
            <w:r>
              <w:rPr>
                <w:b/>
                <w:bCs/>
              </w:rPr>
              <w:t>Dimensión</w:t>
            </w:r>
          </w:p>
        </w:tc>
        <w:tc>
          <w:tcPr>
            <w:tcW w:w="2520" w:type="dxa"/>
            <w:tcBorders>
              <w:top w:val="single" w:sz="4" w:space="0" w:color="000000"/>
              <w:left w:val="none" w:sz="0" w:space="0" w:color="FFFFFF"/>
              <w:bottom w:val="single" w:sz="4" w:space="0" w:color="000000"/>
              <w:right w:val="none" w:sz="0" w:space="0" w:color="FFFFFF"/>
            </w:tcBorders>
            <w:tcMar>
              <w:top w:w="80" w:type="dxa"/>
              <w:left w:w="100" w:type="dxa"/>
              <w:bottom w:w="80" w:type="dxa"/>
              <w:right w:w="100" w:type="dxa"/>
            </w:tcMar>
          </w:tcPr>
          <w:p w14:paraId="18747DCD" w14:textId="77777777" w:rsidR="00730093" w:rsidRDefault="00000000">
            <w:pPr>
              <w:jc w:val="center"/>
            </w:pPr>
            <w:r>
              <w:rPr>
                <w:b/>
                <w:bCs/>
              </w:rPr>
              <w:t>GAN (CTGAN)</w:t>
            </w:r>
          </w:p>
        </w:tc>
        <w:tc>
          <w:tcPr>
            <w:tcW w:w="2520" w:type="dxa"/>
            <w:tcBorders>
              <w:top w:val="single" w:sz="4" w:space="0" w:color="000000"/>
              <w:left w:val="none" w:sz="0" w:space="0" w:color="FFFFFF"/>
              <w:bottom w:val="single" w:sz="4" w:space="0" w:color="000000"/>
              <w:right w:val="none" w:sz="0" w:space="0" w:color="FFFFFF"/>
            </w:tcBorders>
            <w:tcMar>
              <w:top w:w="80" w:type="dxa"/>
              <w:left w:w="100" w:type="dxa"/>
              <w:bottom w:w="80" w:type="dxa"/>
              <w:right w:w="100" w:type="dxa"/>
            </w:tcMar>
          </w:tcPr>
          <w:p w14:paraId="480ADF70" w14:textId="77777777" w:rsidR="00730093" w:rsidRDefault="00000000">
            <w:pPr>
              <w:jc w:val="center"/>
            </w:pPr>
            <w:r>
              <w:rPr>
                <w:b/>
                <w:bCs/>
              </w:rPr>
              <w:t>VAE (TVAE)</w:t>
            </w:r>
          </w:p>
        </w:tc>
        <w:tc>
          <w:tcPr>
            <w:tcW w:w="2520" w:type="dxa"/>
            <w:tcBorders>
              <w:top w:val="single" w:sz="4" w:space="0" w:color="000000"/>
              <w:left w:val="none" w:sz="0" w:space="0" w:color="FFFFFF"/>
              <w:bottom w:val="single" w:sz="4" w:space="0" w:color="000000"/>
              <w:right w:val="none" w:sz="0" w:space="0" w:color="FFFFFF"/>
            </w:tcBorders>
            <w:tcMar>
              <w:top w:w="80" w:type="dxa"/>
              <w:left w:w="100" w:type="dxa"/>
              <w:bottom w:w="80" w:type="dxa"/>
              <w:right w:w="100" w:type="dxa"/>
            </w:tcMar>
          </w:tcPr>
          <w:p w14:paraId="642AADD7" w14:textId="77777777" w:rsidR="00730093" w:rsidRDefault="00000000">
            <w:pPr>
              <w:jc w:val="center"/>
            </w:pPr>
            <w:r>
              <w:rPr>
                <w:b/>
                <w:bCs/>
              </w:rPr>
              <w:t>LLM (GPT-4)</w:t>
            </w:r>
          </w:p>
        </w:tc>
      </w:tr>
      <w:tr w:rsidR="00730093" w14:paraId="79E39D76"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C618BB" w14:textId="77777777" w:rsidR="00730093" w:rsidRDefault="00000000">
            <w:r>
              <w:t>Objetivo</w:t>
            </w:r>
          </w:p>
        </w:tc>
        <w:tc>
          <w:tcPr>
            <w:tcW w:w="25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AFB5BE" w14:textId="77777777" w:rsidR="00730093" w:rsidRDefault="00000000">
            <w:pPr>
              <w:jc w:val="center"/>
            </w:pPr>
            <w:r>
              <w:t>Generar muestras sintéticas de máxima fidelidad estadística mediante competencia adversarial.</w:t>
            </w:r>
          </w:p>
        </w:tc>
        <w:tc>
          <w:tcPr>
            <w:tcW w:w="25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BDC24F3" w14:textId="77777777" w:rsidR="00730093" w:rsidRDefault="00000000">
            <w:pPr>
              <w:jc w:val="center"/>
            </w:pPr>
            <w:r>
              <w:t>Aprender una representación latente probabilística estructurada que permita reconstruir e interpolar.</w:t>
            </w:r>
          </w:p>
        </w:tc>
        <w:tc>
          <w:tcPr>
            <w:tcW w:w="25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823979" w14:textId="77777777" w:rsidR="00730093" w:rsidRDefault="00000000">
            <w:pPr>
              <w:jc w:val="center"/>
            </w:pPr>
            <w:r>
              <w:t>Generar secuencias de tokens condicionadas al contexto mediante modelado autorregresivo.</w:t>
            </w:r>
          </w:p>
        </w:tc>
      </w:tr>
      <w:tr w:rsidR="00730093" w14:paraId="6A950400"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1CB526" w14:textId="77777777" w:rsidR="00730093" w:rsidRDefault="00000000">
            <w:r>
              <w:t>Arquitectura</w:t>
            </w:r>
          </w:p>
        </w:tc>
        <w:tc>
          <w:tcPr>
            <w:tcW w:w="25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5E4141" w14:textId="77777777" w:rsidR="00730093" w:rsidRDefault="00000000">
            <w:pPr>
              <w:jc w:val="center"/>
            </w:pPr>
            <w:r>
              <w:t>Generador G y Discriminador D en juego min-</w:t>
            </w:r>
            <w:proofErr w:type="spellStart"/>
            <w:r>
              <w:t>max</w:t>
            </w:r>
            <w:proofErr w:type="spellEnd"/>
            <w:r>
              <w:t>. Mode-</w:t>
            </w:r>
            <w:proofErr w:type="spellStart"/>
            <w:r>
              <w:t>Specific</w:t>
            </w:r>
            <w:proofErr w:type="spellEnd"/>
            <w:r>
              <w:t xml:space="preserve"> </w:t>
            </w:r>
            <w:proofErr w:type="spellStart"/>
            <w:r>
              <w:t>Normalization</w:t>
            </w:r>
            <w:proofErr w:type="spellEnd"/>
            <w:r>
              <w:t xml:space="preserve"> para continuas y </w:t>
            </w:r>
            <w:proofErr w:type="spellStart"/>
            <w:r>
              <w:t>Conditional</w:t>
            </w:r>
            <w:proofErr w:type="spellEnd"/>
            <w:r>
              <w:t xml:space="preserve"> </w:t>
            </w:r>
            <w:proofErr w:type="spellStart"/>
            <w:r>
              <w:t>Sampling</w:t>
            </w:r>
            <w:proofErr w:type="spellEnd"/>
            <w:r>
              <w:t xml:space="preserve"> para categóricas.</w:t>
            </w:r>
          </w:p>
        </w:tc>
        <w:tc>
          <w:tcPr>
            <w:tcW w:w="25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EFA3B46" w14:textId="77777777" w:rsidR="00730093" w:rsidRDefault="00000000">
            <w:pPr>
              <w:jc w:val="center"/>
            </w:pPr>
            <w:r>
              <w:t xml:space="preserve">Codificador → espacio latente gaussiano (μ, σ²) → Decodificador. Truco de </w:t>
            </w:r>
            <w:proofErr w:type="spellStart"/>
            <w:r>
              <w:t>reparametrización</w:t>
            </w:r>
            <w:proofErr w:type="spellEnd"/>
            <w:r>
              <w:t>. Pérdida ELBO con término KL.</w:t>
            </w:r>
          </w:p>
        </w:tc>
        <w:tc>
          <w:tcPr>
            <w:tcW w:w="25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0C0AC0C" w14:textId="77777777" w:rsidR="00730093" w:rsidRDefault="00000000">
            <w:pPr>
              <w:jc w:val="center"/>
            </w:pPr>
            <w:proofErr w:type="spellStart"/>
            <w:r>
              <w:t>Transformer</w:t>
            </w:r>
            <w:proofErr w:type="spellEnd"/>
            <w:r>
              <w:t xml:space="preserve"> con autoatención </w:t>
            </w:r>
            <w:proofErr w:type="spellStart"/>
            <w:r>
              <w:t>multi-cabeza</w:t>
            </w:r>
            <w:proofErr w:type="spellEnd"/>
            <w:r>
              <w:t xml:space="preserve"> enmascarada. Decenas a cientos de capas, miles de millones de parámetros.</w:t>
            </w:r>
          </w:p>
        </w:tc>
      </w:tr>
      <w:tr w:rsidR="00730093" w14:paraId="23C592B5"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C76451" w14:textId="77777777" w:rsidR="00730093" w:rsidRDefault="00000000">
            <w:r>
              <w:t>Requisitos de datos</w:t>
            </w:r>
          </w:p>
        </w:tc>
        <w:tc>
          <w:tcPr>
            <w:tcW w:w="25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605BFC" w14:textId="77777777" w:rsidR="00730093" w:rsidRDefault="00000000">
            <w:pPr>
              <w:jc w:val="center"/>
            </w:pPr>
            <w:proofErr w:type="spellStart"/>
            <w:r>
              <w:t>Dataset</w:t>
            </w:r>
            <w:proofErr w:type="spellEnd"/>
            <w:r>
              <w:t xml:space="preserve"> tabular del dominio, miles a decenas de miles de registros. Convergencia </w:t>
            </w:r>
            <w:r>
              <w:lastRenderedPageBreak/>
              <w:t>adversarial requiere volumen.</w:t>
            </w:r>
          </w:p>
        </w:tc>
        <w:tc>
          <w:tcPr>
            <w:tcW w:w="25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B57D08" w14:textId="77777777" w:rsidR="00730093" w:rsidRDefault="00000000">
            <w:pPr>
              <w:jc w:val="center"/>
            </w:pPr>
            <w:r>
              <w:lastRenderedPageBreak/>
              <w:t>Volúmenes moderados (cientos a miles). El término KL regulariza el espacio latente.</w:t>
            </w:r>
          </w:p>
        </w:tc>
        <w:tc>
          <w:tcPr>
            <w:tcW w:w="25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8A755F" w14:textId="77777777" w:rsidR="00730093" w:rsidRDefault="00000000">
            <w:pPr>
              <w:jc w:val="center"/>
            </w:pPr>
            <w:proofErr w:type="spellStart"/>
            <w:r>
              <w:t>Preentrenado</w:t>
            </w:r>
            <w:proofErr w:type="spellEnd"/>
            <w:r>
              <w:t xml:space="preserve"> con terabytes de texto. El usuario no aporta datos de </w:t>
            </w:r>
            <w:r>
              <w:lastRenderedPageBreak/>
              <w:t xml:space="preserve">entrenamiento; basta diseñar un </w:t>
            </w:r>
            <w:proofErr w:type="spellStart"/>
            <w:r>
              <w:t>prompt</w:t>
            </w:r>
            <w:proofErr w:type="spellEnd"/>
            <w:r>
              <w:t>.</w:t>
            </w:r>
          </w:p>
        </w:tc>
      </w:tr>
      <w:tr w:rsidR="00730093" w14:paraId="351D6104" w14:textId="77777777">
        <w:tblPrEx>
          <w:tblCellMar>
            <w:top w:w="0" w:type="dxa"/>
            <w:bottom w:w="0" w:type="dxa"/>
          </w:tblCellMar>
        </w:tblPrEx>
        <w:tc>
          <w:tcPr>
            <w:tcW w:w="18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6D99F162" w14:textId="77777777" w:rsidR="00730093" w:rsidRDefault="00000000">
            <w:r>
              <w:lastRenderedPageBreak/>
              <w:t>Aplicaciones típicas</w:t>
            </w:r>
          </w:p>
        </w:tc>
        <w:tc>
          <w:tcPr>
            <w:tcW w:w="252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45CE2F51" w14:textId="77777777" w:rsidR="00730093" w:rsidRDefault="00000000">
            <w:pPr>
              <w:jc w:val="center"/>
            </w:pPr>
            <w:r>
              <w:t>Generación de datos tabulares sintéticos: financieros, clínicos. Aumentación de clases minoritarias.</w:t>
            </w:r>
          </w:p>
        </w:tc>
        <w:tc>
          <w:tcPr>
            <w:tcW w:w="252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11FA13DD" w14:textId="77777777" w:rsidR="00730093" w:rsidRDefault="00000000">
            <w:pPr>
              <w:jc w:val="center"/>
            </w:pPr>
            <w:r>
              <w:t>Detección de anomalías, imputación de faltantes, exploración de estructura latente, química computacional.</w:t>
            </w:r>
          </w:p>
        </w:tc>
        <w:tc>
          <w:tcPr>
            <w:tcW w:w="252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41D8CC2B" w14:textId="77777777" w:rsidR="00730093" w:rsidRDefault="00000000">
            <w:pPr>
              <w:jc w:val="center"/>
            </w:pPr>
            <w:r>
              <w:t xml:space="preserve">Generación y resumen de texto, traducción, código, extracción estructurada, enriquecimiento semántico de </w:t>
            </w:r>
            <w:proofErr w:type="spellStart"/>
            <w:r>
              <w:t>datasets</w:t>
            </w:r>
            <w:proofErr w:type="spellEnd"/>
            <w:r>
              <w:t>.</w:t>
            </w:r>
          </w:p>
        </w:tc>
      </w:tr>
    </w:tbl>
    <w:p w14:paraId="431FB6A9" w14:textId="77777777" w:rsidR="00730093" w:rsidRDefault="00730093">
      <w:pPr>
        <w:spacing w:after="120" w:line="360" w:lineRule="auto"/>
      </w:pPr>
    </w:p>
    <w:p w14:paraId="32AF53ED" w14:textId="77777777" w:rsidR="00730093" w:rsidRDefault="00000000">
      <w:pPr>
        <w:spacing w:after="120" w:line="360" w:lineRule="auto"/>
        <w:jc w:val="both"/>
      </w:pPr>
      <w:r>
        <w:rPr>
          <w:b/>
          <w:bCs/>
          <w:i/>
          <w:iCs/>
        </w:rPr>
        <w:t>Nota.</w:t>
      </w:r>
      <w:r>
        <w:t xml:space="preserve"> Elaboración propia con base en Goodfellow et al. (2014), Kingma y Welling (2014), Vaswani et al. (2017) y </w:t>
      </w:r>
      <w:proofErr w:type="spellStart"/>
      <w:r>
        <w:t>Xu</w:t>
      </w:r>
      <w:proofErr w:type="spellEnd"/>
      <w:r>
        <w:t xml:space="preserve"> et al. (2019).</w:t>
      </w:r>
    </w:p>
    <w:p w14:paraId="0B337F78" w14:textId="77777777" w:rsidR="00730093" w:rsidRDefault="00000000">
      <w:pPr>
        <w:pStyle w:val="Ttulo2"/>
      </w:pPr>
      <w:r>
        <w:t>1.2 Análisis de las dimensiones</w:t>
      </w:r>
    </w:p>
    <w:p w14:paraId="51ADE64D" w14:textId="77777777" w:rsidR="00730093" w:rsidRDefault="00000000">
      <w:pPr>
        <w:spacing w:after="120" w:line="360" w:lineRule="auto"/>
        <w:jc w:val="both"/>
      </w:pPr>
      <w:r>
        <w:t>La distinción fundamental entre los tres paradigmas radica en cómo aprenden la distribución de los datos. Las GAN aprenden de forma implícita mediante el equilibrio adversarial entre dos redes; el modelo nunca formula explícitamente la probabilidad de los datos, pero el generador termina muestreando de una distribución cercana a la real. Los VAE aprenden de forma explícita maximizando una cota inferior (ELBO) sobre la verosimilitud, lo que les da un espacio latente estructurado e interpretable. Los LLM aprenden la distribución conjunta mediante factorización autorregresiva, descomponiendo la probabilidad de una secuencia en el producto de probabilidades condicionales.</w:t>
      </w:r>
    </w:p>
    <w:p w14:paraId="1768EB4C" w14:textId="77777777" w:rsidR="00730093" w:rsidRDefault="00000000">
      <w:pPr>
        <w:spacing w:after="120" w:line="360" w:lineRule="auto"/>
        <w:jc w:val="both"/>
      </w:pPr>
      <w:r>
        <w:t xml:space="preserve">En términos de requisitos de datos, esta distinción se traduce en realidades operativas muy distintas. CTGAN necesita un </w:t>
      </w:r>
      <w:proofErr w:type="spellStart"/>
      <w:r>
        <w:t>dataset</w:t>
      </w:r>
      <w:proofErr w:type="spellEnd"/>
      <w:r>
        <w:t xml:space="preserve"> específico del dominio con suficientes muestras para estabilizar el entrenamiento adversarial; TVAE puede funcionar con menos datos gracias a la regularización del término KL; los LLM no requieren entrenamiento desde cero por parte del usuario, ya que vienen </w:t>
      </w:r>
      <w:proofErr w:type="spellStart"/>
      <w:r>
        <w:t>preentrenados</w:t>
      </w:r>
      <w:proofErr w:type="spellEnd"/>
      <w:r>
        <w:t xml:space="preserve"> con corpus masivos y se adaptan mediante </w:t>
      </w:r>
      <w:proofErr w:type="spellStart"/>
      <w:r>
        <w:t>prompting</w:t>
      </w:r>
      <w:proofErr w:type="spellEnd"/>
      <w:r>
        <w:t xml:space="preserve"> o ajuste fino con pocos ejemplos.</w:t>
      </w:r>
    </w:p>
    <w:p w14:paraId="19AC5418" w14:textId="77777777" w:rsidR="00520A28" w:rsidRDefault="00000000" w:rsidP="00520A28">
      <w:pPr>
        <w:spacing w:after="120" w:line="360" w:lineRule="auto"/>
        <w:jc w:val="both"/>
      </w:pPr>
      <w:r>
        <w:t xml:space="preserve">Las aplicaciones típicas reflejan estas diferencias. CTGAN domina en generación de datos tabulares con alta fidelidad estadística, particularmente en sectores financieros y clínicos donde </w:t>
      </w:r>
      <w:r>
        <w:lastRenderedPageBreak/>
        <w:t xml:space="preserve">la </w:t>
      </w:r>
      <w:proofErr w:type="spellStart"/>
      <w:r>
        <w:t>anonimización</w:t>
      </w:r>
      <w:proofErr w:type="spellEnd"/>
      <w:r>
        <w:t xml:space="preserve"> es crítica. TVAE es preferido cuando se necesita explorar el espacio latente de los datos, por </w:t>
      </w:r>
      <w:proofErr w:type="gramStart"/>
      <w:r>
        <w:t>ejemplo</w:t>
      </w:r>
      <w:proofErr w:type="gramEnd"/>
      <w:r>
        <w:t xml:space="preserve"> en química computacional para diseño molecular. Los LLM cubren tareas donde la flexibilidad y la adaptabilidad importan más que la precisión estadística: generación de texto, resúmenes, extracción de información estructurada desde fuentes no estructuradas, y enriquecimiento semántico de </w:t>
      </w:r>
      <w:proofErr w:type="spellStart"/>
      <w:r>
        <w:t>datasets.</w:t>
      </w:r>
      <w:proofErr w:type="spellEnd"/>
    </w:p>
    <w:p w14:paraId="37A53306" w14:textId="45459685" w:rsidR="00730093" w:rsidRDefault="00000000" w:rsidP="00520A28">
      <w:pPr>
        <w:spacing w:after="120" w:line="360" w:lineRule="auto"/>
        <w:jc w:val="both"/>
      </w:pPr>
      <w:r>
        <w:rPr>
          <w:b/>
          <w:bCs/>
          <w:sz w:val="32"/>
          <w:szCs w:val="32"/>
        </w:rPr>
        <w:t>Criterio 2. Caso de uso profesional con LLM en banca minorista</w:t>
      </w:r>
    </w:p>
    <w:p w14:paraId="57A33868" w14:textId="77777777" w:rsidR="00730093" w:rsidRDefault="00000000">
      <w:pPr>
        <w:pStyle w:val="Ttulo2"/>
      </w:pPr>
      <w:r>
        <w:t>2.1 Contexto del caso</w:t>
      </w:r>
    </w:p>
    <w:p w14:paraId="2BB7D5B5" w14:textId="77777777" w:rsidR="00730093" w:rsidRDefault="00000000">
      <w:pPr>
        <w:spacing w:after="120" w:line="360" w:lineRule="auto"/>
        <w:jc w:val="both"/>
      </w:pPr>
      <w:r>
        <w:t xml:space="preserve">En la evaluación crediticia automatizada, un modelo de </w:t>
      </w:r>
      <w:proofErr w:type="spellStart"/>
      <w:r>
        <w:t>scoring</w:t>
      </w:r>
      <w:proofErr w:type="spellEnd"/>
      <w:r>
        <w:t xml:space="preserve"> (</w:t>
      </w:r>
      <w:proofErr w:type="spellStart"/>
      <w:r>
        <w:t>XGBoost</w:t>
      </w:r>
      <w:proofErr w:type="spellEnd"/>
      <w:r>
        <w:t xml:space="preserve">, Random Forest o redes neuronales) decide si aprobar o rechazar una solicitud de crédito de consumo. Cuando el resultado es negativo, la entidad bancaria está obligada a comunicar al solicitante las razones del rechazo, cumpliendo con normativa de protección al consumidor financiero y, en jurisdicciones como la Unión Europea, con el derecho a explicación establecido en el Reglamento General de Protección de Datos (RGPD, artículo 22) y reforzado por el Reglamento Europeo de Inteligencia Artificial (AI </w:t>
      </w:r>
      <w:proofErr w:type="spellStart"/>
      <w:r>
        <w:t>Act</w:t>
      </w:r>
      <w:proofErr w:type="spellEnd"/>
      <w:r>
        <w:t xml:space="preserve">, 2024). El caso de uso consiste en integrar un LLM al final de la cadena de decisión: el modelo de </w:t>
      </w:r>
      <w:proofErr w:type="spellStart"/>
      <w:r>
        <w:t>scoring</w:t>
      </w:r>
      <w:proofErr w:type="spellEnd"/>
      <w:r>
        <w:t xml:space="preserve"> entrega el resultado y los factores más influyentes (obtenidos mediante técnicas de IA explicable como SHAP), y el LLM redacta automáticamente una carta personalizada, clara y conforme a normativa, dirigida al solicitante.</w:t>
      </w:r>
    </w:p>
    <w:p w14:paraId="468E581F" w14:textId="77777777" w:rsidR="00730093" w:rsidRDefault="00000000">
      <w:pPr>
        <w:pStyle w:val="Ttulo2"/>
      </w:pPr>
      <w:r>
        <w:t>2.2 ¿Qué puede automatizarse con un LLM?</w:t>
      </w:r>
    </w:p>
    <w:p w14:paraId="5DD76F28" w14:textId="77777777" w:rsidR="00730093" w:rsidRDefault="00000000">
      <w:pPr>
        <w:spacing w:after="120" w:line="360" w:lineRule="auto"/>
        <w:jc w:val="both"/>
      </w:pPr>
      <w:r>
        <w:t xml:space="preserve">La redacción del cuerpo de la carta es el componente natural de automatización. El LLM recibe como entrada estructurada los factores explicativos del rechazo (por ejemplo, relación deuda-ingreso elevada, historial crediticio corto, ingresos insuficientes para el monto solicitado) junto con datos del cliente (nombre, producto solicitado, monto) y genera un texto en lenguaje natural adaptado al nivel de comprensión del destinatario, con tono empático pero formal, explicando las razones del rechazo y sugiriendo pasos concretos para mejorar la viabilidad futura de la solicitud. Esto es altamente automatizable porque se trata de una tarea de transformación </w:t>
      </w:r>
      <w:r>
        <w:lastRenderedPageBreak/>
        <w:t>estructurada-a-texto con un esquema acotado y repetible, donde el LLM aporta valor en la adaptación lingüística y en la explicación pedagógica de información técnica.</w:t>
      </w:r>
    </w:p>
    <w:p w14:paraId="2CD03FD4" w14:textId="77777777" w:rsidR="00730093" w:rsidRDefault="00000000">
      <w:pPr>
        <w:pStyle w:val="Ttulo2"/>
      </w:pPr>
      <w:r>
        <w:t>2.3 ¿Qué requiere control humano?</w:t>
      </w:r>
    </w:p>
    <w:p w14:paraId="4C2D69E1" w14:textId="77777777" w:rsidR="00730093" w:rsidRDefault="00000000">
      <w:pPr>
        <w:spacing w:after="120" w:line="360" w:lineRule="auto"/>
        <w:jc w:val="both"/>
      </w:pPr>
      <w:r>
        <w:t xml:space="preserve">Tres componentes son indelegables. Primero, la decisión crediticia en sí: nunca la toma el LLM, sino un modelo de </w:t>
      </w:r>
      <w:proofErr w:type="spellStart"/>
      <w:r>
        <w:t>scoring</w:t>
      </w:r>
      <w:proofErr w:type="spellEnd"/>
      <w:r>
        <w:t xml:space="preserve"> validado estadística y regulatoriamente; el LLM solo comunica el resultado. Segundo, la selección de los factores explicativos: los valores SHAP o equivalentes deben calcularse con el modelo original, no generarse por el LLM, para evitar alucinaciones que atribuyan causas inexistentes. Tercero, la validación por muestreo de las cartas generadas por parte de un oficial de cumplimiento, especialmente en los primeros meses de despliegue y ante casos frontera (montos altos, clientes vulnerables, idiomas minoritarios), para detectar sesgos sistemáticos, errores factuales o lenguaje inadecuado que puedan derivar en reclamaciones o demandas.</w:t>
      </w:r>
    </w:p>
    <w:p w14:paraId="0543A99E" w14:textId="77777777" w:rsidR="00730093" w:rsidRDefault="00000000">
      <w:pPr>
        <w:pStyle w:val="Ttulo2"/>
      </w:pPr>
      <w:r>
        <w:t>2.4 Riesgos técnicos, éticos y legales</w:t>
      </w:r>
    </w:p>
    <w:p w14:paraId="0FCED3D0" w14:textId="5BA3FD13" w:rsidR="00730093" w:rsidRDefault="00000000">
      <w:pPr>
        <w:spacing w:after="120" w:line="360" w:lineRule="auto"/>
        <w:jc w:val="both"/>
      </w:pPr>
      <w:r>
        <w:t xml:space="preserve">En el plano técnico, el principal es la alucinación: el LLM puede inventar factores de rechazo plausibles pero falsos, exponiendo a la entidad a comunicaciones incorrectas. En el plano ético, existe el riesgo de amplificación de sesgos si el modelo subyacente discrimina por variables proxy (código postal correlacionado con origen étnico, por ejemplo); el LLM puede redactar la carta de forma que normalice ese sesgo. En el plano legal, el AI </w:t>
      </w:r>
      <w:proofErr w:type="spellStart"/>
      <w:r>
        <w:t>Act</w:t>
      </w:r>
      <w:proofErr w:type="spellEnd"/>
      <w:r>
        <w:t xml:space="preserve"> clasifica los sistemas de </w:t>
      </w:r>
      <w:proofErr w:type="spellStart"/>
      <w:r>
        <w:t>scoring</w:t>
      </w:r>
      <w:proofErr w:type="spellEnd"/>
      <w:r>
        <w:t xml:space="preserve"> crediticio como alto riesgo lo que exige documentación exhaustiva, trazabilidad, supervisión humana significativa y evaluación de impacto sobre derechos fundamentales; además, una carta con información imprecisa puede configurar incumplimiento del deber de información y generar sanciones.</w:t>
      </w:r>
    </w:p>
    <w:p w14:paraId="0CA09BFF" w14:textId="77777777" w:rsidR="00730093" w:rsidRDefault="00000000">
      <w:pPr>
        <w:pStyle w:val="Ttulo2"/>
      </w:pPr>
      <w:r>
        <w:t>2.5 Estrategias de mitigación</w:t>
      </w:r>
    </w:p>
    <w:p w14:paraId="1A503CCE" w14:textId="77777777" w:rsidR="00520A28" w:rsidRDefault="00000000" w:rsidP="00520A28">
      <w:pPr>
        <w:spacing w:after="120" w:line="360" w:lineRule="auto"/>
        <w:jc w:val="both"/>
      </w:pPr>
      <w:r>
        <w:t xml:space="preserve">Cuatro controles son recomendables. Primero, arquitectura con esquema cerrado: el LLM recibe un JSON con los factores y genera texto sobre ese JSON sin libertad para introducir causas adicionales; </w:t>
      </w:r>
      <w:proofErr w:type="spellStart"/>
      <w:r>
        <w:t>temperature</w:t>
      </w:r>
      <w:proofErr w:type="spellEnd"/>
      <w:r>
        <w:t xml:space="preserve"> baja (0 a 0.2) para minimizar variabilidad. Segundo, validación </w:t>
      </w:r>
      <w:r>
        <w:lastRenderedPageBreak/>
        <w:t xml:space="preserve">automática </w:t>
      </w:r>
      <w:proofErr w:type="spellStart"/>
      <w:r>
        <w:t>pos-generación</w:t>
      </w:r>
      <w:proofErr w:type="spellEnd"/>
      <w:r>
        <w:t xml:space="preserve">: un verificador chequea que todos los factores del JSON aparezcan mencionados y que no haya afirmaciones fuera del esquema. Tercero, auditoría regular de sesgos: muestreo estratificado de cartas por grupos demográficos y análisis de paridad demográfica y equidad predictiva. Cuarto, trazabilidad completa: cada carta se archiva junto con el JSON de entrada, el </w:t>
      </w:r>
      <w:proofErr w:type="spellStart"/>
      <w:r>
        <w:t>prompt</w:t>
      </w:r>
      <w:proofErr w:type="spellEnd"/>
      <w:r>
        <w:t xml:space="preserve"> exacto, el modelo y versión utilizados, y la firma de revisión humana, cumpliendo los requisitos del AI </w:t>
      </w:r>
      <w:proofErr w:type="spellStart"/>
      <w:r>
        <w:t>Act</w:t>
      </w:r>
      <w:proofErr w:type="spellEnd"/>
      <w:r>
        <w:t xml:space="preserve"> sobre sistemas de alto riesgo.</w:t>
      </w:r>
    </w:p>
    <w:p w14:paraId="369D7535" w14:textId="50103F11" w:rsidR="00730093" w:rsidRDefault="00000000" w:rsidP="00520A28">
      <w:pPr>
        <w:spacing w:after="120" w:line="360" w:lineRule="auto"/>
        <w:jc w:val="both"/>
      </w:pPr>
      <w:r>
        <w:rPr>
          <w:b/>
          <w:bCs/>
          <w:sz w:val="32"/>
          <w:szCs w:val="32"/>
        </w:rPr>
        <w:t>Criterio 3. Flujo Python de análisis de reseñas con LLM</w:t>
      </w:r>
    </w:p>
    <w:p w14:paraId="51A641FA" w14:textId="77777777" w:rsidR="00730093" w:rsidRDefault="00000000">
      <w:pPr>
        <w:pStyle w:val="Ttulo2"/>
      </w:pPr>
      <w:r>
        <w:t xml:space="preserve">3.1 Diseño del </w:t>
      </w:r>
      <w:proofErr w:type="spellStart"/>
      <w:r>
        <w:t>prompt</w:t>
      </w:r>
      <w:proofErr w:type="spellEnd"/>
      <w:r>
        <w:t xml:space="preserve"> robusto</w:t>
      </w:r>
    </w:p>
    <w:p w14:paraId="723DF7D9" w14:textId="77777777" w:rsidR="00730093" w:rsidRDefault="00000000">
      <w:pPr>
        <w:spacing w:after="120" w:line="360" w:lineRule="auto"/>
        <w:jc w:val="both"/>
      </w:pPr>
      <w:r>
        <w:t xml:space="preserve">Para este ejercicio se diseñó un </w:t>
      </w:r>
      <w:proofErr w:type="spellStart"/>
      <w:r>
        <w:t>prompt</w:t>
      </w:r>
      <w:proofErr w:type="spellEnd"/>
      <w:r>
        <w:t xml:space="preserve"> dirigido al modelo GPT-4o-mini de </w:t>
      </w:r>
      <w:proofErr w:type="spellStart"/>
      <w:r>
        <w:t>OpenAI</w:t>
      </w:r>
      <w:proofErr w:type="spellEnd"/>
      <w:r>
        <w:t xml:space="preserve"> con el objetivo de automatizar el análisis de 15 reseñas reales de clientes. El flujo se implementó en Python usando la librería oficial </w:t>
      </w:r>
      <w:proofErr w:type="spellStart"/>
      <w:r>
        <w:t>openai</w:t>
      </w:r>
      <w:proofErr w:type="spellEnd"/>
      <w:r>
        <w:t xml:space="preserve">, con tres decisiones técnicas </w:t>
      </w:r>
      <w:proofErr w:type="gramStart"/>
      <w:r>
        <w:t>clave orientadas</w:t>
      </w:r>
      <w:proofErr w:type="gramEnd"/>
      <w:r>
        <w:t xml:space="preserve"> a integración programática: separación de instrucciones duraderas (</w:t>
      </w:r>
      <w:proofErr w:type="spellStart"/>
      <w:r>
        <w:t>system</w:t>
      </w:r>
      <w:proofErr w:type="spellEnd"/>
      <w:r>
        <w:t xml:space="preserve"> </w:t>
      </w:r>
      <w:proofErr w:type="spellStart"/>
      <w:r>
        <w:t>prompt</w:t>
      </w:r>
      <w:proofErr w:type="spellEnd"/>
      <w:r>
        <w:t>) y tarea concreta (</w:t>
      </w:r>
      <w:proofErr w:type="spellStart"/>
      <w:r>
        <w:t>user</w:t>
      </w:r>
      <w:proofErr w:type="spellEnd"/>
      <w:r>
        <w:t xml:space="preserve"> </w:t>
      </w:r>
      <w:proofErr w:type="spellStart"/>
      <w:r>
        <w:t>prompt</w:t>
      </w:r>
      <w:proofErr w:type="spellEnd"/>
      <w:r>
        <w:t xml:space="preserve">), uso de </w:t>
      </w:r>
      <w:proofErr w:type="spellStart"/>
      <w:r>
        <w:t>temperature</w:t>
      </w:r>
      <w:proofErr w:type="spellEnd"/>
      <w:r>
        <w:t xml:space="preserve">=0 para garantizar reproducibilidad, y </w:t>
      </w:r>
      <w:proofErr w:type="spellStart"/>
      <w:r>
        <w:t>response_format</w:t>
      </w:r>
      <w:proofErr w:type="spellEnd"/>
      <w:r>
        <w:t xml:space="preserve"> con JSON para forzar una salida </w:t>
      </w:r>
      <w:proofErr w:type="spellStart"/>
      <w:r>
        <w:t>parseable</w:t>
      </w:r>
      <w:proofErr w:type="spellEnd"/>
      <w:r>
        <w:t xml:space="preserve"> sin texto adicional.</w:t>
      </w:r>
    </w:p>
    <w:p w14:paraId="4E5A2C7A" w14:textId="02D99402" w:rsidR="00730093" w:rsidRDefault="00000000">
      <w:pPr>
        <w:spacing w:after="120" w:line="360" w:lineRule="auto"/>
        <w:jc w:val="both"/>
      </w:pPr>
      <w:r>
        <w:t xml:space="preserve">El </w:t>
      </w:r>
      <w:proofErr w:type="spellStart"/>
      <w:r>
        <w:t>prompt</w:t>
      </w:r>
      <w:proofErr w:type="spellEnd"/>
      <w:r>
        <w:t xml:space="preserve"> del sistema define el rol funcional, cuatro reglas estrictas (basarse exclusivamente en evidencia literal, devolver lista vacía cuando no hay evidencia, requerir que las acciones de mejora sean accionables con KPI, y limitar el resumen ejecutivo a 80-120 palabras), un esquema JSON de salida obligatorio y un conjunto de categorías sugeridas para clasificar quejas. </w:t>
      </w:r>
    </w:p>
    <w:p w14:paraId="6DE6122C" w14:textId="37402BEA" w:rsidR="00520A28" w:rsidRPr="00520A28" w:rsidRDefault="00D5729B" w:rsidP="00520A28">
      <w:pPr>
        <w:spacing w:before="60" w:after="200"/>
        <w:rPr>
          <w:b/>
          <w:bCs/>
          <w:sz w:val="20"/>
          <w:szCs w:val="20"/>
        </w:rPr>
      </w:pPr>
      <w:r>
        <w:rPr>
          <w:b/>
          <w:bCs/>
          <w:sz w:val="20"/>
          <w:szCs w:val="20"/>
        </w:rPr>
        <w:t>f</w:t>
      </w:r>
      <w:r w:rsidR="00000000" w:rsidRPr="00520A28">
        <w:rPr>
          <w:b/>
          <w:bCs/>
          <w:sz w:val="20"/>
          <w:szCs w:val="20"/>
        </w:rPr>
        <w:t xml:space="preserve">igura 1. </w:t>
      </w:r>
    </w:p>
    <w:p w14:paraId="132192CA" w14:textId="4E6645F6" w:rsidR="00730093" w:rsidRDefault="00520A28" w:rsidP="00520A28">
      <w:pPr>
        <w:spacing w:before="60" w:after="200"/>
      </w:pPr>
      <w:r w:rsidRPr="00520A28">
        <w:drawing>
          <wp:anchor distT="0" distB="0" distL="114300" distR="114300" simplePos="0" relativeHeight="251658240" behindDoc="0" locked="0" layoutInCell="1" allowOverlap="1" wp14:anchorId="27E52A24" wp14:editId="6786C67B">
            <wp:simplePos x="0" y="0"/>
            <wp:positionH relativeFrom="column">
              <wp:posOffset>-114300</wp:posOffset>
            </wp:positionH>
            <wp:positionV relativeFrom="paragraph">
              <wp:posOffset>204470</wp:posOffset>
            </wp:positionV>
            <wp:extent cx="5943600" cy="1771650"/>
            <wp:effectExtent l="0" t="0" r="0" b="0"/>
            <wp:wrapSquare wrapText="bothSides"/>
            <wp:docPr id="72470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0055"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1771650"/>
                    </a:xfrm>
                    <a:prstGeom prst="rect">
                      <a:avLst/>
                    </a:prstGeom>
                  </pic:spPr>
                </pic:pic>
              </a:graphicData>
            </a:graphic>
            <wp14:sizeRelV relativeFrom="margin">
              <wp14:pctHeight>0</wp14:pctHeight>
            </wp14:sizeRelV>
          </wp:anchor>
        </w:drawing>
      </w:r>
      <w:proofErr w:type="spellStart"/>
      <w:r w:rsidR="00000000">
        <w:rPr>
          <w:i/>
          <w:iCs/>
          <w:sz w:val="20"/>
          <w:szCs w:val="20"/>
        </w:rPr>
        <w:t>Prompt</w:t>
      </w:r>
      <w:proofErr w:type="spellEnd"/>
      <w:r w:rsidR="00000000">
        <w:rPr>
          <w:i/>
          <w:iCs/>
          <w:sz w:val="20"/>
          <w:szCs w:val="20"/>
        </w:rPr>
        <w:t xml:space="preserve"> diseñado para análisis de reseñas con esquema JSON cerrado.</w:t>
      </w:r>
    </w:p>
    <w:p w14:paraId="6C2A95C1" w14:textId="77777777" w:rsidR="00D5729B" w:rsidRDefault="00D5729B">
      <w:pPr>
        <w:pStyle w:val="Ttulo2"/>
      </w:pPr>
    </w:p>
    <w:p w14:paraId="0A0901E4" w14:textId="33E17AA3" w:rsidR="00730093" w:rsidRDefault="00000000">
      <w:pPr>
        <w:pStyle w:val="Ttulo2"/>
      </w:pPr>
      <w:r>
        <w:lastRenderedPageBreak/>
        <w:t>3.2 Implementación y ejecución</w:t>
      </w:r>
    </w:p>
    <w:p w14:paraId="169A3C48" w14:textId="77777777" w:rsidR="00730093" w:rsidRDefault="00000000">
      <w:pPr>
        <w:spacing w:after="120" w:line="360" w:lineRule="auto"/>
        <w:jc w:val="both"/>
      </w:pPr>
      <w:r>
        <w:t xml:space="preserve">El flujo se implementó en cuatro funciones modulares: </w:t>
      </w:r>
      <w:proofErr w:type="spellStart"/>
      <w:r>
        <w:t>construir_prompt_usuario</w:t>
      </w:r>
      <w:proofErr w:type="spellEnd"/>
      <w:r>
        <w:t xml:space="preserve"> para armar dinámicamente el </w:t>
      </w:r>
      <w:proofErr w:type="spellStart"/>
      <w:r>
        <w:t>prompt</w:t>
      </w:r>
      <w:proofErr w:type="spellEnd"/>
      <w:r>
        <w:t xml:space="preserve"> con las reseñas numeradas, </w:t>
      </w:r>
      <w:proofErr w:type="spellStart"/>
      <w:r>
        <w:t>analizar_resenas</w:t>
      </w:r>
      <w:proofErr w:type="spellEnd"/>
      <w:r>
        <w:t xml:space="preserve"> para realizar la llamada a la API, </w:t>
      </w:r>
      <w:proofErr w:type="spellStart"/>
      <w:r>
        <w:t>imprimir_informe</w:t>
      </w:r>
      <w:proofErr w:type="spellEnd"/>
      <w:r>
        <w:t xml:space="preserve"> para presentar los resultados de forma legible, y un </w:t>
      </w:r>
      <w:proofErr w:type="spellStart"/>
      <w:r>
        <w:t>main</w:t>
      </w:r>
      <w:proofErr w:type="spellEnd"/>
      <w:r>
        <w:t xml:space="preserve"> que orquesta la ejecución completa y persiste el informe a disco. La separación de responsabilidades permite reutilizar el flujo con </w:t>
      </w:r>
      <w:proofErr w:type="spellStart"/>
      <w:r>
        <w:t>datasets</w:t>
      </w:r>
      <w:proofErr w:type="spellEnd"/>
      <w:r>
        <w:t xml:space="preserve"> más grandes simplemente reemplazando la lista de entrada.</w:t>
      </w:r>
    </w:p>
    <w:p w14:paraId="05C8958B" w14:textId="77777777" w:rsidR="00520A28" w:rsidRPr="00520A28" w:rsidRDefault="00000000" w:rsidP="00520A28">
      <w:pPr>
        <w:spacing w:before="60" w:after="200"/>
        <w:rPr>
          <w:b/>
          <w:bCs/>
          <w:i/>
          <w:iCs/>
          <w:sz w:val="20"/>
          <w:szCs w:val="20"/>
        </w:rPr>
      </w:pPr>
      <w:r w:rsidRPr="00520A28">
        <w:rPr>
          <w:b/>
          <w:bCs/>
          <w:i/>
          <w:iCs/>
          <w:sz w:val="20"/>
          <w:szCs w:val="20"/>
        </w:rPr>
        <w:t>Figura 2</w:t>
      </w:r>
    </w:p>
    <w:p w14:paraId="79AF66C2" w14:textId="56F16550" w:rsidR="00730093" w:rsidRDefault="00000000" w:rsidP="00520A28">
      <w:pPr>
        <w:spacing w:before="60" w:after="200"/>
        <w:rPr>
          <w:i/>
          <w:iCs/>
          <w:sz w:val="20"/>
          <w:szCs w:val="20"/>
        </w:rPr>
      </w:pPr>
      <w:r>
        <w:rPr>
          <w:i/>
          <w:iCs/>
          <w:sz w:val="20"/>
          <w:szCs w:val="20"/>
        </w:rPr>
        <w:t xml:space="preserve">. Función central del flujo que invoca la API de </w:t>
      </w:r>
      <w:proofErr w:type="spellStart"/>
      <w:r>
        <w:rPr>
          <w:i/>
          <w:iCs/>
          <w:sz w:val="20"/>
          <w:szCs w:val="20"/>
        </w:rPr>
        <w:t>OpenAI</w:t>
      </w:r>
      <w:proofErr w:type="spellEnd"/>
      <w:r>
        <w:rPr>
          <w:i/>
          <w:iCs/>
          <w:sz w:val="20"/>
          <w:szCs w:val="20"/>
        </w:rPr>
        <w:t xml:space="preserve"> con </w:t>
      </w:r>
      <w:proofErr w:type="spellStart"/>
      <w:r>
        <w:rPr>
          <w:i/>
          <w:iCs/>
          <w:sz w:val="20"/>
          <w:szCs w:val="20"/>
        </w:rPr>
        <w:t>temperature</w:t>
      </w:r>
      <w:proofErr w:type="spellEnd"/>
      <w:r>
        <w:rPr>
          <w:i/>
          <w:iCs/>
          <w:sz w:val="20"/>
          <w:szCs w:val="20"/>
        </w:rPr>
        <w:t>=0 y formato JSON forzado.</w:t>
      </w:r>
    </w:p>
    <w:p w14:paraId="6726CF73" w14:textId="0B9963BB" w:rsidR="00520A28" w:rsidRDefault="00520A28">
      <w:pPr>
        <w:spacing w:before="60" w:after="200"/>
        <w:jc w:val="center"/>
      </w:pPr>
      <w:r w:rsidRPr="00520A28">
        <w:drawing>
          <wp:inline distT="0" distB="0" distL="0" distR="0" wp14:anchorId="1693C6D1" wp14:editId="5971873C">
            <wp:extent cx="5943600" cy="4288155"/>
            <wp:effectExtent l="0" t="0" r="0" b="0"/>
            <wp:docPr id="1907097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97083" name=""/>
                    <pic:cNvPicPr/>
                  </pic:nvPicPr>
                  <pic:blipFill>
                    <a:blip r:embed="rId8"/>
                    <a:stretch>
                      <a:fillRect/>
                    </a:stretch>
                  </pic:blipFill>
                  <pic:spPr>
                    <a:xfrm>
                      <a:off x="0" y="0"/>
                      <a:ext cx="5943600" cy="4288155"/>
                    </a:xfrm>
                    <a:prstGeom prst="rect">
                      <a:avLst/>
                    </a:prstGeom>
                  </pic:spPr>
                </pic:pic>
              </a:graphicData>
            </a:graphic>
          </wp:inline>
        </w:drawing>
      </w:r>
    </w:p>
    <w:p w14:paraId="59060B2C" w14:textId="77777777" w:rsidR="00730093" w:rsidRDefault="00000000">
      <w:pPr>
        <w:pStyle w:val="Ttulo2"/>
      </w:pPr>
      <w:r>
        <w:t>3.3 Respuesta obtenida</w:t>
      </w:r>
    </w:p>
    <w:p w14:paraId="57E78A00" w14:textId="77777777" w:rsidR="00730093" w:rsidRDefault="00000000">
      <w:pPr>
        <w:spacing w:after="120" w:line="360" w:lineRule="auto"/>
        <w:jc w:val="both"/>
      </w:pPr>
      <w:r>
        <w:t xml:space="preserve">La ejecución consumió 634 tokens de entrada y 779 tokens de salida (total: 1.413 tokens), con un costo aproximado de USD 0.0005 utilizando GPT-4o-mini. El modelo respetó el formato JSON y devolvió las cuatro secciones esperadas: puntos positivos (lista vacía, en concordancia con la </w:t>
      </w:r>
      <w:r>
        <w:lastRenderedPageBreak/>
        <w:t xml:space="preserve">naturaleza del </w:t>
      </w:r>
      <w:proofErr w:type="spellStart"/>
      <w:r>
        <w:t>dataset</w:t>
      </w:r>
      <w:proofErr w:type="spellEnd"/>
      <w:r>
        <w:t xml:space="preserve">), puntos negativos clasificados en ocho categorías, resumen ejecutivo y cuatro acciones de mejora con área responsable, KPI sugerido y horizonte temporal. El JSON completo se encuentra disponible en el archivo </w:t>
      </w:r>
      <w:proofErr w:type="spellStart"/>
      <w:r>
        <w:t>informe_</w:t>
      </w:r>
      <w:proofErr w:type="gramStart"/>
      <w:r>
        <w:t>resenas.json</w:t>
      </w:r>
      <w:proofErr w:type="spellEnd"/>
      <w:proofErr w:type="gramEnd"/>
      <w:r>
        <w:t xml:space="preserve"> adjunto a esta entrega.</w:t>
      </w:r>
    </w:p>
    <w:p w14:paraId="784D0506" w14:textId="77777777" w:rsidR="00520A28" w:rsidRPr="00520A28" w:rsidRDefault="00000000" w:rsidP="00520A28">
      <w:pPr>
        <w:spacing w:before="60" w:after="200"/>
        <w:rPr>
          <w:b/>
          <w:bCs/>
          <w:sz w:val="20"/>
          <w:szCs w:val="20"/>
        </w:rPr>
      </w:pPr>
      <w:r w:rsidRPr="00520A28">
        <w:rPr>
          <w:b/>
          <w:bCs/>
          <w:sz w:val="20"/>
          <w:szCs w:val="20"/>
        </w:rPr>
        <w:t>Figura 3</w:t>
      </w:r>
    </w:p>
    <w:p w14:paraId="13E98BDB" w14:textId="3DC6B416" w:rsidR="00730093" w:rsidRDefault="00000000" w:rsidP="00520A28">
      <w:pPr>
        <w:spacing w:before="60" w:after="200"/>
        <w:rPr>
          <w:i/>
          <w:iCs/>
          <w:sz w:val="20"/>
          <w:szCs w:val="20"/>
        </w:rPr>
      </w:pPr>
      <w:r>
        <w:rPr>
          <w:i/>
          <w:iCs/>
          <w:sz w:val="20"/>
          <w:szCs w:val="20"/>
        </w:rPr>
        <w:t xml:space="preserve"> Informe estructurado generado por GPT-4o-mini a partir de las 15 reseñas analizadas.</w:t>
      </w:r>
    </w:p>
    <w:p w14:paraId="54448F80" w14:textId="2A6F083D" w:rsidR="00520A28" w:rsidRDefault="00520A28" w:rsidP="00520A28">
      <w:pPr>
        <w:spacing w:before="60" w:after="200"/>
      </w:pPr>
      <w:r w:rsidRPr="00520A28">
        <w:drawing>
          <wp:inline distT="0" distB="0" distL="0" distR="0" wp14:anchorId="009BD991" wp14:editId="098C2470">
            <wp:extent cx="5943600" cy="3813810"/>
            <wp:effectExtent l="0" t="0" r="0" b="0"/>
            <wp:docPr id="1562410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10278" name=""/>
                    <pic:cNvPicPr/>
                  </pic:nvPicPr>
                  <pic:blipFill>
                    <a:blip r:embed="rId9"/>
                    <a:stretch>
                      <a:fillRect/>
                    </a:stretch>
                  </pic:blipFill>
                  <pic:spPr>
                    <a:xfrm>
                      <a:off x="0" y="0"/>
                      <a:ext cx="5943600" cy="3813810"/>
                    </a:xfrm>
                    <a:prstGeom prst="rect">
                      <a:avLst/>
                    </a:prstGeom>
                  </pic:spPr>
                </pic:pic>
              </a:graphicData>
            </a:graphic>
          </wp:inline>
        </w:drawing>
      </w:r>
    </w:p>
    <w:p w14:paraId="01A6FBF2" w14:textId="77777777" w:rsidR="00730093" w:rsidRDefault="00000000">
      <w:pPr>
        <w:pStyle w:val="Ttulo2"/>
      </w:pPr>
      <w:r>
        <w:t>3.4 Reflexión crítica sobre utilidad y límites</w:t>
      </w:r>
    </w:p>
    <w:p w14:paraId="7E1C2CE8" w14:textId="77777777" w:rsidR="00730093" w:rsidRDefault="00000000">
      <w:pPr>
        <w:spacing w:after="120" w:line="360" w:lineRule="auto"/>
        <w:jc w:val="both"/>
      </w:pPr>
      <w:r>
        <w:t xml:space="preserve">El flujo propuesto demuestra que un LLM, con un </w:t>
      </w:r>
      <w:proofErr w:type="spellStart"/>
      <w:r>
        <w:t>prompt</w:t>
      </w:r>
      <w:proofErr w:type="spellEnd"/>
      <w:r>
        <w:t xml:space="preserve"> bien estructurado y esquema de salida cerrado, puede transformar 15 reseñas de texto libre en un informe ejecutivo accionable en segundos y por fracciones de centavo. En un contexto operativo con miles de reseñas diarias, esa capacidad de síntesis es valiosa: clasifica, resume, propone acciones y produce JSON </w:t>
      </w:r>
      <w:proofErr w:type="spellStart"/>
      <w:r>
        <w:t>parseable</w:t>
      </w:r>
      <w:proofErr w:type="spellEnd"/>
      <w:r>
        <w:t xml:space="preserve"> listo para integrarse a un </w:t>
      </w:r>
      <w:proofErr w:type="spellStart"/>
      <w:r>
        <w:t>dashboard</w:t>
      </w:r>
      <w:proofErr w:type="spellEnd"/>
      <w:r>
        <w:t>. Sin embargo, la ejecución real expuso tres límites que obligan a mantener supervisión humana.</w:t>
      </w:r>
    </w:p>
    <w:p w14:paraId="19F3B0C1" w14:textId="77777777" w:rsidR="00730093" w:rsidRDefault="00000000">
      <w:pPr>
        <w:spacing w:after="120" w:line="360" w:lineRule="auto"/>
        <w:jc w:val="both"/>
      </w:pPr>
      <w:r>
        <w:t xml:space="preserve">Primero, el modelo no respeta la exclusividad de las categorías: tres reseñas quedaron contabilizadas en dos categorías simultáneamente (por ejemplo, “La batería dura muy poco” </w:t>
      </w:r>
      <w:r>
        <w:lastRenderedPageBreak/>
        <w:t xml:space="preserve">aparece en </w:t>
      </w:r>
      <w:proofErr w:type="spellStart"/>
      <w:r>
        <w:t>calidad_producto</w:t>
      </w:r>
      <w:proofErr w:type="spellEnd"/>
      <w:r>
        <w:t xml:space="preserve"> y en durabilidad), inflando el conteo total de 15 a 17 menciones. Un director que mire el tablero sin auditar podría sobredimensionar la crisis de calidad y reasignar presupuesto incorrectamente. Segundo, la taxonomía sugerida en el </w:t>
      </w:r>
      <w:proofErr w:type="spellStart"/>
      <w:r>
        <w:t>prompt</w:t>
      </w:r>
      <w:proofErr w:type="spellEnd"/>
      <w:r>
        <w:t xml:space="preserve"> no es mutuamente excluyente: </w:t>
      </w:r>
      <w:proofErr w:type="spellStart"/>
      <w:r>
        <w:t>informacion_producto</w:t>
      </w:r>
      <w:proofErr w:type="spellEnd"/>
      <w:r>
        <w:t xml:space="preserve"> y </w:t>
      </w:r>
      <w:proofErr w:type="spellStart"/>
      <w:r>
        <w:t>documentacion</w:t>
      </w:r>
      <w:proofErr w:type="spellEnd"/>
      <w:r>
        <w:t xml:space="preserve"> se solapan, fragmentando un problema único de soporte técnico en dos categorías pequeñas que parecen anecdóticas. Tercero, el resumen ejecutivo quedó en 71 palabras cuando se solicitó un rango de 80-120, evidenciando que el modelo interpreta las reglas con flexibilidad, no con precisión absoluta.</w:t>
      </w:r>
    </w:p>
    <w:p w14:paraId="4C8D307E" w14:textId="77777777" w:rsidR="00730093" w:rsidRDefault="00000000">
      <w:pPr>
        <w:pStyle w:val="Ttulo1"/>
      </w:pPr>
      <w:r>
        <w:t>Criterio 4. Análisis del código CTGAN y mejoras propuestas</w:t>
      </w:r>
    </w:p>
    <w:p w14:paraId="5F8A3BDF" w14:textId="77777777" w:rsidR="00730093" w:rsidRDefault="00000000">
      <w:pPr>
        <w:spacing w:after="120" w:line="360" w:lineRule="auto"/>
        <w:jc w:val="both"/>
      </w:pPr>
      <w:r>
        <w:t>Nota metodológica: el enunciado del Criterio 4 se refiere a un código VAE, pero el código provisto en la actividad implementa CTGAN (</w:t>
      </w:r>
      <w:proofErr w:type="spellStart"/>
      <w:r>
        <w:t>Conditional</w:t>
      </w:r>
      <w:proofErr w:type="spellEnd"/>
      <w:r>
        <w:t xml:space="preserve"> Tabular GAN). La explicación y mejoras se desarrollan sobre el código efectivamente proporcionado.</w:t>
      </w:r>
    </w:p>
    <w:p w14:paraId="5527BBA4" w14:textId="77777777" w:rsidR="00730093" w:rsidRDefault="00000000">
      <w:pPr>
        <w:pStyle w:val="Ttulo2"/>
      </w:pPr>
      <w:r>
        <w:t>4.1 Explicación del funcionamiento del código original</w:t>
      </w:r>
    </w:p>
    <w:p w14:paraId="7056766A" w14:textId="77777777" w:rsidR="00730093" w:rsidRDefault="00000000">
      <w:pPr>
        <w:spacing w:after="120" w:line="360" w:lineRule="auto"/>
        <w:jc w:val="both"/>
      </w:pPr>
      <w:r>
        <w:t xml:space="preserve">El código provisto consta de seis bloques funcionales. El primero realiza </w:t>
      </w:r>
      <w:proofErr w:type="spellStart"/>
      <w:r>
        <w:t>imports</w:t>
      </w:r>
      <w:proofErr w:type="spellEnd"/>
      <w:r>
        <w:t xml:space="preserve"> defensivos con bloques try/</w:t>
      </w:r>
      <w:proofErr w:type="spellStart"/>
      <w:r>
        <w:t>except</w:t>
      </w:r>
      <w:proofErr w:type="spellEnd"/>
      <w:r>
        <w:t xml:space="preserve"> anidados, lo que constituye una red de seguridad ante la fragmentación de versiones de la librería </w:t>
      </w:r>
      <w:proofErr w:type="spellStart"/>
      <w:r>
        <w:t>ctgan</w:t>
      </w:r>
      <w:proofErr w:type="spellEnd"/>
      <w:r>
        <w:t xml:space="preserve">: en versiones antiguas el </w:t>
      </w:r>
      <w:proofErr w:type="spellStart"/>
      <w:r>
        <w:t>import</w:t>
      </w:r>
      <w:proofErr w:type="spellEnd"/>
      <w:r>
        <w:t xml:space="preserve"> correcto era </w:t>
      </w:r>
      <w:proofErr w:type="spellStart"/>
      <w:r>
        <w:t>from</w:t>
      </w:r>
      <w:proofErr w:type="spellEnd"/>
      <w:r>
        <w:t xml:space="preserve"> </w:t>
      </w:r>
      <w:proofErr w:type="spellStart"/>
      <w:proofErr w:type="gramStart"/>
      <w:r>
        <w:t>ctgan.ctgan</w:t>
      </w:r>
      <w:proofErr w:type="spellEnd"/>
      <w:proofErr w:type="gramEnd"/>
      <w:r>
        <w:t xml:space="preserve"> </w:t>
      </w:r>
      <w:proofErr w:type="spellStart"/>
      <w:r>
        <w:t>import</w:t>
      </w:r>
      <w:proofErr w:type="spellEnd"/>
      <w:r>
        <w:t xml:space="preserve"> CTGAN, mientras que en versiones recientes es </w:t>
      </w:r>
      <w:proofErr w:type="spellStart"/>
      <w:r>
        <w:t>from</w:t>
      </w:r>
      <w:proofErr w:type="spellEnd"/>
      <w:r>
        <w:t xml:space="preserve"> </w:t>
      </w:r>
      <w:proofErr w:type="spellStart"/>
      <w:r>
        <w:t>ctgan</w:t>
      </w:r>
      <w:proofErr w:type="spellEnd"/>
      <w:r>
        <w:t xml:space="preserve"> </w:t>
      </w:r>
      <w:proofErr w:type="spellStart"/>
      <w:r>
        <w:t>import</w:t>
      </w:r>
      <w:proofErr w:type="spellEnd"/>
      <w:r>
        <w:t xml:space="preserve"> CTGAN. El segundo bloque construye un </w:t>
      </w:r>
      <w:proofErr w:type="spellStart"/>
      <w:r>
        <w:t>dataset</w:t>
      </w:r>
      <w:proofErr w:type="spellEnd"/>
      <w:r>
        <w:t xml:space="preserve"> de juguete con 10 filas y 5 columnas (mezcla de variables continuas y categóricas) mediante un diccionario convertido a </w:t>
      </w:r>
      <w:proofErr w:type="spellStart"/>
      <w:r>
        <w:t>DataFrame</w:t>
      </w:r>
      <w:proofErr w:type="spellEnd"/>
      <w:r>
        <w:t xml:space="preserve"> de pandas.</w:t>
      </w:r>
    </w:p>
    <w:p w14:paraId="4009B9AB" w14:textId="77777777" w:rsidR="00730093" w:rsidRDefault="00000000">
      <w:pPr>
        <w:spacing w:after="120" w:line="360" w:lineRule="auto"/>
        <w:jc w:val="both"/>
      </w:pPr>
      <w:r>
        <w:t xml:space="preserve">El tercer bloque declara explícitamente la lista </w:t>
      </w:r>
      <w:proofErr w:type="spellStart"/>
      <w:r>
        <w:t>categorical_columns</w:t>
      </w:r>
      <w:proofErr w:type="spellEnd"/>
      <w:r>
        <w:t xml:space="preserve"> con las columnas </w:t>
      </w:r>
      <w:proofErr w:type="spellStart"/>
      <w:r>
        <w:t>pais</w:t>
      </w:r>
      <w:proofErr w:type="spellEnd"/>
      <w:r>
        <w:t xml:space="preserve"> y </w:t>
      </w:r>
      <w:proofErr w:type="spellStart"/>
      <w:r>
        <w:t>tipo_cliente</w:t>
      </w:r>
      <w:proofErr w:type="spellEnd"/>
      <w:r>
        <w:t>. Esta declaración es indispensable porque CTGAN procesa internamente las variables categóricas y continuas de forma muy distinta: aplica Mode-</w:t>
      </w:r>
      <w:proofErr w:type="spellStart"/>
      <w:r>
        <w:t>Specific</w:t>
      </w:r>
      <w:proofErr w:type="spellEnd"/>
      <w:r>
        <w:t xml:space="preserve"> </w:t>
      </w:r>
      <w:proofErr w:type="spellStart"/>
      <w:r>
        <w:t>Normalization</w:t>
      </w:r>
      <w:proofErr w:type="spellEnd"/>
      <w:r>
        <w:t xml:space="preserve"> basada en mixturas gaussianas a las continuas, y </w:t>
      </w:r>
      <w:proofErr w:type="spellStart"/>
      <w:r>
        <w:t>One</w:t>
      </w:r>
      <w:proofErr w:type="spellEnd"/>
      <w:r>
        <w:t xml:space="preserve">-Hot </w:t>
      </w:r>
      <w:proofErr w:type="spellStart"/>
      <w:r>
        <w:t>Encoding</w:t>
      </w:r>
      <w:proofErr w:type="spellEnd"/>
      <w:r>
        <w:t xml:space="preserve"> más </w:t>
      </w:r>
      <w:proofErr w:type="spellStart"/>
      <w:r>
        <w:t>Conditional</w:t>
      </w:r>
      <w:proofErr w:type="spellEnd"/>
      <w:r>
        <w:t xml:space="preserve"> </w:t>
      </w:r>
      <w:proofErr w:type="spellStart"/>
      <w:r>
        <w:t>Sampling</w:t>
      </w:r>
      <w:proofErr w:type="spellEnd"/>
      <w:r>
        <w:t xml:space="preserve"> a las categóricas. Sin esta declaración, el modelo intentaría tratar valores como “España” o “VIP” como números, destruyendo la lógica semántica de los datos.</w:t>
      </w:r>
    </w:p>
    <w:p w14:paraId="5024A405" w14:textId="77777777" w:rsidR="00730093" w:rsidRDefault="00000000">
      <w:pPr>
        <w:spacing w:after="120" w:line="360" w:lineRule="auto"/>
        <w:jc w:val="both"/>
      </w:pPr>
      <w:r>
        <w:t xml:space="preserve">El cuarto bloque inicializa el modelo con </w:t>
      </w:r>
      <w:proofErr w:type="spellStart"/>
      <w:r>
        <w:t>epochs</w:t>
      </w:r>
      <w:proofErr w:type="spellEnd"/>
      <w:r>
        <w:t xml:space="preserve">=300, </w:t>
      </w:r>
      <w:proofErr w:type="spellStart"/>
      <w:r>
        <w:t>cuda</w:t>
      </w:r>
      <w:proofErr w:type="spellEnd"/>
      <w:r>
        <w:t xml:space="preserve">=False y semilla fija para reproducibilidad. El quinto realiza el entrenamiento adversarial mediante </w:t>
      </w:r>
      <w:proofErr w:type="spellStart"/>
      <w:proofErr w:type="gramStart"/>
      <w:r>
        <w:t>model.fit</w:t>
      </w:r>
      <w:proofErr w:type="spellEnd"/>
      <w:r>
        <w:t>(</w:t>
      </w:r>
      <w:proofErr w:type="gramEnd"/>
      <w:r>
        <w:t xml:space="preserve">), donde el </w:t>
      </w:r>
      <w:r>
        <w:lastRenderedPageBreak/>
        <w:t>generador y el discriminador compiten en un juego min-</w:t>
      </w:r>
      <w:proofErr w:type="spellStart"/>
      <w:r>
        <w:t>max</w:t>
      </w:r>
      <w:proofErr w:type="spellEnd"/>
      <w:r>
        <w:t xml:space="preserve"> hasta alcanzar un equilibrio. El sexto bloque genera 10 muestras sintéticas con </w:t>
      </w:r>
      <w:proofErr w:type="spellStart"/>
      <w:r>
        <w:t>model.</w:t>
      </w:r>
      <w:proofErr w:type="gramStart"/>
      <w:r>
        <w:t>sample</w:t>
      </w:r>
      <w:proofErr w:type="spellEnd"/>
      <w:r>
        <w:t>(</w:t>
      </w:r>
      <w:proofErr w:type="gramEnd"/>
      <w:r>
        <w:t xml:space="preserve">) y compara las medias de edad e </w:t>
      </w:r>
      <w:proofErr w:type="spellStart"/>
      <w:r>
        <w:t>ingresos_mensuales</w:t>
      </w:r>
      <w:proofErr w:type="spellEnd"/>
      <w:r>
        <w:t xml:space="preserve"> entre los datos reales y los sintéticos.</w:t>
      </w:r>
    </w:p>
    <w:p w14:paraId="28B537EC" w14:textId="77777777" w:rsidR="00730093" w:rsidRDefault="00000000">
      <w:pPr>
        <w:pStyle w:val="Ttulo2"/>
      </w:pPr>
      <w:r>
        <w:t>4.2 Limitaciones del código original</w:t>
      </w:r>
    </w:p>
    <w:p w14:paraId="4B2F25FC" w14:textId="77777777" w:rsidR="00730093" w:rsidRDefault="00000000">
      <w:pPr>
        <w:spacing w:after="120" w:line="360" w:lineRule="auto"/>
        <w:jc w:val="both"/>
      </w:pPr>
      <w:r>
        <w:t xml:space="preserve">El código tiene tres limitaciones críticas que comprometen la validez del experimento. Primera: el </w:t>
      </w:r>
      <w:proofErr w:type="spellStart"/>
      <w:r>
        <w:t>dataset</w:t>
      </w:r>
      <w:proofErr w:type="spellEnd"/>
      <w:r>
        <w:t xml:space="preserve"> de 10 filas es absurdamente pequeño para una arquitectura adversarial. CTGAN requiere típicamente miles de registros para que el discriminador aprenda una frontera de decisión robusta sin memorizar y para que el generador converja a una distribución útil. Con 10 filas el modelo sufre </w:t>
      </w:r>
      <w:proofErr w:type="spellStart"/>
      <w:r>
        <w:t>overfitting</w:t>
      </w:r>
      <w:proofErr w:type="spellEnd"/>
      <w:r>
        <w:t xml:space="preserve"> trivial: memoriza las filas y las reproduce con ruido superficial. Segunda: la única métrica de evaluación es la comparación de medias de dos variables continuas, métrica que puede coincidir perfectamente entre real y sintético mientras la distribución completa diverge en varianza, modalidad o correlaciones. Tercera: no se evalúa la utilidad práctica de los datos sintéticos para tareas </w:t>
      </w:r>
      <w:proofErr w:type="spellStart"/>
      <w:r>
        <w:t>downstream</w:t>
      </w:r>
      <w:proofErr w:type="spellEnd"/>
      <w:r>
        <w:t xml:space="preserve"> como entrenamiento de modelos predictivos.</w:t>
      </w:r>
    </w:p>
    <w:p w14:paraId="6AD118CC" w14:textId="77777777" w:rsidR="00730093" w:rsidRDefault="00000000">
      <w:pPr>
        <w:pStyle w:val="Ttulo2"/>
      </w:pPr>
      <w:r>
        <w:t>4.3 Mejoras propuestas e implementación experimental</w:t>
      </w:r>
    </w:p>
    <w:p w14:paraId="72B14BA8" w14:textId="77777777" w:rsidR="00730093" w:rsidRDefault="00000000">
      <w:pPr>
        <w:spacing w:after="120" w:line="360" w:lineRule="auto"/>
        <w:jc w:val="both"/>
      </w:pPr>
      <w:r>
        <w:t xml:space="preserve">Para superar las limitaciones identificadas, se sustituyó el </w:t>
      </w:r>
      <w:proofErr w:type="spellStart"/>
      <w:r>
        <w:t>dataset</w:t>
      </w:r>
      <w:proofErr w:type="spellEnd"/>
      <w:r>
        <w:t xml:space="preserve"> de juguete por el </w:t>
      </w:r>
      <w:proofErr w:type="spellStart"/>
      <w:r>
        <w:t>dataset</w:t>
      </w:r>
      <w:proofErr w:type="spellEnd"/>
      <w:r>
        <w:t xml:space="preserve"> </w:t>
      </w:r>
      <w:proofErr w:type="spellStart"/>
      <w:r>
        <w:t>Adult</w:t>
      </w:r>
      <w:proofErr w:type="spellEnd"/>
      <w:r>
        <w:t xml:space="preserve"> </w:t>
      </w:r>
      <w:proofErr w:type="spellStart"/>
      <w:r>
        <w:t>Census</w:t>
      </w:r>
      <w:proofErr w:type="spellEnd"/>
      <w:r>
        <w:t xml:space="preserve"> </w:t>
      </w:r>
      <w:proofErr w:type="spellStart"/>
      <w:r>
        <w:t>Income</w:t>
      </w:r>
      <w:proofErr w:type="spellEnd"/>
      <w:r>
        <w:t xml:space="preserve"> (UCI Machine </w:t>
      </w:r>
      <w:proofErr w:type="spellStart"/>
      <w:r>
        <w:t>Learning</w:t>
      </w:r>
      <w:proofErr w:type="spellEnd"/>
      <w:r>
        <w:t xml:space="preserve"> </w:t>
      </w:r>
      <w:proofErr w:type="spellStart"/>
      <w:r>
        <w:t>Repository</w:t>
      </w:r>
      <w:proofErr w:type="spellEnd"/>
      <w:r>
        <w:t xml:space="preserve">), </w:t>
      </w:r>
      <w:proofErr w:type="spellStart"/>
      <w:r>
        <w:t>benchmark</w:t>
      </w:r>
      <w:proofErr w:type="spellEnd"/>
      <w:r>
        <w:t xml:space="preserve"> estándar utilizado en el </w:t>
      </w:r>
      <w:proofErr w:type="spellStart"/>
      <w:proofErr w:type="gramStart"/>
      <w:r>
        <w:t>paper</w:t>
      </w:r>
      <w:proofErr w:type="spellEnd"/>
      <w:proofErr w:type="gramEnd"/>
      <w:r>
        <w:t xml:space="preserve"> original de CTGAN (</w:t>
      </w:r>
      <w:proofErr w:type="spellStart"/>
      <w:r>
        <w:t>Xu</w:t>
      </w:r>
      <w:proofErr w:type="spellEnd"/>
      <w:r>
        <w:t xml:space="preserve"> et al., 2019). El preprocesamiento eliminó las filas con valores faltantes codificados como '?' (~7,4% del </w:t>
      </w:r>
      <w:proofErr w:type="spellStart"/>
      <w:r>
        <w:t>dataset</w:t>
      </w:r>
      <w:proofErr w:type="spellEnd"/>
      <w:r>
        <w:t xml:space="preserve">), descartó la columna </w:t>
      </w:r>
      <w:proofErr w:type="spellStart"/>
      <w:r>
        <w:t>fnlwgt</w:t>
      </w:r>
      <w:proofErr w:type="spellEnd"/>
      <w:r>
        <w:t xml:space="preserve"> (peso muestral del </w:t>
      </w:r>
      <w:proofErr w:type="spellStart"/>
      <w:r>
        <w:t>Census</w:t>
      </w:r>
      <w:proofErr w:type="spellEnd"/>
      <w:r>
        <w:t xml:space="preserve"> Bureau, no atributo individual) y tomó una muestra estratificada de 10.000 filas conservando la proporción del </w:t>
      </w:r>
      <w:proofErr w:type="gramStart"/>
      <w:r>
        <w:t>target</w:t>
      </w:r>
      <w:proofErr w:type="gramEnd"/>
      <w:r>
        <w:t xml:space="preserve"> </w:t>
      </w:r>
      <w:proofErr w:type="spellStart"/>
      <w:r>
        <w:t>income</w:t>
      </w:r>
      <w:proofErr w:type="spellEnd"/>
      <w:r>
        <w:t xml:space="preserve">. Adicionalmente, se reservaron las 20.162 filas restantes como </w:t>
      </w:r>
      <w:proofErr w:type="spellStart"/>
      <w:r>
        <w:t>holdout</w:t>
      </w:r>
      <w:proofErr w:type="spellEnd"/>
      <w:r>
        <w:t xml:space="preserve"> real para evaluación TSTR, evitando el sesgo circular de evaluar contra los mismos datos de entrenamiento.</w:t>
      </w:r>
    </w:p>
    <w:p w14:paraId="16B06E7C" w14:textId="77777777" w:rsidR="00730093" w:rsidRDefault="00000000">
      <w:pPr>
        <w:spacing w:after="120" w:line="360" w:lineRule="auto"/>
        <w:jc w:val="both"/>
      </w:pPr>
      <w:r>
        <w:t xml:space="preserve">El modelo se entrenó con </w:t>
      </w:r>
      <w:proofErr w:type="spellStart"/>
      <w:r>
        <w:t>epochs</w:t>
      </w:r>
      <w:proofErr w:type="spellEnd"/>
      <w:r>
        <w:t xml:space="preserve">=300 y </w:t>
      </w:r>
      <w:proofErr w:type="spellStart"/>
      <w:r>
        <w:t>batch_size</w:t>
      </w:r>
      <w:proofErr w:type="spellEnd"/>
      <w:r>
        <w:t>=500 durante 29,5 minutos en CPU. La evaluación implementó cuatro mejoras metodológicas concretas:</w:t>
      </w:r>
    </w:p>
    <w:p w14:paraId="25959BB9" w14:textId="77777777" w:rsidR="00520A28" w:rsidRDefault="00520A28">
      <w:pPr>
        <w:pStyle w:val="Ttulo3"/>
      </w:pPr>
    </w:p>
    <w:p w14:paraId="098B47AB" w14:textId="297C6E06" w:rsidR="00730093" w:rsidRDefault="00000000">
      <w:pPr>
        <w:pStyle w:val="Ttulo3"/>
      </w:pPr>
      <w:r>
        <w:lastRenderedPageBreak/>
        <w:t>Mejora 1: Métricas objetivas de similitud distribucional</w:t>
      </w:r>
    </w:p>
    <w:p w14:paraId="3F491C93" w14:textId="77777777" w:rsidR="00730093" w:rsidRDefault="00000000">
      <w:pPr>
        <w:spacing w:after="120" w:line="360" w:lineRule="auto"/>
        <w:jc w:val="both"/>
      </w:pPr>
      <w:r>
        <w:t>Se reemplazó la comparación de medias por tres métricas formales documentadas en la literatura. Para variables continuas se calculó la distancia de Wasserstein, que mide el esfuerzo de transporte necesario para transformar una distribución en otra:</w:t>
      </w:r>
    </w:p>
    <w:p w14:paraId="72DA08BE" w14:textId="77777777" w:rsidR="00730093" w:rsidRDefault="00000000">
      <w:pPr>
        <w:spacing w:before="180" w:after="180" w:line="360" w:lineRule="auto"/>
        <w:jc w:val="center"/>
      </w:pPr>
      <m:oMathPara>
        <m:oMath>
          <m:r>
            <w:rPr>
              <w:rFonts w:ascii="Cambria Math" w:hAnsi="Cambria Math"/>
            </w:rPr>
            <m:t xml:space="preserve">W_1(P, Q) = </m:t>
          </m:r>
          <m:nary>
            <m:naryPr>
              <m:chr m:val="∑"/>
              <m:limLoc m:val="undOvr"/>
              <m:ctrlPr>
                <w:rPr>
                  <w:rFonts w:ascii="Cambria Math" w:hAnsi="Cambria Math"/>
                </w:rPr>
              </m:ctrlPr>
            </m:naryPr>
            <m:sub>
              <m:r>
                <w:rPr>
                  <w:rFonts w:ascii="Cambria Math" w:hAnsi="Cambria Math"/>
                </w:rPr>
                <m:t>-∞</m:t>
              </m:r>
            </m:sub>
            <m:sup>
              <m:r>
                <w:rPr>
                  <w:rFonts w:ascii="Cambria Math" w:hAnsi="Cambria Math"/>
                </w:rPr>
                <m:t>∞</m:t>
              </m:r>
            </m:sup>
            <m:e>
              <m:r>
                <w:rPr>
                  <w:rFonts w:ascii="Cambria Math" w:hAnsi="Cambria Math"/>
                </w:rPr>
                <m:t>|F_P(x) - F_Q(x)| dx</m:t>
              </m:r>
            </m:e>
          </m:nary>
        </m:oMath>
      </m:oMathPara>
    </w:p>
    <w:p w14:paraId="318E5CF5" w14:textId="77777777" w:rsidR="00730093" w:rsidRDefault="00000000">
      <w:pPr>
        <w:spacing w:after="120" w:line="360" w:lineRule="auto"/>
        <w:jc w:val="both"/>
      </w:pPr>
      <w:r>
        <w:t>Para variables categóricas se calculó la divergencia de Jensen-Shannon, simétrica y acotada en [0,1], construida a partir de la divergencia KL mediante una distribución promedio M = (P+</w:t>
      </w:r>
      <w:proofErr w:type="gramStart"/>
      <w:r>
        <w:t>Q)/</w:t>
      </w:r>
      <w:proofErr w:type="gramEnd"/>
      <w:r>
        <w:t>2:</w:t>
      </w:r>
    </w:p>
    <w:p w14:paraId="3D90E744" w14:textId="77777777" w:rsidR="00730093" w:rsidRDefault="00000000">
      <w:pPr>
        <w:spacing w:before="180" w:after="180" w:line="360" w:lineRule="auto"/>
        <w:jc w:val="center"/>
      </w:pPr>
      <m:oMathPara>
        <m:oMath>
          <m:r>
            <w:rPr>
              <w:rFonts w:ascii="Cambria Math" w:hAnsi="Cambria Math"/>
            </w:rPr>
            <m:t xml:space="preserve">JSD(P, Q) =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xml:space="preserve"> D_KL(P || M) +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xml:space="preserve"> D_KL(Q || M)</m:t>
          </m:r>
        </m:oMath>
      </m:oMathPara>
    </w:p>
    <w:p w14:paraId="7B04E162" w14:textId="77777777" w:rsidR="00730093" w:rsidRDefault="00000000">
      <w:pPr>
        <w:spacing w:after="120" w:line="360" w:lineRule="auto"/>
        <w:jc w:val="both"/>
      </w:pPr>
      <w:r>
        <w:t>Para evaluar preservación de estructura multivariada se calculó la norma de Frobenius de la diferencia entre matrices de correlación:</w:t>
      </w:r>
    </w:p>
    <w:p w14:paraId="054769F6" w14:textId="77777777" w:rsidR="00730093" w:rsidRDefault="00000000">
      <w:pPr>
        <w:spacing w:before="180" w:after="180" w:line="360" w:lineRule="auto"/>
        <w:jc w:val="center"/>
      </w:pPr>
      <m:oMathPara>
        <m:oMath>
          <m:r>
            <w:rPr>
              <w:rFonts w:ascii="Cambria Math" w:hAnsi="Cambria Math"/>
            </w:rPr>
            <m:t xml:space="preserve">||Corr_real - Corr_sint||_F = </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i,j=1</m:t>
                  </m:r>
                </m:sub>
                <m:sup>
                  <m:r>
                    <w:rPr>
                      <w:rFonts w:ascii="Cambria Math" w:hAnsi="Cambria Math"/>
                    </w:rPr>
                    <m:t>p</m:t>
                  </m:r>
                </m:sup>
                <m:e>
                  <m:sSup>
                    <m:sSupPr>
                      <m:ctrlPr>
                        <w:rPr>
                          <w:rFonts w:ascii="Cambria Math" w:hAnsi="Cambria Math"/>
                        </w:rPr>
                      </m:ctrlPr>
                    </m:sSupPr>
                    <m:e>
                      <m:r>
                        <w:rPr>
                          <w:rFonts w:ascii="Cambria Math" w:hAnsi="Cambria Math"/>
                        </w:rPr>
                        <m:t>(c_ij^real - c_ij^sint)</m:t>
                      </m:r>
                    </m:e>
                    <m:sup>
                      <m:r>
                        <w:rPr>
                          <w:rFonts w:ascii="Cambria Math" w:hAnsi="Cambria Math"/>
                        </w:rPr>
                        <m:t>2</m:t>
                      </m:r>
                    </m:sup>
                  </m:sSup>
                </m:e>
              </m:nary>
            </m:e>
          </m:rad>
        </m:oMath>
      </m:oMathPara>
    </w:p>
    <w:p w14:paraId="1FB8B180" w14:textId="77777777" w:rsidR="00730093" w:rsidRDefault="00000000">
      <w:pPr>
        <w:pStyle w:val="Ttulo3"/>
      </w:pPr>
      <w:r>
        <w:t>Mejora 2: Tratamiento diferenciado de variables continuas y categóricas</w:t>
      </w:r>
    </w:p>
    <w:p w14:paraId="0B7E38A5" w14:textId="77777777" w:rsidR="00730093" w:rsidRDefault="00000000">
      <w:pPr>
        <w:spacing w:after="120" w:line="360" w:lineRule="auto"/>
        <w:jc w:val="both"/>
      </w:pPr>
      <w:r>
        <w:t>El conjunto de columnas categóricas se declaró explícitamente con sus 9 elementos (</w:t>
      </w:r>
      <w:proofErr w:type="spellStart"/>
      <w:r>
        <w:t>workclass</w:t>
      </w:r>
      <w:proofErr w:type="spellEnd"/>
      <w:r>
        <w:t xml:space="preserve">, </w:t>
      </w:r>
      <w:proofErr w:type="spellStart"/>
      <w:r>
        <w:t>education</w:t>
      </w:r>
      <w:proofErr w:type="spellEnd"/>
      <w:r>
        <w:t xml:space="preserve">, </w:t>
      </w:r>
      <w:proofErr w:type="spellStart"/>
      <w:proofErr w:type="gramStart"/>
      <w:r>
        <w:t>marital.status</w:t>
      </w:r>
      <w:proofErr w:type="spellEnd"/>
      <w:proofErr w:type="gramEnd"/>
      <w:r>
        <w:t xml:space="preserve">, </w:t>
      </w:r>
      <w:proofErr w:type="spellStart"/>
      <w:r>
        <w:t>occupation</w:t>
      </w:r>
      <w:proofErr w:type="spellEnd"/>
      <w:r>
        <w:t xml:space="preserve">, </w:t>
      </w:r>
      <w:proofErr w:type="spellStart"/>
      <w:r>
        <w:t>relationship</w:t>
      </w:r>
      <w:proofErr w:type="spellEnd"/>
      <w:r>
        <w:t xml:space="preserve">, </w:t>
      </w:r>
      <w:proofErr w:type="spellStart"/>
      <w:r>
        <w:t>race</w:t>
      </w:r>
      <w:proofErr w:type="spellEnd"/>
      <w:r>
        <w:t xml:space="preserve">, sex, </w:t>
      </w:r>
      <w:proofErr w:type="spellStart"/>
      <w:proofErr w:type="gramStart"/>
      <w:r>
        <w:t>native.country</w:t>
      </w:r>
      <w:proofErr w:type="spellEnd"/>
      <w:proofErr w:type="gramEnd"/>
      <w:r>
        <w:t xml:space="preserve">, </w:t>
      </w:r>
      <w:proofErr w:type="spellStart"/>
      <w:r>
        <w:t>income</w:t>
      </w:r>
      <w:proofErr w:type="spellEnd"/>
      <w:r>
        <w:t>), permitiendo que CTGAN aplique sus dos mecanismos especializados: Mode-</w:t>
      </w:r>
      <w:proofErr w:type="spellStart"/>
      <w:r>
        <w:t>Specific</w:t>
      </w:r>
      <w:proofErr w:type="spellEnd"/>
      <w:r>
        <w:t xml:space="preserve"> </w:t>
      </w:r>
      <w:proofErr w:type="spellStart"/>
      <w:r>
        <w:t>Normalization</w:t>
      </w:r>
      <w:proofErr w:type="spellEnd"/>
      <w:r>
        <w:t xml:space="preserve"> sobre las 5 variables continuas y </w:t>
      </w:r>
      <w:proofErr w:type="spellStart"/>
      <w:r>
        <w:t>Conditional</w:t>
      </w:r>
      <w:proofErr w:type="spellEnd"/>
      <w:r>
        <w:t xml:space="preserve"> </w:t>
      </w:r>
      <w:proofErr w:type="spellStart"/>
      <w:r>
        <w:t>Sampling</w:t>
      </w:r>
      <w:proofErr w:type="spellEnd"/>
      <w:r>
        <w:t xml:space="preserve"> sobre las categóricas. Este último es particularmente relevante para </w:t>
      </w:r>
      <w:proofErr w:type="spellStart"/>
      <w:proofErr w:type="gramStart"/>
      <w:r>
        <w:t>native.country</w:t>
      </w:r>
      <w:proofErr w:type="spellEnd"/>
      <w:proofErr w:type="gramEnd"/>
      <w:r>
        <w:t>, que tiene 40 categorías con desbalance extremo (</w:t>
      </w:r>
      <w:proofErr w:type="spellStart"/>
      <w:r>
        <w:t>United</w:t>
      </w:r>
      <w:proofErr w:type="spellEnd"/>
      <w:r>
        <w:t xml:space="preserve">-States representa ~92% de las filas). Sin </w:t>
      </w:r>
      <w:proofErr w:type="spellStart"/>
      <w:r>
        <w:t>Conditional</w:t>
      </w:r>
      <w:proofErr w:type="spellEnd"/>
      <w:r>
        <w:t xml:space="preserve"> </w:t>
      </w:r>
      <w:proofErr w:type="spellStart"/>
      <w:r>
        <w:t>Sampling</w:t>
      </w:r>
      <w:proofErr w:type="spellEnd"/>
      <w:r>
        <w:t>, el generador colapsaría hacia la categoría mayoritaria suprimiendo las minoritarias (</w:t>
      </w:r>
      <w:proofErr w:type="spellStart"/>
      <w:r>
        <w:t>mode</w:t>
      </w:r>
      <w:proofErr w:type="spellEnd"/>
      <w:r>
        <w:t xml:space="preserve"> </w:t>
      </w:r>
      <w:proofErr w:type="spellStart"/>
      <w:r>
        <w:t>collapse</w:t>
      </w:r>
      <w:proofErr w:type="spellEnd"/>
      <w:r>
        <w:t>).</w:t>
      </w:r>
    </w:p>
    <w:p w14:paraId="044FCDD0" w14:textId="77777777" w:rsidR="00730093" w:rsidRDefault="00000000">
      <w:pPr>
        <w:pStyle w:val="Ttulo3"/>
      </w:pPr>
      <w:r>
        <w:t>Mejora 3: Evaluación de utilidad predictiva mediante TSTR</w:t>
      </w:r>
    </w:p>
    <w:p w14:paraId="04975D10" w14:textId="77777777" w:rsidR="00730093" w:rsidRDefault="00000000">
      <w:pPr>
        <w:spacing w:after="120" w:line="360" w:lineRule="auto"/>
        <w:jc w:val="both"/>
      </w:pPr>
      <w:r>
        <w:t xml:space="preserve">Se implementó el protocolo Train </w:t>
      </w:r>
      <w:proofErr w:type="spellStart"/>
      <w:r>
        <w:t>on</w:t>
      </w:r>
      <w:proofErr w:type="spellEnd"/>
      <w:r>
        <w:t xml:space="preserve"> </w:t>
      </w:r>
      <w:proofErr w:type="spellStart"/>
      <w:r>
        <w:t>Synthetic</w:t>
      </w:r>
      <w:proofErr w:type="spellEnd"/>
      <w:r>
        <w:t xml:space="preserve">, Test </w:t>
      </w:r>
      <w:proofErr w:type="spellStart"/>
      <w:r>
        <w:t>on</w:t>
      </w:r>
      <w:proofErr w:type="spellEnd"/>
      <w:r>
        <w:t xml:space="preserve"> Real: un clasificador Random Forest se entrena con los 10.000 registros sintéticos y se evalúa contra el </w:t>
      </w:r>
      <w:proofErr w:type="spellStart"/>
      <w:r>
        <w:t>holdout</w:t>
      </w:r>
      <w:proofErr w:type="spellEnd"/>
      <w:r>
        <w:t xml:space="preserve"> real de 20.162 filas para </w:t>
      </w:r>
      <w:r>
        <w:lastRenderedPageBreak/>
        <w:t xml:space="preserve">predecir </w:t>
      </w:r>
      <w:proofErr w:type="spellStart"/>
      <w:r>
        <w:t>income</w:t>
      </w:r>
      <w:proofErr w:type="spellEnd"/>
      <w:r>
        <w:t xml:space="preserve">. Como </w:t>
      </w:r>
      <w:proofErr w:type="spellStart"/>
      <w:r>
        <w:t>baseline</w:t>
      </w:r>
      <w:proofErr w:type="spellEnd"/>
      <w:r>
        <w:t xml:space="preserve"> de comparación, el mismo clasificador se entrena con los 10.000 registros reales originales y se evalúa contra el mismo </w:t>
      </w:r>
      <w:proofErr w:type="spellStart"/>
      <w:r>
        <w:t>holdout</w:t>
      </w:r>
      <w:proofErr w:type="spellEnd"/>
      <w:r>
        <w:t xml:space="preserve">. </w:t>
      </w:r>
      <w:proofErr w:type="gramStart"/>
      <w:r>
        <w:t>El ratio</w:t>
      </w:r>
      <w:proofErr w:type="gramEnd"/>
      <w:r>
        <w:t xml:space="preserve"> TSTR/</w:t>
      </w:r>
      <w:proofErr w:type="spellStart"/>
      <w:r>
        <w:t>baseline</w:t>
      </w:r>
      <w:proofErr w:type="spellEnd"/>
      <w:r>
        <w:t xml:space="preserve"> cuantifica qué fracción del rendimiento real es recuperable usando solo datos sintéticos.</w:t>
      </w:r>
    </w:p>
    <w:p w14:paraId="3DD9E0A4" w14:textId="77777777" w:rsidR="00730093" w:rsidRDefault="00000000">
      <w:pPr>
        <w:pStyle w:val="Ttulo2"/>
      </w:pPr>
      <w:r>
        <w:t>4.4 Resultados experimentales</w:t>
      </w:r>
    </w:p>
    <w:p w14:paraId="6A8BC566" w14:textId="77777777" w:rsidR="00730093" w:rsidRDefault="00000000">
      <w:pPr>
        <w:spacing w:before="120" w:after="60"/>
      </w:pPr>
      <w:r>
        <w:rPr>
          <w:b/>
          <w:bCs/>
        </w:rPr>
        <w:t>Tabla 2</w:t>
      </w:r>
    </w:p>
    <w:p w14:paraId="0F20C162" w14:textId="77777777" w:rsidR="00730093" w:rsidRDefault="00000000">
      <w:pPr>
        <w:spacing w:after="180"/>
      </w:pPr>
      <w:r>
        <w:rPr>
          <w:i/>
          <w:iCs/>
        </w:rPr>
        <w:t>Distancia de Wasserstein por variable continua (real vs. sintético)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00"/>
        <w:gridCol w:w="2300"/>
        <w:gridCol w:w="2360"/>
      </w:tblGrid>
      <w:tr w:rsidR="00730093" w14:paraId="23922110" w14:textId="77777777">
        <w:tblPrEx>
          <w:tblCellMar>
            <w:top w:w="0" w:type="dxa"/>
            <w:bottom w:w="0" w:type="dxa"/>
          </w:tblCellMar>
        </w:tblPrEx>
        <w:trPr>
          <w:tblHeader/>
        </w:trPr>
        <w:tc>
          <w:tcPr>
            <w:tcW w:w="2400" w:type="dxa"/>
            <w:tcBorders>
              <w:top w:val="single" w:sz="4" w:space="0" w:color="000000"/>
              <w:left w:val="none" w:sz="0" w:space="0" w:color="FFFFFF"/>
              <w:bottom w:val="single" w:sz="4" w:space="0" w:color="000000"/>
              <w:right w:val="none" w:sz="0" w:space="0" w:color="FFFFFF"/>
            </w:tcBorders>
            <w:tcMar>
              <w:top w:w="80" w:type="dxa"/>
              <w:left w:w="100" w:type="dxa"/>
              <w:bottom w:w="80" w:type="dxa"/>
              <w:right w:w="100" w:type="dxa"/>
            </w:tcMar>
          </w:tcPr>
          <w:p w14:paraId="76A79295" w14:textId="77777777" w:rsidR="00730093" w:rsidRDefault="00000000">
            <w:pPr>
              <w:jc w:val="center"/>
            </w:pPr>
            <w:r>
              <w:rPr>
                <w:b/>
                <w:bCs/>
              </w:rPr>
              <w:t>Variable</w:t>
            </w:r>
          </w:p>
        </w:tc>
        <w:tc>
          <w:tcPr>
            <w:tcW w:w="2300" w:type="dxa"/>
            <w:tcBorders>
              <w:top w:val="single" w:sz="4" w:space="0" w:color="000000"/>
              <w:left w:val="none" w:sz="0" w:space="0" w:color="FFFFFF"/>
              <w:bottom w:val="single" w:sz="4" w:space="0" w:color="000000"/>
              <w:right w:val="none" w:sz="0" w:space="0" w:color="FFFFFF"/>
            </w:tcBorders>
            <w:tcMar>
              <w:top w:w="80" w:type="dxa"/>
              <w:left w:w="100" w:type="dxa"/>
              <w:bottom w:w="80" w:type="dxa"/>
              <w:right w:w="100" w:type="dxa"/>
            </w:tcMar>
          </w:tcPr>
          <w:p w14:paraId="15AF50FF" w14:textId="77777777" w:rsidR="00730093" w:rsidRDefault="00000000">
            <w:pPr>
              <w:jc w:val="center"/>
            </w:pPr>
            <w:r>
              <w:rPr>
                <w:b/>
                <w:bCs/>
              </w:rPr>
              <w:t>Wasserstein</w:t>
            </w:r>
          </w:p>
        </w:tc>
        <w:tc>
          <w:tcPr>
            <w:tcW w:w="2300" w:type="dxa"/>
            <w:tcBorders>
              <w:top w:val="single" w:sz="4" w:space="0" w:color="000000"/>
              <w:left w:val="none" w:sz="0" w:space="0" w:color="FFFFFF"/>
              <w:bottom w:val="single" w:sz="4" w:space="0" w:color="000000"/>
              <w:right w:val="none" w:sz="0" w:space="0" w:color="FFFFFF"/>
            </w:tcBorders>
            <w:tcMar>
              <w:top w:w="80" w:type="dxa"/>
              <w:left w:w="100" w:type="dxa"/>
              <w:bottom w:w="80" w:type="dxa"/>
              <w:right w:w="100" w:type="dxa"/>
            </w:tcMar>
          </w:tcPr>
          <w:p w14:paraId="01C30BA6" w14:textId="77777777" w:rsidR="00730093" w:rsidRDefault="00000000">
            <w:pPr>
              <w:jc w:val="center"/>
            </w:pPr>
            <w:r>
              <w:rPr>
                <w:b/>
                <w:bCs/>
              </w:rPr>
              <w:t>Rango</w:t>
            </w:r>
          </w:p>
        </w:tc>
        <w:tc>
          <w:tcPr>
            <w:tcW w:w="2360" w:type="dxa"/>
            <w:tcBorders>
              <w:top w:val="single" w:sz="4" w:space="0" w:color="000000"/>
              <w:left w:val="none" w:sz="0" w:space="0" w:color="FFFFFF"/>
              <w:bottom w:val="single" w:sz="4" w:space="0" w:color="000000"/>
              <w:right w:val="none" w:sz="0" w:space="0" w:color="FFFFFF"/>
            </w:tcBorders>
            <w:tcMar>
              <w:top w:w="80" w:type="dxa"/>
              <w:left w:w="100" w:type="dxa"/>
              <w:bottom w:w="80" w:type="dxa"/>
              <w:right w:w="100" w:type="dxa"/>
            </w:tcMar>
          </w:tcPr>
          <w:p w14:paraId="32A29DF2" w14:textId="77777777" w:rsidR="00730093" w:rsidRDefault="00000000">
            <w:pPr>
              <w:jc w:val="center"/>
            </w:pPr>
            <w:r>
              <w:rPr>
                <w:b/>
                <w:bCs/>
              </w:rPr>
              <w:t>Relativo (%)</w:t>
            </w:r>
          </w:p>
        </w:tc>
      </w:tr>
      <w:tr w:rsidR="00730093" w14:paraId="6CD3FB3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0B2C9E" w14:textId="77777777" w:rsidR="00730093" w:rsidRDefault="00000000">
            <w:proofErr w:type="spellStart"/>
            <w:r>
              <w:t>age</w:t>
            </w:r>
            <w:proofErr w:type="spellEnd"/>
          </w:p>
        </w:tc>
        <w:tc>
          <w:tcPr>
            <w:tcW w:w="2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BB8005" w14:textId="77777777" w:rsidR="00730093" w:rsidRDefault="00000000">
            <w:pPr>
              <w:jc w:val="center"/>
            </w:pPr>
            <w:r>
              <w:t>2.30</w:t>
            </w:r>
          </w:p>
        </w:tc>
        <w:tc>
          <w:tcPr>
            <w:tcW w:w="2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72AF264" w14:textId="77777777" w:rsidR="00730093" w:rsidRDefault="00000000">
            <w:pPr>
              <w:jc w:val="center"/>
            </w:pPr>
            <w:r>
              <w:t>73</w:t>
            </w:r>
          </w:p>
        </w:tc>
        <w:tc>
          <w:tcPr>
            <w:tcW w:w="2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A1D778" w14:textId="77777777" w:rsidR="00730093" w:rsidRDefault="00000000">
            <w:pPr>
              <w:jc w:val="center"/>
            </w:pPr>
            <w:r>
              <w:t>3.15</w:t>
            </w:r>
          </w:p>
        </w:tc>
      </w:tr>
      <w:tr w:rsidR="00730093" w14:paraId="1CB352B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599160" w14:textId="77777777" w:rsidR="00730093" w:rsidRDefault="00000000">
            <w:proofErr w:type="spellStart"/>
            <w:r>
              <w:t>education.num</w:t>
            </w:r>
            <w:proofErr w:type="spellEnd"/>
          </w:p>
        </w:tc>
        <w:tc>
          <w:tcPr>
            <w:tcW w:w="2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62AD76E" w14:textId="77777777" w:rsidR="00730093" w:rsidRDefault="00000000">
            <w:pPr>
              <w:jc w:val="center"/>
            </w:pPr>
            <w:r>
              <w:t>0.28</w:t>
            </w:r>
          </w:p>
        </w:tc>
        <w:tc>
          <w:tcPr>
            <w:tcW w:w="2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9782B5" w14:textId="77777777" w:rsidR="00730093" w:rsidRDefault="00000000">
            <w:pPr>
              <w:jc w:val="center"/>
            </w:pPr>
            <w:r>
              <w:t>15</w:t>
            </w:r>
          </w:p>
        </w:tc>
        <w:tc>
          <w:tcPr>
            <w:tcW w:w="2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7E3B3D" w14:textId="77777777" w:rsidR="00730093" w:rsidRDefault="00000000">
            <w:pPr>
              <w:jc w:val="center"/>
            </w:pPr>
            <w:r>
              <w:t>1.84</w:t>
            </w:r>
          </w:p>
        </w:tc>
      </w:tr>
      <w:tr w:rsidR="00730093" w14:paraId="055101B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6787811" w14:textId="77777777" w:rsidR="00730093" w:rsidRDefault="00000000">
            <w:proofErr w:type="spellStart"/>
            <w:proofErr w:type="gramStart"/>
            <w:r>
              <w:t>capital.gain</w:t>
            </w:r>
            <w:proofErr w:type="spellEnd"/>
            <w:proofErr w:type="gramEnd"/>
          </w:p>
        </w:tc>
        <w:tc>
          <w:tcPr>
            <w:tcW w:w="2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6A2F240" w14:textId="77777777" w:rsidR="00730093" w:rsidRDefault="00000000">
            <w:pPr>
              <w:jc w:val="center"/>
            </w:pPr>
            <w:r>
              <w:t>596.66</w:t>
            </w:r>
          </w:p>
        </w:tc>
        <w:tc>
          <w:tcPr>
            <w:tcW w:w="2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34656D" w14:textId="77777777" w:rsidR="00730093" w:rsidRDefault="00000000">
            <w:pPr>
              <w:jc w:val="center"/>
            </w:pPr>
            <w:r>
              <w:t>99.999</w:t>
            </w:r>
          </w:p>
        </w:tc>
        <w:tc>
          <w:tcPr>
            <w:tcW w:w="2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240141" w14:textId="77777777" w:rsidR="00730093" w:rsidRDefault="00000000">
            <w:pPr>
              <w:jc w:val="center"/>
            </w:pPr>
            <w:r>
              <w:t>0.60</w:t>
            </w:r>
          </w:p>
        </w:tc>
      </w:tr>
      <w:tr w:rsidR="00730093" w14:paraId="665FB6D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FBBA0ED" w14:textId="77777777" w:rsidR="00730093" w:rsidRDefault="00000000">
            <w:proofErr w:type="spellStart"/>
            <w:proofErr w:type="gramStart"/>
            <w:r>
              <w:t>capital.loss</w:t>
            </w:r>
            <w:proofErr w:type="spellEnd"/>
            <w:proofErr w:type="gramEnd"/>
          </w:p>
        </w:tc>
        <w:tc>
          <w:tcPr>
            <w:tcW w:w="2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19569A" w14:textId="77777777" w:rsidR="00730093" w:rsidRDefault="00000000">
            <w:pPr>
              <w:jc w:val="center"/>
            </w:pPr>
            <w:r>
              <w:t>64.12</w:t>
            </w:r>
          </w:p>
        </w:tc>
        <w:tc>
          <w:tcPr>
            <w:tcW w:w="2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1C15C1" w14:textId="77777777" w:rsidR="00730093" w:rsidRDefault="00000000">
            <w:pPr>
              <w:jc w:val="center"/>
            </w:pPr>
            <w:r>
              <w:t>4.356</w:t>
            </w:r>
          </w:p>
        </w:tc>
        <w:tc>
          <w:tcPr>
            <w:tcW w:w="2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7B75B7" w14:textId="77777777" w:rsidR="00730093" w:rsidRDefault="00000000">
            <w:pPr>
              <w:jc w:val="center"/>
            </w:pPr>
            <w:r>
              <w:t>1.47</w:t>
            </w:r>
          </w:p>
        </w:tc>
      </w:tr>
      <w:tr w:rsidR="00730093" w14:paraId="0FFCE0AA" w14:textId="77777777">
        <w:tblPrEx>
          <w:tblCellMar>
            <w:top w:w="0" w:type="dxa"/>
            <w:bottom w:w="0" w:type="dxa"/>
          </w:tblCellMar>
        </w:tblPrEx>
        <w:tc>
          <w:tcPr>
            <w:tcW w:w="24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00F602EB" w14:textId="77777777" w:rsidR="00730093" w:rsidRDefault="00000000">
            <w:proofErr w:type="spellStart"/>
            <w:proofErr w:type="gramStart"/>
            <w:r>
              <w:t>hours.per.week</w:t>
            </w:r>
            <w:proofErr w:type="spellEnd"/>
            <w:proofErr w:type="gramEnd"/>
          </w:p>
        </w:tc>
        <w:tc>
          <w:tcPr>
            <w:tcW w:w="23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78DA964F" w14:textId="77777777" w:rsidR="00730093" w:rsidRDefault="00000000">
            <w:pPr>
              <w:jc w:val="center"/>
            </w:pPr>
            <w:r>
              <w:t>1.67</w:t>
            </w:r>
          </w:p>
        </w:tc>
        <w:tc>
          <w:tcPr>
            <w:tcW w:w="23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74C54397" w14:textId="77777777" w:rsidR="00730093" w:rsidRDefault="00000000">
            <w:pPr>
              <w:jc w:val="center"/>
            </w:pPr>
            <w:r>
              <w:t>98</w:t>
            </w:r>
          </w:p>
        </w:tc>
        <w:tc>
          <w:tcPr>
            <w:tcW w:w="236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4EBEFD01" w14:textId="77777777" w:rsidR="00730093" w:rsidRDefault="00000000">
            <w:pPr>
              <w:jc w:val="center"/>
            </w:pPr>
            <w:r>
              <w:t>1.70</w:t>
            </w:r>
          </w:p>
        </w:tc>
      </w:tr>
    </w:tbl>
    <w:p w14:paraId="7343904E" w14:textId="77777777" w:rsidR="00730093" w:rsidRDefault="00000000">
      <w:pPr>
        <w:spacing w:after="120" w:line="360" w:lineRule="auto"/>
        <w:jc w:val="both"/>
      </w:pPr>
      <w:r>
        <w:rPr>
          <w:b/>
          <w:bCs/>
          <w:i/>
          <w:iCs/>
        </w:rPr>
        <w:t>Nota.</w:t>
      </w:r>
      <w:r>
        <w:t xml:space="preserve"> Todos los valores relativos se ubican por debajo del 5%, umbral considerado “muy bueno” en la literatura (</w:t>
      </w:r>
      <w:proofErr w:type="spellStart"/>
      <w:r>
        <w:t>Xu</w:t>
      </w:r>
      <w:proofErr w:type="spellEnd"/>
      <w:r>
        <w:t xml:space="preserve"> et al., 2019).</w:t>
      </w:r>
    </w:p>
    <w:p w14:paraId="0203E32C" w14:textId="77777777" w:rsidR="00730093" w:rsidRDefault="00000000">
      <w:pPr>
        <w:spacing w:before="240" w:after="60"/>
      </w:pPr>
      <w:r>
        <w:rPr>
          <w:b/>
          <w:bCs/>
        </w:rPr>
        <w:t>Tabla 3</w:t>
      </w:r>
    </w:p>
    <w:p w14:paraId="6A2EB293" w14:textId="77777777" w:rsidR="00730093" w:rsidRDefault="00000000">
      <w:pPr>
        <w:spacing w:after="180"/>
      </w:pPr>
      <w:r>
        <w:rPr>
          <w:i/>
          <w:iCs/>
        </w:rPr>
        <w:t>Divergencia de Jensen-Shannon por variable categórica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30093" w14:paraId="7BBD2D3D" w14:textId="77777777">
        <w:tblPrEx>
          <w:tblCellMar>
            <w:top w:w="0" w:type="dxa"/>
            <w:bottom w:w="0" w:type="dxa"/>
          </w:tblCellMar>
        </w:tblPrEx>
        <w:trPr>
          <w:tblHeader/>
        </w:trPr>
        <w:tc>
          <w:tcPr>
            <w:tcW w:w="3120" w:type="dxa"/>
            <w:tcBorders>
              <w:top w:val="single" w:sz="4" w:space="0" w:color="000000"/>
              <w:left w:val="none" w:sz="0" w:space="0" w:color="FFFFFF"/>
              <w:bottom w:val="single" w:sz="4" w:space="0" w:color="000000"/>
              <w:right w:val="none" w:sz="0" w:space="0" w:color="FFFFFF"/>
            </w:tcBorders>
            <w:tcMar>
              <w:top w:w="80" w:type="dxa"/>
              <w:left w:w="100" w:type="dxa"/>
              <w:bottom w:w="80" w:type="dxa"/>
              <w:right w:w="100" w:type="dxa"/>
            </w:tcMar>
          </w:tcPr>
          <w:p w14:paraId="1C8595F6" w14:textId="77777777" w:rsidR="00730093" w:rsidRDefault="00000000">
            <w:pPr>
              <w:jc w:val="center"/>
            </w:pPr>
            <w:r>
              <w:rPr>
                <w:b/>
                <w:bCs/>
              </w:rPr>
              <w:t>Variable</w:t>
            </w:r>
          </w:p>
        </w:tc>
        <w:tc>
          <w:tcPr>
            <w:tcW w:w="3120" w:type="dxa"/>
            <w:tcBorders>
              <w:top w:val="single" w:sz="4" w:space="0" w:color="000000"/>
              <w:left w:val="none" w:sz="0" w:space="0" w:color="FFFFFF"/>
              <w:bottom w:val="single" w:sz="4" w:space="0" w:color="000000"/>
              <w:right w:val="none" w:sz="0" w:space="0" w:color="FFFFFF"/>
            </w:tcBorders>
            <w:tcMar>
              <w:top w:w="80" w:type="dxa"/>
              <w:left w:w="100" w:type="dxa"/>
              <w:bottom w:w="80" w:type="dxa"/>
              <w:right w:w="100" w:type="dxa"/>
            </w:tcMar>
          </w:tcPr>
          <w:p w14:paraId="4BD6BFB4" w14:textId="77777777" w:rsidR="00730093" w:rsidRDefault="00000000">
            <w:pPr>
              <w:jc w:val="center"/>
            </w:pPr>
            <w:r>
              <w:rPr>
                <w:b/>
                <w:bCs/>
              </w:rPr>
              <w:t>Cardinalidad</w:t>
            </w:r>
          </w:p>
        </w:tc>
        <w:tc>
          <w:tcPr>
            <w:tcW w:w="3120" w:type="dxa"/>
            <w:tcBorders>
              <w:top w:val="single" w:sz="4" w:space="0" w:color="000000"/>
              <w:left w:val="none" w:sz="0" w:space="0" w:color="FFFFFF"/>
              <w:bottom w:val="single" w:sz="4" w:space="0" w:color="000000"/>
              <w:right w:val="none" w:sz="0" w:space="0" w:color="FFFFFF"/>
            </w:tcBorders>
            <w:tcMar>
              <w:top w:w="80" w:type="dxa"/>
              <w:left w:w="100" w:type="dxa"/>
              <w:bottom w:w="80" w:type="dxa"/>
              <w:right w:w="100" w:type="dxa"/>
            </w:tcMar>
          </w:tcPr>
          <w:p w14:paraId="08854538" w14:textId="77777777" w:rsidR="00730093" w:rsidRDefault="00000000">
            <w:pPr>
              <w:jc w:val="center"/>
            </w:pPr>
            <w:r>
              <w:rPr>
                <w:b/>
                <w:bCs/>
              </w:rPr>
              <w:t>JSD</w:t>
            </w:r>
          </w:p>
        </w:tc>
      </w:tr>
      <w:tr w:rsidR="00730093" w14:paraId="69C72CCD"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7D6A55" w14:textId="77777777" w:rsidR="00730093" w:rsidRDefault="00000000">
            <w:r>
              <w:t>sex</w:t>
            </w:r>
          </w:p>
        </w:tc>
        <w:tc>
          <w:tcPr>
            <w:tcW w:w="31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650B62" w14:textId="77777777" w:rsidR="00730093" w:rsidRDefault="00000000">
            <w:pPr>
              <w:jc w:val="center"/>
            </w:pPr>
            <w:r>
              <w:t>2</w:t>
            </w:r>
          </w:p>
        </w:tc>
        <w:tc>
          <w:tcPr>
            <w:tcW w:w="31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8727389" w14:textId="77777777" w:rsidR="00730093" w:rsidRDefault="00000000">
            <w:pPr>
              <w:jc w:val="center"/>
            </w:pPr>
            <w:r>
              <w:t>0.0002</w:t>
            </w:r>
          </w:p>
        </w:tc>
      </w:tr>
      <w:tr w:rsidR="00730093" w14:paraId="11F256B9"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0EB31B" w14:textId="77777777" w:rsidR="00730093" w:rsidRDefault="00000000">
            <w:proofErr w:type="spellStart"/>
            <w:r>
              <w:t>income</w:t>
            </w:r>
            <w:proofErr w:type="spellEnd"/>
          </w:p>
        </w:tc>
        <w:tc>
          <w:tcPr>
            <w:tcW w:w="31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F9C53C" w14:textId="77777777" w:rsidR="00730093" w:rsidRDefault="00000000">
            <w:pPr>
              <w:jc w:val="center"/>
            </w:pPr>
            <w:r>
              <w:t>2</w:t>
            </w:r>
          </w:p>
        </w:tc>
        <w:tc>
          <w:tcPr>
            <w:tcW w:w="31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0107202" w14:textId="77777777" w:rsidR="00730093" w:rsidRDefault="00000000">
            <w:pPr>
              <w:jc w:val="center"/>
            </w:pPr>
            <w:r>
              <w:t>0.0031</w:t>
            </w:r>
          </w:p>
        </w:tc>
      </w:tr>
      <w:tr w:rsidR="00730093" w14:paraId="56BE15C4"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F5C031" w14:textId="77777777" w:rsidR="00730093" w:rsidRDefault="00000000">
            <w:proofErr w:type="spellStart"/>
            <w:r>
              <w:t>relationship</w:t>
            </w:r>
            <w:proofErr w:type="spellEnd"/>
          </w:p>
        </w:tc>
        <w:tc>
          <w:tcPr>
            <w:tcW w:w="31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6DAD5C9" w14:textId="77777777" w:rsidR="00730093" w:rsidRDefault="00000000">
            <w:pPr>
              <w:jc w:val="center"/>
            </w:pPr>
            <w:r>
              <w:t>6</w:t>
            </w:r>
          </w:p>
        </w:tc>
        <w:tc>
          <w:tcPr>
            <w:tcW w:w="31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485A54" w14:textId="77777777" w:rsidR="00730093" w:rsidRDefault="00000000">
            <w:pPr>
              <w:jc w:val="center"/>
            </w:pPr>
            <w:r>
              <w:t>0.0038</w:t>
            </w:r>
          </w:p>
        </w:tc>
      </w:tr>
      <w:tr w:rsidR="00730093" w14:paraId="18B3A201"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55E475" w14:textId="77777777" w:rsidR="00730093" w:rsidRDefault="00000000">
            <w:proofErr w:type="spellStart"/>
            <w:r>
              <w:t>education</w:t>
            </w:r>
            <w:proofErr w:type="spellEnd"/>
          </w:p>
        </w:tc>
        <w:tc>
          <w:tcPr>
            <w:tcW w:w="31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2A37B1" w14:textId="77777777" w:rsidR="00730093" w:rsidRDefault="00000000">
            <w:pPr>
              <w:jc w:val="center"/>
            </w:pPr>
            <w:r>
              <w:t>16</w:t>
            </w:r>
          </w:p>
        </w:tc>
        <w:tc>
          <w:tcPr>
            <w:tcW w:w="31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A75D4F" w14:textId="77777777" w:rsidR="00730093" w:rsidRDefault="00000000">
            <w:pPr>
              <w:jc w:val="center"/>
            </w:pPr>
            <w:r>
              <w:t>0.0087</w:t>
            </w:r>
          </w:p>
        </w:tc>
      </w:tr>
      <w:tr w:rsidR="00730093" w14:paraId="6593A9D2"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E5AAF0B" w14:textId="77777777" w:rsidR="00730093" w:rsidRDefault="00000000">
            <w:proofErr w:type="spellStart"/>
            <w:r>
              <w:t>workclass</w:t>
            </w:r>
            <w:proofErr w:type="spellEnd"/>
          </w:p>
        </w:tc>
        <w:tc>
          <w:tcPr>
            <w:tcW w:w="31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FA190E" w14:textId="77777777" w:rsidR="00730093" w:rsidRDefault="00000000">
            <w:pPr>
              <w:jc w:val="center"/>
            </w:pPr>
            <w:r>
              <w:t>7</w:t>
            </w:r>
          </w:p>
        </w:tc>
        <w:tc>
          <w:tcPr>
            <w:tcW w:w="31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A002AF" w14:textId="77777777" w:rsidR="00730093" w:rsidRDefault="00000000">
            <w:pPr>
              <w:jc w:val="center"/>
            </w:pPr>
            <w:r>
              <w:t>0.0091</w:t>
            </w:r>
          </w:p>
        </w:tc>
      </w:tr>
      <w:tr w:rsidR="00730093" w14:paraId="0B7ACBC9"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CE6CA9B" w14:textId="77777777" w:rsidR="00730093" w:rsidRDefault="00000000">
            <w:proofErr w:type="spellStart"/>
            <w:proofErr w:type="gramStart"/>
            <w:r>
              <w:t>marital.status</w:t>
            </w:r>
            <w:proofErr w:type="spellEnd"/>
            <w:proofErr w:type="gramEnd"/>
          </w:p>
        </w:tc>
        <w:tc>
          <w:tcPr>
            <w:tcW w:w="31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CF79D08" w14:textId="77777777" w:rsidR="00730093" w:rsidRDefault="00000000">
            <w:pPr>
              <w:jc w:val="center"/>
            </w:pPr>
            <w:r>
              <w:t>7</w:t>
            </w:r>
          </w:p>
        </w:tc>
        <w:tc>
          <w:tcPr>
            <w:tcW w:w="31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503E81" w14:textId="77777777" w:rsidR="00730093" w:rsidRDefault="00000000">
            <w:pPr>
              <w:jc w:val="center"/>
            </w:pPr>
            <w:r>
              <w:t>0.0095</w:t>
            </w:r>
          </w:p>
        </w:tc>
      </w:tr>
      <w:tr w:rsidR="00730093" w14:paraId="2B85BB1F"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0E8874F" w14:textId="77777777" w:rsidR="00730093" w:rsidRDefault="00000000">
            <w:proofErr w:type="spellStart"/>
            <w:r>
              <w:t>occupation</w:t>
            </w:r>
            <w:proofErr w:type="spellEnd"/>
          </w:p>
        </w:tc>
        <w:tc>
          <w:tcPr>
            <w:tcW w:w="31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9B9865" w14:textId="77777777" w:rsidR="00730093" w:rsidRDefault="00000000">
            <w:pPr>
              <w:jc w:val="center"/>
            </w:pPr>
            <w:r>
              <w:t>14</w:t>
            </w:r>
          </w:p>
        </w:tc>
        <w:tc>
          <w:tcPr>
            <w:tcW w:w="31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324B76" w14:textId="77777777" w:rsidR="00730093" w:rsidRDefault="00000000">
            <w:pPr>
              <w:jc w:val="center"/>
            </w:pPr>
            <w:r>
              <w:t>0.0106</w:t>
            </w:r>
          </w:p>
        </w:tc>
      </w:tr>
      <w:tr w:rsidR="00730093" w14:paraId="6B78D679"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685227" w14:textId="77777777" w:rsidR="00730093" w:rsidRDefault="00000000">
            <w:proofErr w:type="spellStart"/>
            <w:r>
              <w:t>race</w:t>
            </w:r>
            <w:proofErr w:type="spellEnd"/>
          </w:p>
        </w:tc>
        <w:tc>
          <w:tcPr>
            <w:tcW w:w="31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247D5A" w14:textId="77777777" w:rsidR="00730093" w:rsidRDefault="00000000">
            <w:pPr>
              <w:jc w:val="center"/>
            </w:pPr>
            <w:r>
              <w:t>5</w:t>
            </w:r>
          </w:p>
        </w:tc>
        <w:tc>
          <w:tcPr>
            <w:tcW w:w="312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E9E813" w14:textId="77777777" w:rsidR="00730093" w:rsidRDefault="00000000">
            <w:pPr>
              <w:jc w:val="center"/>
            </w:pPr>
            <w:r>
              <w:t>0.0154</w:t>
            </w:r>
          </w:p>
        </w:tc>
      </w:tr>
      <w:tr w:rsidR="00730093" w14:paraId="66311B00" w14:textId="77777777">
        <w:tblPrEx>
          <w:tblCellMar>
            <w:top w:w="0" w:type="dxa"/>
            <w:bottom w:w="0" w:type="dxa"/>
          </w:tblCellMar>
        </w:tblPrEx>
        <w:tc>
          <w:tcPr>
            <w:tcW w:w="312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15C8DB4B" w14:textId="77777777" w:rsidR="00730093" w:rsidRDefault="00000000">
            <w:proofErr w:type="spellStart"/>
            <w:proofErr w:type="gramStart"/>
            <w:r>
              <w:t>native.country</w:t>
            </w:r>
            <w:proofErr w:type="spellEnd"/>
            <w:proofErr w:type="gramEnd"/>
          </w:p>
        </w:tc>
        <w:tc>
          <w:tcPr>
            <w:tcW w:w="312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55917F1F" w14:textId="77777777" w:rsidR="00730093" w:rsidRDefault="00000000">
            <w:pPr>
              <w:jc w:val="center"/>
            </w:pPr>
            <w:r>
              <w:t>40</w:t>
            </w:r>
          </w:p>
        </w:tc>
        <w:tc>
          <w:tcPr>
            <w:tcW w:w="312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49C6AEEA" w14:textId="77777777" w:rsidR="00730093" w:rsidRDefault="00000000">
            <w:pPr>
              <w:jc w:val="center"/>
            </w:pPr>
            <w:r>
              <w:t>0.0402</w:t>
            </w:r>
          </w:p>
        </w:tc>
      </w:tr>
    </w:tbl>
    <w:p w14:paraId="04E5C098" w14:textId="77777777" w:rsidR="00730093" w:rsidRDefault="00000000">
      <w:pPr>
        <w:spacing w:after="120" w:line="360" w:lineRule="auto"/>
        <w:jc w:val="both"/>
      </w:pPr>
      <w:r>
        <w:rPr>
          <w:b/>
          <w:bCs/>
          <w:i/>
          <w:iCs/>
        </w:rPr>
        <w:t>Nota.</w:t>
      </w:r>
      <w:r>
        <w:t xml:space="preserve"> Todas las variables presentan JSD muy por debajo del umbral de 0.05, indicando preservación excelente de las distribuciones marginales.</w:t>
      </w:r>
    </w:p>
    <w:p w14:paraId="7D1A48C7" w14:textId="77777777" w:rsidR="00730093" w:rsidRDefault="00000000">
      <w:pPr>
        <w:spacing w:after="120" w:line="360" w:lineRule="auto"/>
        <w:jc w:val="both"/>
      </w:pPr>
      <w:r>
        <w:lastRenderedPageBreak/>
        <w:t xml:space="preserve">La norma de Frobenius relativa entre las matrices de correlación de las variables continuas resultó en 10.38%, valor que se ubica en el límite entre “muy buena preservación” (&lt;10%) y “preservación parcial” (10-25%). El análisis desagregado del </w:t>
      </w:r>
      <w:proofErr w:type="spellStart"/>
      <w:r>
        <w:t>heatmap</w:t>
      </w:r>
      <w:proofErr w:type="spellEnd"/>
      <w:r>
        <w:t xml:space="preserve"> de diferencias reveló dos distorsiones específicas: la correlación entre </w:t>
      </w:r>
      <w:proofErr w:type="spellStart"/>
      <w:r>
        <w:t>age</w:t>
      </w:r>
      <w:proofErr w:type="spellEnd"/>
      <w:r>
        <w:t xml:space="preserve"> y </w:t>
      </w:r>
      <w:proofErr w:type="spellStart"/>
      <w:proofErr w:type="gramStart"/>
      <w:r>
        <w:t>hours.per.week</w:t>
      </w:r>
      <w:proofErr w:type="spellEnd"/>
      <w:proofErr w:type="gramEnd"/>
      <w:r>
        <w:t xml:space="preserve"> pasó de 0.11 (real) a 0.21 (sintético), casi duplicándose; y las correlaciones que involucran </w:t>
      </w:r>
      <w:proofErr w:type="spellStart"/>
      <w:proofErr w:type="gramStart"/>
      <w:r>
        <w:t>capital.loss</w:t>
      </w:r>
      <w:proofErr w:type="spellEnd"/>
      <w:proofErr w:type="gramEnd"/>
      <w:r>
        <w:t xml:space="preserve"> se aplanaron a valores cercanos a cero, perdiendo dependencias débiles pero existentes en los datos reales.</w:t>
      </w:r>
    </w:p>
    <w:p w14:paraId="7466F805" w14:textId="77777777" w:rsidR="00730093" w:rsidRDefault="00000000">
      <w:pPr>
        <w:spacing w:before="240" w:after="60"/>
      </w:pPr>
      <w:r>
        <w:rPr>
          <w:b/>
          <w:bCs/>
        </w:rPr>
        <w:t>Tabla 4</w:t>
      </w:r>
    </w:p>
    <w:p w14:paraId="2D45D03A" w14:textId="77777777" w:rsidR="00730093" w:rsidRDefault="00000000">
      <w:pPr>
        <w:spacing w:after="180"/>
      </w:pPr>
      <w:r>
        <w:rPr>
          <w:i/>
          <w:iCs/>
        </w:rPr>
        <w:t xml:space="preserve">Resultados TSTR vs. </w:t>
      </w:r>
      <w:proofErr w:type="spellStart"/>
      <w:r>
        <w:rPr>
          <w:i/>
          <w:iCs/>
        </w:rPr>
        <w:t>baseline</w:t>
      </w:r>
      <w:proofErr w:type="spellEnd"/>
      <w:r>
        <w:rPr>
          <w:i/>
          <w:iCs/>
        </w:rPr>
        <w:t xml:space="preserve"> para predicción de </w:t>
      </w:r>
      <w:proofErr w:type="spellStart"/>
      <w:r>
        <w:rPr>
          <w:i/>
          <w:iCs/>
        </w:rPr>
        <w:t>income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1900"/>
        <w:gridCol w:w="1880"/>
        <w:gridCol w:w="1880"/>
      </w:tblGrid>
      <w:tr w:rsidR="00730093" w14:paraId="55BA63A7" w14:textId="77777777">
        <w:tblPrEx>
          <w:tblCellMar>
            <w:top w:w="0" w:type="dxa"/>
            <w:bottom w:w="0" w:type="dxa"/>
          </w:tblCellMar>
        </w:tblPrEx>
        <w:trPr>
          <w:tblHeader/>
        </w:trPr>
        <w:tc>
          <w:tcPr>
            <w:tcW w:w="1800" w:type="dxa"/>
            <w:tcBorders>
              <w:top w:val="single" w:sz="4" w:space="0" w:color="000000"/>
              <w:left w:val="none" w:sz="0" w:space="0" w:color="FFFFFF"/>
              <w:bottom w:val="single" w:sz="4" w:space="0" w:color="000000"/>
              <w:right w:val="none" w:sz="0" w:space="0" w:color="FFFFFF"/>
            </w:tcBorders>
            <w:tcMar>
              <w:top w:w="80" w:type="dxa"/>
              <w:left w:w="100" w:type="dxa"/>
              <w:bottom w:w="80" w:type="dxa"/>
              <w:right w:w="100" w:type="dxa"/>
            </w:tcMar>
          </w:tcPr>
          <w:p w14:paraId="6A521703" w14:textId="77777777" w:rsidR="00730093" w:rsidRDefault="00000000">
            <w:pPr>
              <w:jc w:val="center"/>
            </w:pPr>
            <w:r>
              <w:rPr>
                <w:b/>
                <w:bCs/>
              </w:rPr>
              <w:t>Métrica</w:t>
            </w:r>
          </w:p>
        </w:tc>
        <w:tc>
          <w:tcPr>
            <w:tcW w:w="1900" w:type="dxa"/>
            <w:tcBorders>
              <w:top w:val="single" w:sz="4" w:space="0" w:color="000000"/>
              <w:left w:val="none" w:sz="0" w:space="0" w:color="FFFFFF"/>
              <w:bottom w:val="single" w:sz="4" w:space="0" w:color="000000"/>
              <w:right w:val="none" w:sz="0" w:space="0" w:color="FFFFFF"/>
            </w:tcBorders>
            <w:tcMar>
              <w:top w:w="80" w:type="dxa"/>
              <w:left w:w="100" w:type="dxa"/>
              <w:bottom w:w="80" w:type="dxa"/>
              <w:right w:w="100" w:type="dxa"/>
            </w:tcMar>
          </w:tcPr>
          <w:p w14:paraId="6A49B50A" w14:textId="77777777" w:rsidR="00730093" w:rsidRDefault="00000000">
            <w:pPr>
              <w:jc w:val="center"/>
            </w:pPr>
            <w:proofErr w:type="spellStart"/>
            <w:r>
              <w:rPr>
                <w:b/>
                <w:bCs/>
              </w:rPr>
              <w:t>Baseline</w:t>
            </w:r>
            <w:proofErr w:type="spellEnd"/>
            <w:r>
              <w:rPr>
                <w:b/>
                <w:bCs/>
              </w:rPr>
              <w:t xml:space="preserve"> (Real)</w:t>
            </w:r>
          </w:p>
        </w:tc>
        <w:tc>
          <w:tcPr>
            <w:tcW w:w="1900" w:type="dxa"/>
            <w:tcBorders>
              <w:top w:val="single" w:sz="4" w:space="0" w:color="000000"/>
              <w:left w:val="none" w:sz="0" w:space="0" w:color="FFFFFF"/>
              <w:bottom w:val="single" w:sz="4" w:space="0" w:color="000000"/>
              <w:right w:val="none" w:sz="0" w:space="0" w:color="FFFFFF"/>
            </w:tcBorders>
            <w:tcMar>
              <w:top w:w="80" w:type="dxa"/>
              <w:left w:w="100" w:type="dxa"/>
              <w:bottom w:w="80" w:type="dxa"/>
              <w:right w:w="100" w:type="dxa"/>
            </w:tcMar>
          </w:tcPr>
          <w:p w14:paraId="28B33081" w14:textId="77777777" w:rsidR="00730093" w:rsidRDefault="00000000">
            <w:pPr>
              <w:jc w:val="center"/>
            </w:pPr>
            <w:r>
              <w:rPr>
                <w:b/>
                <w:bCs/>
              </w:rPr>
              <w:t>TSTR (Sintético)</w:t>
            </w:r>
          </w:p>
        </w:tc>
        <w:tc>
          <w:tcPr>
            <w:tcW w:w="1880" w:type="dxa"/>
            <w:tcBorders>
              <w:top w:val="single" w:sz="4" w:space="0" w:color="000000"/>
              <w:left w:val="none" w:sz="0" w:space="0" w:color="FFFFFF"/>
              <w:bottom w:val="single" w:sz="4" w:space="0" w:color="000000"/>
              <w:right w:val="none" w:sz="0" w:space="0" w:color="FFFFFF"/>
            </w:tcBorders>
            <w:tcMar>
              <w:top w:w="80" w:type="dxa"/>
              <w:left w:w="100" w:type="dxa"/>
              <w:bottom w:w="80" w:type="dxa"/>
              <w:right w:w="100" w:type="dxa"/>
            </w:tcMar>
          </w:tcPr>
          <w:p w14:paraId="7D587F9B" w14:textId="77777777" w:rsidR="00730093" w:rsidRDefault="00000000">
            <w:pPr>
              <w:jc w:val="center"/>
            </w:pPr>
            <w:r>
              <w:rPr>
                <w:b/>
                <w:bCs/>
              </w:rPr>
              <w:t>Ratio</w:t>
            </w:r>
          </w:p>
        </w:tc>
        <w:tc>
          <w:tcPr>
            <w:tcW w:w="1880" w:type="dxa"/>
            <w:tcBorders>
              <w:top w:val="single" w:sz="4" w:space="0" w:color="000000"/>
              <w:left w:val="none" w:sz="0" w:space="0" w:color="FFFFFF"/>
              <w:bottom w:val="single" w:sz="4" w:space="0" w:color="000000"/>
              <w:right w:val="none" w:sz="0" w:space="0" w:color="FFFFFF"/>
            </w:tcBorders>
            <w:tcMar>
              <w:top w:w="80" w:type="dxa"/>
              <w:left w:w="100" w:type="dxa"/>
              <w:bottom w:w="80" w:type="dxa"/>
              <w:right w:w="100" w:type="dxa"/>
            </w:tcMar>
          </w:tcPr>
          <w:p w14:paraId="472446BC" w14:textId="77777777" w:rsidR="00730093" w:rsidRDefault="00000000">
            <w:pPr>
              <w:jc w:val="center"/>
            </w:pPr>
            <w:r>
              <w:rPr>
                <w:b/>
                <w:bCs/>
              </w:rPr>
              <w:t>Pérdida</w:t>
            </w:r>
          </w:p>
        </w:tc>
      </w:tr>
      <w:tr w:rsidR="00730093" w14:paraId="7DBEADAE"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8DD0D6" w14:textId="77777777" w:rsidR="00730093" w:rsidRDefault="00000000">
            <w:proofErr w:type="spellStart"/>
            <w:r>
              <w:t>Accuracy</w:t>
            </w:r>
            <w:proofErr w:type="spellEnd"/>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919368" w14:textId="77777777" w:rsidR="00730093" w:rsidRDefault="00000000">
            <w:pPr>
              <w:jc w:val="center"/>
            </w:pPr>
            <w:r>
              <w:t>0.8385</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D0EBAD" w14:textId="77777777" w:rsidR="00730093" w:rsidRDefault="00000000">
            <w:pPr>
              <w:jc w:val="center"/>
            </w:pPr>
            <w:r>
              <w:t>0.8200</w:t>
            </w:r>
          </w:p>
        </w:tc>
        <w:tc>
          <w:tcPr>
            <w:tcW w:w="1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EE1F18" w14:textId="77777777" w:rsidR="00730093" w:rsidRDefault="00000000">
            <w:pPr>
              <w:jc w:val="center"/>
            </w:pPr>
            <w:r>
              <w:t>0.9779</w:t>
            </w:r>
          </w:p>
        </w:tc>
        <w:tc>
          <w:tcPr>
            <w:tcW w:w="1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2BADFD" w14:textId="77777777" w:rsidR="00730093" w:rsidRDefault="00000000">
            <w:pPr>
              <w:jc w:val="center"/>
            </w:pPr>
            <w:r>
              <w:t>2.21%</w:t>
            </w:r>
          </w:p>
        </w:tc>
      </w:tr>
      <w:tr w:rsidR="00730093" w14:paraId="6ADDF9E7"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19E632" w14:textId="77777777" w:rsidR="00730093" w:rsidRDefault="00000000">
            <w:r>
              <w:t>F1 (&gt;50K)</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A0DAEA" w14:textId="77777777" w:rsidR="00730093" w:rsidRDefault="00000000">
            <w:pPr>
              <w:jc w:val="center"/>
            </w:pPr>
            <w:r>
              <w:t>0.6622</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FB192D" w14:textId="77777777" w:rsidR="00730093" w:rsidRDefault="00000000">
            <w:pPr>
              <w:jc w:val="center"/>
            </w:pPr>
            <w:r>
              <w:t>0.6111</w:t>
            </w:r>
          </w:p>
        </w:tc>
        <w:tc>
          <w:tcPr>
            <w:tcW w:w="1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01A8D7" w14:textId="77777777" w:rsidR="00730093" w:rsidRDefault="00000000">
            <w:pPr>
              <w:jc w:val="center"/>
            </w:pPr>
            <w:r>
              <w:t>0.9228</w:t>
            </w:r>
          </w:p>
        </w:tc>
        <w:tc>
          <w:tcPr>
            <w:tcW w:w="18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6B7239B" w14:textId="77777777" w:rsidR="00730093" w:rsidRDefault="00000000">
            <w:pPr>
              <w:jc w:val="center"/>
            </w:pPr>
            <w:r>
              <w:t>7.72%</w:t>
            </w:r>
          </w:p>
        </w:tc>
      </w:tr>
      <w:tr w:rsidR="00730093" w14:paraId="74E4399C" w14:textId="77777777">
        <w:tblPrEx>
          <w:tblCellMar>
            <w:top w:w="0" w:type="dxa"/>
            <w:bottom w:w="0" w:type="dxa"/>
          </w:tblCellMar>
        </w:tblPrEx>
        <w:tc>
          <w:tcPr>
            <w:tcW w:w="18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60C8F1DA" w14:textId="77777777" w:rsidR="00730093" w:rsidRDefault="00000000">
            <w:r>
              <w:t>AUC-ROC</w:t>
            </w:r>
          </w:p>
        </w:tc>
        <w:tc>
          <w:tcPr>
            <w:tcW w:w="19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17F3176F" w14:textId="77777777" w:rsidR="00730093" w:rsidRDefault="00000000">
            <w:pPr>
              <w:jc w:val="center"/>
            </w:pPr>
            <w:r>
              <w:t>0.8870</w:t>
            </w:r>
          </w:p>
        </w:tc>
        <w:tc>
          <w:tcPr>
            <w:tcW w:w="19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63D6ABA1" w14:textId="77777777" w:rsidR="00730093" w:rsidRDefault="00000000">
            <w:pPr>
              <w:jc w:val="center"/>
            </w:pPr>
            <w:r>
              <w:t>0.8673</w:t>
            </w:r>
          </w:p>
        </w:tc>
        <w:tc>
          <w:tcPr>
            <w:tcW w:w="188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3D832312" w14:textId="77777777" w:rsidR="00730093" w:rsidRDefault="00000000">
            <w:pPr>
              <w:jc w:val="center"/>
            </w:pPr>
            <w:r>
              <w:t>0.9778</w:t>
            </w:r>
          </w:p>
        </w:tc>
        <w:tc>
          <w:tcPr>
            <w:tcW w:w="188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6AE52C5F" w14:textId="77777777" w:rsidR="00730093" w:rsidRDefault="00000000">
            <w:pPr>
              <w:jc w:val="center"/>
            </w:pPr>
            <w:r>
              <w:t>2.22%</w:t>
            </w:r>
          </w:p>
        </w:tc>
      </w:tr>
    </w:tbl>
    <w:p w14:paraId="728314AC" w14:textId="77777777" w:rsidR="00730093" w:rsidRDefault="00000000">
      <w:pPr>
        <w:spacing w:after="120" w:line="360" w:lineRule="auto"/>
        <w:jc w:val="both"/>
      </w:pPr>
      <w:r>
        <w:rPr>
          <w:b/>
          <w:bCs/>
          <w:i/>
          <w:iCs/>
        </w:rPr>
        <w:t>Nota.</w:t>
      </w:r>
      <w:r>
        <w:t xml:space="preserve"> Random Forest con 100 estimadores. </w:t>
      </w:r>
      <w:proofErr w:type="spellStart"/>
      <w:r>
        <w:t>Holdout</w:t>
      </w:r>
      <w:proofErr w:type="spellEnd"/>
      <w:r>
        <w:t xml:space="preserve">: 20.162 filas reales no usadas para entrenar CTGAN. </w:t>
      </w:r>
      <w:proofErr w:type="gramStart"/>
      <w:r>
        <w:t>El ratio</w:t>
      </w:r>
      <w:proofErr w:type="gramEnd"/>
      <w:r>
        <w:t xml:space="preserve"> promedio de 0.93 indica utilidad alta de los datos sintéticos para tareas predictivas.</w:t>
      </w:r>
    </w:p>
    <w:p w14:paraId="29BD0631" w14:textId="77777777" w:rsidR="00730093" w:rsidRDefault="00000000">
      <w:pPr>
        <w:pStyle w:val="Ttulo2"/>
      </w:pPr>
      <w:r>
        <w:t xml:space="preserve">4.5 Hallazgo crítico: limitación estructural en variables </w:t>
      </w:r>
      <w:proofErr w:type="spellStart"/>
      <w:r>
        <w:t>zero-inflated</w:t>
      </w:r>
      <w:proofErr w:type="spellEnd"/>
    </w:p>
    <w:p w14:paraId="53A35B71" w14:textId="77777777" w:rsidR="00730093" w:rsidRDefault="00000000">
      <w:pPr>
        <w:spacing w:after="120" w:line="360" w:lineRule="auto"/>
        <w:jc w:val="both"/>
      </w:pPr>
      <w:r>
        <w:t xml:space="preserve">A pesar de los buenos valores agregados de Wasserstein y JSD, el análisis desagregado reveló un fallo estructural importante. La proporción de valores cero en </w:t>
      </w:r>
      <w:proofErr w:type="spellStart"/>
      <w:proofErr w:type="gramStart"/>
      <w:r>
        <w:t>capital.gain</w:t>
      </w:r>
      <w:proofErr w:type="spellEnd"/>
      <w:proofErr w:type="gramEnd"/>
      <w:r>
        <w:t xml:space="preserve"> pasó del 91,92% real al 1,15% sintético, y en </w:t>
      </w:r>
      <w:proofErr w:type="spellStart"/>
      <w:proofErr w:type="gramStart"/>
      <w:r>
        <w:t>capital.loss</w:t>
      </w:r>
      <w:proofErr w:type="spellEnd"/>
      <w:proofErr w:type="gramEnd"/>
      <w:r>
        <w:t xml:space="preserve"> del 95,23% al 28,51%. Esto significa que CTGAN “esparció” las masas puntuales en cero como ruido positivo pequeño, generando valores 0.1, 15 o 400 donde debería haber ausencia exacta de ganancias o pérdidas de capital. Adicionalmente, el máximo generado para </w:t>
      </w:r>
      <w:proofErr w:type="spellStart"/>
      <w:proofErr w:type="gramStart"/>
      <w:r>
        <w:t>capital.gain</w:t>
      </w:r>
      <w:proofErr w:type="spellEnd"/>
      <w:proofErr w:type="gramEnd"/>
      <w:r>
        <w:t xml:space="preserve"> fue 16.253, muy por debajo del máximo real de 99.999, evidenciando que la cola larga de la distribución no se preservó.</w:t>
      </w:r>
    </w:p>
    <w:p w14:paraId="3CF7EF7E" w14:textId="77777777" w:rsidR="00730093" w:rsidRDefault="00000000">
      <w:pPr>
        <w:spacing w:after="120" w:line="360" w:lineRule="auto"/>
        <w:jc w:val="both"/>
      </w:pPr>
      <w:r>
        <w:t xml:space="preserve">Este patrón identifica una clase de variables donde CTGAN tiene limitaciones estructurales: variables </w:t>
      </w:r>
      <w:proofErr w:type="spellStart"/>
      <w:r>
        <w:t>zero-inflated</w:t>
      </w:r>
      <w:proofErr w:type="spellEnd"/>
      <w:r>
        <w:t xml:space="preserve"> o con masa puntual concentrada y cola larga asimétrica. Casos comunes en aplicaciones reales incluyen días de hospitalización en salud, monto de devolución en e-</w:t>
      </w:r>
      <w:proofErr w:type="spellStart"/>
      <w:r>
        <w:t>commerce</w:t>
      </w:r>
      <w:proofErr w:type="spellEnd"/>
      <w:r>
        <w:t>, monto de siniestro en seguros y días de mora en finanzas. La causa técnica radica en que la Mode-</w:t>
      </w:r>
      <w:proofErr w:type="spellStart"/>
      <w:r>
        <w:t>Specific</w:t>
      </w:r>
      <w:proofErr w:type="spellEnd"/>
      <w:r>
        <w:t xml:space="preserve"> </w:t>
      </w:r>
      <w:proofErr w:type="spellStart"/>
      <w:r>
        <w:t>Normalization</w:t>
      </w:r>
      <w:proofErr w:type="spellEnd"/>
      <w:r>
        <w:t xml:space="preserve">, basada en mixturas gaussianas variacionales, suaviza los </w:t>
      </w:r>
      <w:r>
        <w:lastRenderedPageBreak/>
        <w:t>modos de masa puntual al ajustar componentes gaussianas continuas. Mejoras futuras incluirían tratamiento en dos pasos (modelar primero P(x=0) como Bernoulli y luego la distribución condicional de los valores no-cero), transformaciones logarítmicas previas, o el uso de arquitecturas extendidas como CTAB-GAN+ (Zhao et al., 2022).</w:t>
      </w:r>
    </w:p>
    <w:p w14:paraId="0EAB8EC4" w14:textId="77777777" w:rsidR="00730093" w:rsidRDefault="00000000">
      <w:pPr>
        <w:pStyle w:val="Ttulo2"/>
      </w:pPr>
      <w:r>
        <w:t>4.6 Ajustes técnicos al código original</w:t>
      </w:r>
    </w:p>
    <w:p w14:paraId="6690AE72" w14:textId="77777777" w:rsidR="00730093" w:rsidRDefault="00000000">
      <w:pPr>
        <w:spacing w:after="120" w:line="360" w:lineRule="auto"/>
        <w:jc w:val="both"/>
      </w:pPr>
      <w:r>
        <w:t xml:space="preserve">Los ajustes específicos realizados sobre el código provisto fueron: sustitución del </w:t>
      </w:r>
      <w:proofErr w:type="spellStart"/>
      <w:r>
        <w:t>dataset</w:t>
      </w:r>
      <w:proofErr w:type="spellEnd"/>
      <w:r>
        <w:t xml:space="preserve"> de juguete por </w:t>
      </w:r>
      <w:proofErr w:type="spellStart"/>
      <w:r>
        <w:t>Adult</w:t>
      </w:r>
      <w:proofErr w:type="spellEnd"/>
      <w:r>
        <w:t xml:space="preserve"> Census con preprocesamiento documentado, declaración completa de las 9 columnas categóricas, reemplazo del parámetro deprecado </w:t>
      </w:r>
      <w:proofErr w:type="spellStart"/>
      <w:r>
        <w:t>cuda</w:t>
      </w:r>
      <w:proofErr w:type="spellEnd"/>
      <w:r>
        <w:t xml:space="preserve">=False por </w:t>
      </w:r>
      <w:proofErr w:type="spellStart"/>
      <w:r>
        <w:t>enable_gpu</w:t>
      </w:r>
      <w:proofErr w:type="spellEnd"/>
      <w:r>
        <w:t xml:space="preserve">=False según la versión actual de la librería, fijación adicional de </w:t>
      </w:r>
      <w:proofErr w:type="spellStart"/>
      <w:r>
        <w:t>torch.manual_seed</w:t>
      </w:r>
      <w:proofErr w:type="spellEnd"/>
      <w:r>
        <w:t xml:space="preserve">(42) para reproducibilidad de la red neuronal, generación de un número de muestras sintéticas igual al tamaño del </w:t>
      </w:r>
      <w:proofErr w:type="spellStart"/>
      <w:r>
        <w:t>dataset</w:t>
      </w:r>
      <w:proofErr w:type="spellEnd"/>
      <w:r>
        <w:t xml:space="preserve"> de entrenamiento (estándar metodológico de la literatura), y separación explícita entre datos de entrenamiento y </w:t>
      </w:r>
      <w:proofErr w:type="spellStart"/>
      <w:r>
        <w:t>holdout</w:t>
      </w:r>
      <w:proofErr w:type="spellEnd"/>
      <w:r>
        <w:t xml:space="preserve"> para evaluación rigurosa.</w:t>
      </w:r>
    </w:p>
    <w:p w14:paraId="14F14D13" w14:textId="77777777" w:rsidR="00730093" w:rsidRDefault="00000000">
      <w:pPr>
        <w:pStyle w:val="Ttulo1"/>
      </w:pPr>
      <w:r>
        <w:t>Criterio 5. Comparación visual y estadística de datos reales vs. sintéticos</w:t>
      </w:r>
    </w:p>
    <w:p w14:paraId="0826969E" w14:textId="77777777" w:rsidR="00730093" w:rsidRDefault="00000000">
      <w:pPr>
        <w:pStyle w:val="Ttulo2"/>
      </w:pPr>
      <w:r>
        <w:t>5.1 Comparación visual mediante histogramas y barras</w:t>
      </w:r>
    </w:p>
    <w:p w14:paraId="4B6CCE2A" w14:textId="77777777" w:rsidR="00730093" w:rsidRDefault="00000000">
      <w:pPr>
        <w:spacing w:after="120" w:line="360" w:lineRule="auto"/>
        <w:jc w:val="both"/>
      </w:pPr>
      <w:r>
        <w:t>La comparación visual es indispensable para validar la fidelidad de los datos sintéticos en dimensiones que las métricas agregadas pueden ocultar. Los histogramas superpuestos de las cinco variables continuas permiten apreciar simultáneamente forma, asimetría, modalidad y rango.</w:t>
      </w:r>
    </w:p>
    <w:p w14:paraId="282E05E3" w14:textId="77777777" w:rsidR="00730093" w:rsidRDefault="00000000">
      <w:pPr>
        <w:spacing w:before="120" w:after="120"/>
        <w:jc w:val="center"/>
      </w:pPr>
      <w:r>
        <w:rPr>
          <w:noProof/>
        </w:rPr>
        <w:lastRenderedPageBreak/>
        <w:drawing>
          <wp:inline distT="0" distB="0" distL="0" distR="0" wp14:anchorId="6B5DF425" wp14:editId="0E6C289B">
            <wp:extent cx="5715000" cy="3429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429000"/>
                    </a:xfrm>
                    <a:prstGeom prst="rect">
                      <a:avLst/>
                    </a:prstGeom>
                  </pic:spPr>
                </pic:pic>
              </a:graphicData>
            </a:graphic>
          </wp:inline>
        </w:drawing>
      </w:r>
    </w:p>
    <w:p w14:paraId="08A4AD22" w14:textId="77777777" w:rsidR="00730093" w:rsidRDefault="00000000">
      <w:pPr>
        <w:spacing w:before="60" w:after="200"/>
        <w:jc w:val="center"/>
      </w:pPr>
      <w:r>
        <w:rPr>
          <w:i/>
          <w:iCs/>
          <w:sz w:val="20"/>
          <w:szCs w:val="20"/>
        </w:rPr>
        <w:t>Figura 4. Histogramas comparativos de variables continuas (real vs. sintético). En azul los datos reales, en rojo los sintéticos.</w:t>
      </w:r>
    </w:p>
    <w:p w14:paraId="3092B8C2" w14:textId="77777777" w:rsidR="00730093" w:rsidRDefault="00000000">
      <w:pPr>
        <w:spacing w:after="120" w:line="360" w:lineRule="auto"/>
        <w:jc w:val="both"/>
      </w:pPr>
      <w:r>
        <w:t xml:space="preserve">Las distribuciones de </w:t>
      </w:r>
      <w:proofErr w:type="spellStart"/>
      <w:r>
        <w:t>age</w:t>
      </w:r>
      <w:proofErr w:type="spellEnd"/>
      <w:r>
        <w:t xml:space="preserve">, </w:t>
      </w:r>
      <w:proofErr w:type="spellStart"/>
      <w:r>
        <w:t>education.num</w:t>
      </w:r>
      <w:proofErr w:type="spellEnd"/>
      <w:r>
        <w:t xml:space="preserve"> y </w:t>
      </w:r>
      <w:proofErr w:type="spellStart"/>
      <w:proofErr w:type="gramStart"/>
      <w:r>
        <w:t>hours.per.week</w:t>
      </w:r>
      <w:proofErr w:type="spellEnd"/>
      <w:proofErr w:type="gramEnd"/>
      <w:r>
        <w:t xml:space="preserve"> se superponen casi perfectamente, confirmando la alta fidelidad indicada por los Wasserstein relativos inferiores al 3,2%. </w:t>
      </w:r>
      <w:proofErr w:type="spellStart"/>
      <w:r>
        <w:t>Education.num</w:t>
      </w:r>
      <w:proofErr w:type="spellEnd"/>
      <w:r>
        <w:t xml:space="preserve"> replica los picos exactos en los valores 9, 10 y 13 (HS-</w:t>
      </w:r>
      <w:proofErr w:type="spellStart"/>
      <w:r>
        <w:t>grad</w:t>
      </w:r>
      <w:proofErr w:type="spellEnd"/>
      <w:r>
        <w:t>, Some-</w:t>
      </w:r>
      <w:proofErr w:type="spellStart"/>
      <w:r>
        <w:t>college</w:t>
      </w:r>
      <w:proofErr w:type="spellEnd"/>
      <w:r>
        <w:t xml:space="preserve">, </w:t>
      </w:r>
      <w:proofErr w:type="spellStart"/>
      <w:r>
        <w:t>Bachelors</w:t>
      </w:r>
      <w:proofErr w:type="spellEnd"/>
      <w:r>
        <w:t xml:space="preserve">), capturando la naturaleza ordinal de la variable. Las distribuciones de </w:t>
      </w:r>
      <w:proofErr w:type="spellStart"/>
      <w:proofErr w:type="gramStart"/>
      <w:r>
        <w:t>capital.gain</w:t>
      </w:r>
      <w:proofErr w:type="spellEnd"/>
      <w:proofErr w:type="gramEnd"/>
      <w:r>
        <w:t xml:space="preserve"> y </w:t>
      </w:r>
      <w:proofErr w:type="spellStart"/>
      <w:proofErr w:type="gramStart"/>
      <w:r>
        <w:t>capital.loss</w:t>
      </w:r>
      <w:proofErr w:type="spellEnd"/>
      <w:proofErr w:type="gramEnd"/>
      <w:r>
        <w:t xml:space="preserve"> aparentan superponerse visualmente porque la masa concentrada en cero domina la escala; sin embargo, el análisis desagregado revela que esta apariencia es engañosa, como se discutió en el Criterio 4.</w:t>
      </w:r>
    </w:p>
    <w:p w14:paraId="21A32A54" w14:textId="77777777" w:rsidR="00520A28" w:rsidRDefault="00520A28">
      <w:pPr>
        <w:spacing w:after="120" w:line="360" w:lineRule="auto"/>
        <w:jc w:val="both"/>
      </w:pPr>
    </w:p>
    <w:p w14:paraId="6D0AF644" w14:textId="77777777" w:rsidR="00520A28" w:rsidRDefault="00520A28">
      <w:pPr>
        <w:spacing w:after="120" w:line="360" w:lineRule="auto"/>
        <w:jc w:val="both"/>
      </w:pPr>
    </w:p>
    <w:p w14:paraId="204ECA8D" w14:textId="77777777" w:rsidR="00520A28" w:rsidRDefault="00520A28">
      <w:pPr>
        <w:spacing w:after="120" w:line="360" w:lineRule="auto"/>
        <w:jc w:val="both"/>
      </w:pPr>
    </w:p>
    <w:p w14:paraId="3DE7C02B" w14:textId="77777777" w:rsidR="00520A28" w:rsidRDefault="00520A28">
      <w:pPr>
        <w:spacing w:after="120" w:line="360" w:lineRule="auto"/>
        <w:jc w:val="both"/>
      </w:pPr>
    </w:p>
    <w:p w14:paraId="43BBCB3C" w14:textId="77777777" w:rsidR="00520A28" w:rsidRDefault="00520A28">
      <w:pPr>
        <w:spacing w:after="120" w:line="360" w:lineRule="auto"/>
        <w:jc w:val="both"/>
      </w:pPr>
    </w:p>
    <w:p w14:paraId="7907B49B" w14:textId="77777777" w:rsidR="00520A28" w:rsidRDefault="00520A28">
      <w:pPr>
        <w:spacing w:after="120" w:line="360" w:lineRule="auto"/>
        <w:jc w:val="both"/>
      </w:pPr>
    </w:p>
    <w:p w14:paraId="053DBEE8" w14:textId="77777777" w:rsidR="00520A28" w:rsidRPr="00520A28" w:rsidRDefault="00520A28" w:rsidP="00520A28">
      <w:pPr>
        <w:spacing w:before="60" w:after="200"/>
        <w:rPr>
          <w:b/>
          <w:bCs/>
          <w:sz w:val="20"/>
          <w:szCs w:val="20"/>
        </w:rPr>
      </w:pPr>
      <w:r w:rsidRPr="00520A28">
        <w:rPr>
          <w:b/>
          <w:bCs/>
          <w:sz w:val="20"/>
          <w:szCs w:val="20"/>
        </w:rPr>
        <w:lastRenderedPageBreak/>
        <w:t>Figura 5.</w:t>
      </w:r>
    </w:p>
    <w:p w14:paraId="46618840" w14:textId="26B4E83A" w:rsidR="00520A28" w:rsidRDefault="00520A28" w:rsidP="00520A28">
      <w:pPr>
        <w:spacing w:before="60" w:after="200"/>
      </w:pPr>
      <w:r>
        <w:rPr>
          <w:i/>
          <w:iCs/>
          <w:sz w:val="20"/>
          <w:szCs w:val="20"/>
        </w:rPr>
        <w:t xml:space="preserve"> Distribución de cuatro variables categóricas representativas (real vs. sintético).</w:t>
      </w:r>
    </w:p>
    <w:p w14:paraId="1FD841D0" w14:textId="77777777" w:rsidR="00520A28" w:rsidRDefault="00520A28">
      <w:pPr>
        <w:spacing w:after="120" w:line="360" w:lineRule="auto"/>
        <w:jc w:val="both"/>
      </w:pPr>
    </w:p>
    <w:p w14:paraId="07C6C84A" w14:textId="77777777" w:rsidR="00730093" w:rsidRDefault="00000000">
      <w:pPr>
        <w:spacing w:before="120" w:after="120"/>
        <w:jc w:val="center"/>
      </w:pPr>
      <w:r>
        <w:rPr>
          <w:noProof/>
        </w:rPr>
        <w:drawing>
          <wp:inline distT="0" distB="0" distL="0" distR="0" wp14:anchorId="665E6AD8" wp14:editId="4F44FAD4">
            <wp:extent cx="5715000" cy="3429000"/>
            <wp:effectExtent l="0" t="0" r="0" b="0"/>
            <wp:docPr id="465165285" name="Imagen 465165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429000"/>
                    </a:xfrm>
                    <a:prstGeom prst="rect">
                      <a:avLst/>
                    </a:prstGeom>
                  </pic:spPr>
                </pic:pic>
              </a:graphicData>
            </a:graphic>
          </wp:inline>
        </w:drawing>
      </w:r>
    </w:p>
    <w:p w14:paraId="11D769AE" w14:textId="77777777" w:rsidR="00730093" w:rsidRDefault="00000000">
      <w:pPr>
        <w:spacing w:after="120" w:line="360" w:lineRule="auto"/>
        <w:jc w:val="both"/>
      </w:pPr>
      <w:r>
        <w:t xml:space="preserve">La comparación de las cuatro categóricas representativas muestra resultados consistentes con los JSD calculados. La variable sex (binaria) es prácticamente idéntica. </w:t>
      </w:r>
      <w:proofErr w:type="spellStart"/>
      <w:r>
        <w:t>Education</w:t>
      </w:r>
      <w:proofErr w:type="spellEnd"/>
      <w:r>
        <w:t xml:space="preserve"> preserva el orden y las proporciones con alta fidelidad. </w:t>
      </w:r>
      <w:proofErr w:type="spellStart"/>
      <w:r>
        <w:t>Occupation</w:t>
      </w:r>
      <w:proofErr w:type="spellEnd"/>
      <w:r>
        <w:t xml:space="preserve"> muestra distorsiones visibles: las categorías Sales y Other-</w:t>
      </w:r>
      <w:proofErr w:type="spellStart"/>
      <w:r>
        <w:t>service</w:t>
      </w:r>
      <w:proofErr w:type="spellEnd"/>
      <w:r>
        <w:t xml:space="preserve"> quedaron sobreestimadas en el sintético, mientras Craft-</w:t>
      </w:r>
      <w:proofErr w:type="spellStart"/>
      <w:r>
        <w:t>repair</w:t>
      </w:r>
      <w:proofErr w:type="spellEnd"/>
      <w:r>
        <w:t xml:space="preserve"> y </w:t>
      </w:r>
      <w:proofErr w:type="spellStart"/>
      <w:r>
        <w:t>Adm</w:t>
      </w:r>
      <w:proofErr w:type="spellEnd"/>
      <w:r>
        <w:t xml:space="preserve">-clerical fueron subestimadas. </w:t>
      </w:r>
      <w:proofErr w:type="spellStart"/>
      <w:r>
        <w:t>Native.country</w:t>
      </w:r>
      <w:proofErr w:type="spellEnd"/>
      <w:r>
        <w:t xml:space="preserve"> presenta el caso más interesante: la categoría dominante </w:t>
      </w:r>
      <w:proofErr w:type="spellStart"/>
      <w:r>
        <w:t>United</w:t>
      </w:r>
      <w:proofErr w:type="spellEnd"/>
      <w:r>
        <w:t xml:space="preserve">-States cayó del 91% real al 74% sintético, redistribuyendo masa hacia países minoritarios. Este efecto evidencia el funcionamiento del </w:t>
      </w:r>
      <w:proofErr w:type="spellStart"/>
      <w:r>
        <w:t>Conditional</w:t>
      </w:r>
      <w:proofErr w:type="spellEnd"/>
      <w:r>
        <w:t xml:space="preserve"> </w:t>
      </w:r>
      <w:proofErr w:type="spellStart"/>
      <w:r>
        <w:t>Sampling</w:t>
      </w:r>
      <w:proofErr w:type="spellEnd"/>
      <w:r>
        <w:t xml:space="preserve"> — el mecanismo cumplió su función de evitar </w:t>
      </w:r>
      <w:proofErr w:type="spellStart"/>
      <w:r>
        <w:t>mode</w:t>
      </w:r>
      <w:proofErr w:type="spellEnd"/>
      <w:r>
        <w:t xml:space="preserve"> </w:t>
      </w:r>
      <w:proofErr w:type="spellStart"/>
      <w:r>
        <w:t>collapse</w:t>
      </w:r>
      <w:proofErr w:type="spellEnd"/>
      <w:r>
        <w:t>, aunque a costa de cierta distorsión en las proporciones reales.</w:t>
      </w:r>
    </w:p>
    <w:p w14:paraId="0FFDF415" w14:textId="3577E633" w:rsidR="00730093" w:rsidRDefault="00730093">
      <w:pPr>
        <w:spacing w:before="120" w:after="120"/>
        <w:jc w:val="center"/>
      </w:pPr>
    </w:p>
    <w:p w14:paraId="6BC89BCA" w14:textId="77777777" w:rsidR="00520A28" w:rsidRDefault="00520A28" w:rsidP="00520A28">
      <w:pPr>
        <w:spacing w:before="60" w:after="200"/>
        <w:rPr>
          <w:b/>
          <w:bCs/>
          <w:sz w:val="20"/>
          <w:szCs w:val="20"/>
        </w:rPr>
      </w:pPr>
    </w:p>
    <w:p w14:paraId="45A854A3" w14:textId="77777777" w:rsidR="00520A28" w:rsidRDefault="00520A28" w:rsidP="00520A28">
      <w:pPr>
        <w:spacing w:before="60" w:after="200"/>
        <w:rPr>
          <w:b/>
          <w:bCs/>
          <w:sz w:val="20"/>
          <w:szCs w:val="20"/>
        </w:rPr>
      </w:pPr>
    </w:p>
    <w:p w14:paraId="224C1587" w14:textId="77777777" w:rsidR="00520A28" w:rsidRDefault="00520A28" w:rsidP="00520A28">
      <w:pPr>
        <w:spacing w:before="60" w:after="200"/>
        <w:rPr>
          <w:b/>
          <w:bCs/>
          <w:sz w:val="20"/>
          <w:szCs w:val="20"/>
        </w:rPr>
      </w:pPr>
    </w:p>
    <w:p w14:paraId="20E1A1D9" w14:textId="65C3C43C" w:rsidR="00520A28" w:rsidRPr="00520A28" w:rsidRDefault="00000000" w:rsidP="00520A28">
      <w:pPr>
        <w:spacing w:before="60" w:after="200"/>
        <w:rPr>
          <w:b/>
          <w:bCs/>
          <w:sz w:val="20"/>
          <w:szCs w:val="20"/>
        </w:rPr>
      </w:pPr>
      <w:r w:rsidRPr="00520A28">
        <w:rPr>
          <w:b/>
          <w:bCs/>
          <w:sz w:val="20"/>
          <w:szCs w:val="20"/>
        </w:rPr>
        <w:lastRenderedPageBreak/>
        <w:t xml:space="preserve">Figura 6. </w:t>
      </w:r>
    </w:p>
    <w:p w14:paraId="1C898221" w14:textId="738B0BC8" w:rsidR="00730093" w:rsidRDefault="00520A28" w:rsidP="00520A28">
      <w:pPr>
        <w:spacing w:before="60" w:after="200"/>
        <w:rPr>
          <w:i/>
          <w:iCs/>
          <w:sz w:val="20"/>
          <w:szCs w:val="20"/>
        </w:rPr>
      </w:pPr>
      <w:r w:rsidRPr="00520A28">
        <w:rPr>
          <w:i/>
          <w:iCs/>
          <w:sz w:val="20"/>
          <w:szCs w:val="20"/>
        </w:rPr>
        <w:drawing>
          <wp:anchor distT="0" distB="0" distL="114300" distR="114300" simplePos="0" relativeHeight="251659264" behindDoc="0" locked="0" layoutInCell="1" allowOverlap="1" wp14:anchorId="52463120" wp14:editId="384FEEDE">
            <wp:simplePos x="0" y="0"/>
            <wp:positionH relativeFrom="page">
              <wp:align>left</wp:align>
            </wp:positionH>
            <wp:positionV relativeFrom="paragraph">
              <wp:posOffset>280035</wp:posOffset>
            </wp:positionV>
            <wp:extent cx="8073390" cy="2305050"/>
            <wp:effectExtent l="0" t="0" r="3810" b="0"/>
            <wp:wrapSquare wrapText="bothSides"/>
            <wp:docPr id="1569697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97856" name=""/>
                    <pic:cNvPicPr/>
                  </pic:nvPicPr>
                  <pic:blipFill>
                    <a:blip r:embed="rId12">
                      <a:extLst>
                        <a:ext uri="{28A0092B-C50C-407E-A947-70E740481C1C}">
                          <a14:useLocalDpi xmlns:a14="http://schemas.microsoft.com/office/drawing/2010/main" val="0"/>
                        </a:ext>
                      </a:extLst>
                    </a:blip>
                    <a:stretch>
                      <a:fillRect/>
                    </a:stretch>
                  </pic:blipFill>
                  <pic:spPr>
                    <a:xfrm>
                      <a:off x="0" y="0"/>
                      <a:ext cx="8073390" cy="2305050"/>
                    </a:xfrm>
                    <a:prstGeom prst="rect">
                      <a:avLst/>
                    </a:prstGeom>
                  </pic:spPr>
                </pic:pic>
              </a:graphicData>
            </a:graphic>
            <wp14:sizeRelV relativeFrom="margin">
              <wp14:pctHeight>0</wp14:pctHeight>
            </wp14:sizeRelV>
          </wp:anchor>
        </w:drawing>
      </w:r>
      <w:r w:rsidR="00000000">
        <w:rPr>
          <w:i/>
          <w:iCs/>
          <w:sz w:val="20"/>
          <w:szCs w:val="20"/>
        </w:rPr>
        <w:t>Matrices de correlación entre variables continuas (real, sintético y diferencia).</w:t>
      </w:r>
    </w:p>
    <w:p w14:paraId="505CFDA8" w14:textId="77777777" w:rsidR="00520A28" w:rsidRDefault="00520A28">
      <w:pPr>
        <w:spacing w:before="60" w:after="200"/>
        <w:jc w:val="center"/>
      </w:pPr>
    </w:p>
    <w:p w14:paraId="6251DDD0" w14:textId="77777777" w:rsidR="00730093" w:rsidRDefault="00000000">
      <w:pPr>
        <w:spacing w:after="120" w:line="360" w:lineRule="auto"/>
        <w:jc w:val="both"/>
      </w:pPr>
      <w:r>
        <w:t xml:space="preserve">Los </w:t>
      </w:r>
      <w:proofErr w:type="spellStart"/>
      <w:r>
        <w:t>heatmaps</w:t>
      </w:r>
      <w:proofErr w:type="spellEnd"/>
      <w:r>
        <w:t xml:space="preserve"> de correlación revelan que la estructura general de dependencias se preservó razonablemente, pero existen distorsiones puntuales importantes. La correlación más fuertemente afectada es </w:t>
      </w:r>
      <w:proofErr w:type="spellStart"/>
      <w:r>
        <w:t>age</w:t>
      </w:r>
      <w:proofErr w:type="spellEnd"/>
      <w:r>
        <w:t xml:space="preserve"> × </w:t>
      </w:r>
      <w:proofErr w:type="spellStart"/>
      <w:proofErr w:type="gramStart"/>
      <w:r>
        <w:t>hours.per.week</w:t>
      </w:r>
      <w:proofErr w:type="spellEnd"/>
      <w:proofErr w:type="gramEnd"/>
      <w:r>
        <w:t xml:space="preserve">, que pasó de 0.11 a 0.21 (diferencia de -0.10). Las correlaciones que involucran </w:t>
      </w:r>
      <w:proofErr w:type="spellStart"/>
      <w:proofErr w:type="gramStart"/>
      <w:r>
        <w:t>capital.loss</w:t>
      </w:r>
      <w:proofErr w:type="spellEnd"/>
      <w:proofErr w:type="gramEnd"/>
      <w:r>
        <w:t xml:space="preserve"> se diluyeron casi por completo, consistente con el fallo de modelado de esta variable detectado en el Criterio 4.</w:t>
      </w:r>
    </w:p>
    <w:p w14:paraId="79B76CBF" w14:textId="77777777" w:rsidR="00730093" w:rsidRDefault="00000000">
      <w:pPr>
        <w:pStyle w:val="Ttulo2"/>
      </w:pPr>
      <w:r>
        <w:t>5.2 Comparación estadística mediante medias</w:t>
      </w:r>
    </w:p>
    <w:p w14:paraId="0CD3C2B7" w14:textId="77777777" w:rsidR="00730093" w:rsidRDefault="00000000">
      <w:pPr>
        <w:spacing w:before="240" w:after="60"/>
      </w:pPr>
      <w:r>
        <w:rPr>
          <w:b/>
          <w:bCs/>
        </w:rPr>
        <w:t>Tabla 5</w:t>
      </w:r>
    </w:p>
    <w:p w14:paraId="32E1AC8A" w14:textId="77777777" w:rsidR="00730093" w:rsidRDefault="00000000">
      <w:pPr>
        <w:spacing w:after="180"/>
      </w:pPr>
      <w:r>
        <w:rPr>
          <w:i/>
          <w:iCs/>
        </w:rPr>
        <w:t>Comparación de medias entre variables reales y sintéticas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30093" w14:paraId="21DE399F" w14:textId="77777777">
        <w:tblPrEx>
          <w:tblCellMar>
            <w:top w:w="0" w:type="dxa"/>
            <w:bottom w:w="0" w:type="dxa"/>
          </w:tblCellMar>
        </w:tblPrEx>
        <w:trPr>
          <w:tblHeader/>
        </w:trPr>
        <w:tc>
          <w:tcPr>
            <w:tcW w:w="2340" w:type="dxa"/>
            <w:tcBorders>
              <w:top w:val="single" w:sz="4" w:space="0" w:color="000000"/>
              <w:left w:val="none" w:sz="0" w:space="0" w:color="FFFFFF"/>
              <w:bottom w:val="single" w:sz="4" w:space="0" w:color="000000"/>
              <w:right w:val="none" w:sz="0" w:space="0" w:color="FFFFFF"/>
            </w:tcBorders>
            <w:tcMar>
              <w:top w:w="80" w:type="dxa"/>
              <w:left w:w="100" w:type="dxa"/>
              <w:bottom w:w="80" w:type="dxa"/>
              <w:right w:w="100" w:type="dxa"/>
            </w:tcMar>
          </w:tcPr>
          <w:p w14:paraId="16A4FD9B" w14:textId="77777777" w:rsidR="00730093" w:rsidRDefault="00000000">
            <w:pPr>
              <w:jc w:val="center"/>
            </w:pPr>
            <w:r>
              <w:rPr>
                <w:b/>
                <w:bCs/>
              </w:rPr>
              <w:t>Variable</w:t>
            </w:r>
          </w:p>
        </w:tc>
        <w:tc>
          <w:tcPr>
            <w:tcW w:w="2340" w:type="dxa"/>
            <w:tcBorders>
              <w:top w:val="single" w:sz="4" w:space="0" w:color="000000"/>
              <w:left w:val="none" w:sz="0" w:space="0" w:color="FFFFFF"/>
              <w:bottom w:val="single" w:sz="4" w:space="0" w:color="000000"/>
              <w:right w:val="none" w:sz="0" w:space="0" w:color="FFFFFF"/>
            </w:tcBorders>
            <w:tcMar>
              <w:top w:w="80" w:type="dxa"/>
              <w:left w:w="100" w:type="dxa"/>
              <w:bottom w:w="80" w:type="dxa"/>
              <w:right w:w="100" w:type="dxa"/>
            </w:tcMar>
          </w:tcPr>
          <w:p w14:paraId="52A1E41F" w14:textId="77777777" w:rsidR="00730093" w:rsidRDefault="00000000">
            <w:pPr>
              <w:jc w:val="center"/>
            </w:pPr>
            <w:r>
              <w:rPr>
                <w:b/>
                <w:bCs/>
              </w:rPr>
              <w:t>Media Real</w:t>
            </w:r>
          </w:p>
        </w:tc>
        <w:tc>
          <w:tcPr>
            <w:tcW w:w="2340" w:type="dxa"/>
            <w:tcBorders>
              <w:top w:val="single" w:sz="4" w:space="0" w:color="000000"/>
              <w:left w:val="none" w:sz="0" w:space="0" w:color="FFFFFF"/>
              <w:bottom w:val="single" w:sz="4" w:space="0" w:color="000000"/>
              <w:right w:val="none" w:sz="0" w:space="0" w:color="FFFFFF"/>
            </w:tcBorders>
            <w:tcMar>
              <w:top w:w="80" w:type="dxa"/>
              <w:left w:w="100" w:type="dxa"/>
              <w:bottom w:w="80" w:type="dxa"/>
              <w:right w:w="100" w:type="dxa"/>
            </w:tcMar>
          </w:tcPr>
          <w:p w14:paraId="27B957AC" w14:textId="77777777" w:rsidR="00730093" w:rsidRDefault="00000000">
            <w:pPr>
              <w:jc w:val="center"/>
            </w:pPr>
            <w:r>
              <w:rPr>
                <w:b/>
                <w:bCs/>
              </w:rPr>
              <w:t>Media Sintética</w:t>
            </w:r>
          </w:p>
        </w:tc>
        <w:tc>
          <w:tcPr>
            <w:tcW w:w="2340" w:type="dxa"/>
            <w:tcBorders>
              <w:top w:val="single" w:sz="4" w:space="0" w:color="000000"/>
              <w:left w:val="none" w:sz="0" w:space="0" w:color="FFFFFF"/>
              <w:bottom w:val="single" w:sz="4" w:space="0" w:color="000000"/>
              <w:right w:val="none" w:sz="0" w:space="0" w:color="FFFFFF"/>
            </w:tcBorders>
            <w:tcMar>
              <w:top w:w="80" w:type="dxa"/>
              <w:left w:w="100" w:type="dxa"/>
              <w:bottom w:w="80" w:type="dxa"/>
              <w:right w:w="100" w:type="dxa"/>
            </w:tcMar>
          </w:tcPr>
          <w:p w14:paraId="0C65363B" w14:textId="77777777" w:rsidR="00730093" w:rsidRDefault="00000000">
            <w:pPr>
              <w:jc w:val="center"/>
            </w:pPr>
            <w:r>
              <w:rPr>
                <w:b/>
                <w:bCs/>
              </w:rPr>
              <w:t>Diferencia (%)</w:t>
            </w:r>
          </w:p>
        </w:tc>
      </w:tr>
      <w:tr w:rsidR="00730093" w14:paraId="668538D9"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555477A" w14:textId="77777777" w:rsidR="00730093" w:rsidRDefault="00000000">
            <w:proofErr w:type="spellStart"/>
            <w:r>
              <w:t>age</w:t>
            </w:r>
            <w:proofErr w:type="spellEnd"/>
          </w:p>
        </w:tc>
        <w:tc>
          <w:tcPr>
            <w:tcW w:w="23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A3EE70" w14:textId="77777777" w:rsidR="00730093" w:rsidRDefault="00000000">
            <w:pPr>
              <w:jc w:val="center"/>
            </w:pPr>
            <w:r>
              <w:t>38.25</w:t>
            </w:r>
          </w:p>
        </w:tc>
        <w:tc>
          <w:tcPr>
            <w:tcW w:w="23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2FEED5F" w14:textId="77777777" w:rsidR="00730093" w:rsidRDefault="00000000">
            <w:pPr>
              <w:jc w:val="center"/>
            </w:pPr>
            <w:r>
              <w:t>40.53</w:t>
            </w:r>
          </w:p>
        </w:tc>
        <w:tc>
          <w:tcPr>
            <w:tcW w:w="23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E50F35" w14:textId="77777777" w:rsidR="00730093" w:rsidRDefault="00000000">
            <w:pPr>
              <w:jc w:val="center"/>
            </w:pPr>
            <w:r>
              <w:t>5.96</w:t>
            </w:r>
          </w:p>
        </w:tc>
      </w:tr>
      <w:tr w:rsidR="00730093" w14:paraId="20A9C5C6"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E2B972" w14:textId="77777777" w:rsidR="00730093" w:rsidRDefault="00000000">
            <w:proofErr w:type="spellStart"/>
            <w:r>
              <w:t>education.num</w:t>
            </w:r>
            <w:proofErr w:type="spellEnd"/>
          </w:p>
        </w:tc>
        <w:tc>
          <w:tcPr>
            <w:tcW w:w="23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F1115F" w14:textId="77777777" w:rsidR="00730093" w:rsidRDefault="00000000">
            <w:pPr>
              <w:jc w:val="center"/>
            </w:pPr>
            <w:r>
              <w:t>10.15</w:t>
            </w:r>
          </w:p>
        </w:tc>
        <w:tc>
          <w:tcPr>
            <w:tcW w:w="23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63443E0" w14:textId="77777777" w:rsidR="00730093" w:rsidRDefault="00000000">
            <w:pPr>
              <w:jc w:val="center"/>
            </w:pPr>
            <w:r>
              <w:t>10.01</w:t>
            </w:r>
          </w:p>
        </w:tc>
        <w:tc>
          <w:tcPr>
            <w:tcW w:w="23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E1CC477" w14:textId="77777777" w:rsidR="00730093" w:rsidRDefault="00000000">
            <w:pPr>
              <w:jc w:val="center"/>
            </w:pPr>
            <w:r>
              <w:t>1.38</w:t>
            </w:r>
          </w:p>
        </w:tc>
      </w:tr>
      <w:tr w:rsidR="00730093" w14:paraId="31703440"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150DC7" w14:textId="77777777" w:rsidR="00730093" w:rsidRDefault="00000000">
            <w:proofErr w:type="spellStart"/>
            <w:proofErr w:type="gramStart"/>
            <w:r>
              <w:t>capital.gain</w:t>
            </w:r>
            <w:proofErr w:type="spellEnd"/>
            <w:proofErr w:type="gramEnd"/>
          </w:p>
        </w:tc>
        <w:tc>
          <w:tcPr>
            <w:tcW w:w="23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EBE64C2" w14:textId="77777777" w:rsidR="00730093" w:rsidRDefault="00000000">
            <w:pPr>
              <w:jc w:val="center"/>
            </w:pPr>
            <w:r>
              <w:t>1066.31</w:t>
            </w:r>
          </w:p>
        </w:tc>
        <w:tc>
          <w:tcPr>
            <w:tcW w:w="23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92C3BAC" w14:textId="77777777" w:rsidR="00730093" w:rsidRDefault="00000000">
            <w:pPr>
              <w:jc w:val="center"/>
            </w:pPr>
            <w:r>
              <w:t>479.94</w:t>
            </w:r>
          </w:p>
        </w:tc>
        <w:tc>
          <w:tcPr>
            <w:tcW w:w="23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F9FD1E" w14:textId="77777777" w:rsidR="00730093" w:rsidRDefault="00000000">
            <w:pPr>
              <w:jc w:val="center"/>
            </w:pPr>
            <w:r>
              <w:t>54.99</w:t>
            </w:r>
          </w:p>
        </w:tc>
      </w:tr>
      <w:tr w:rsidR="00730093" w14:paraId="561E91D1"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91589D" w14:textId="77777777" w:rsidR="00730093" w:rsidRDefault="00000000">
            <w:proofErr w:type="spellStart"/>
            <w:proofErr w:type="gramStart"/>
            <w:r>
              <w:t>capital.loss</w:t>
            </w:r>
            <w:proofErr w:type="spellEnd"/>
            <w:proofErr w:type="gramEnd"/>
          </w:p>
        </w:tc>
        <w:tc>
          <w:tcPr>
            <w:tcW w:w="23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013EF3" w14:textId="77777777" w:rsidR="00730093" w:rsidRDefault="00000000">
            <w:pPr>
              <w:jc w:val="center"/>
            </w:pPr>
            <w:r>
              <w:t>88.85</w:t>
            </w:r>
          </w:p>
        </w:tc>
        <w:tc>
          <w:tcPr>
            <w:tcW w:w="23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D8C7CB" w14:textId="77777777" w:rsidR="00730093" w:rsidRDefault="00000000">
            <w:pPr>
              <w:jc w:val="center"/>
            </w:pPr>
            <w:r>
              <w:t>25.53</w:t>
            </w:r>
          </w:p>
        </w:tc>
        <w:tc>
          <w:tcPr>
            <w:tcW w:w="23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759694" w14:textId="77777777" w:rsidR="00730093" w:rsidRDefault="00000000">
            <w:pPr>
              <w:jc w:val="center"/>
            </w:pPr>
            <w:r>
              <w:t>71.27</w:t>
            </w:r>
          </w:p>
        </w:tc>
      </w:tr>
      <w:tr w:rsidR="00730093" w14:paraId="45321340" w14:textId="77777777">
        <w:tblPrEx>
          <w:tblCellMar>
            <w:top w:w="0" w:type="dxa"/>
            <w:bottom w:w="0" w:type="dxa"/>
          </w:tblCellMar>
        </w:tblPrEx>
        <w:tc>
          <w:tcPr>
            <w:tcW w:w="234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6DCCE7E6" w14:textId="77777777" w:rsidR="00730093" w:rsidRDefault="00000000">
            <w:proofErr w:type="spellStart"/>
            <w:proofErr w:type="gramStart"/>
            <w:r>
              <w:t>hours.per.week</w:t>
            </w:r>
            <w:proofErr w:type="spellEnd"/>
            <w:proofErr w:type="gramEnd"/>
          </w:p>
        </w:tc>
        <w:tc>
          <w:tcPr>
            <w:tcW w:w="234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68E94EC0" w14:textId="77777777" w:rsidR="00730093" w:rsidRDefault="00000000">
            <w:pPr>
              <w:jc w:val="center"/>
            </w:pPr>
            <w:r>
              <w:t>40.83</w:t>
            </w:r>
          </w:p>
        </w:tc>
        <w:tc>
          <w:tcPr>
            <w:tcW w:w="234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597F00AD" w14:textId="77777777" w:rsidR="00730093" w:rsidRDefault="00000000">
            <w:pPr>
              <w:jc w:val="center"/>
            </w:pPr>
            <w:r>
              <w:t>39.89</w:t>
            </w:r>
          </w:p>
        </w:tc>
        <w:tc>
          <w:tcPr>
            <w:tcW w:w="234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7849E062" w14:textId="77777777" w:rsidR="00730093" w:rsidRDefault="00000000">
            <w:pPr>
              <w:jc w:val="center"/>
            </w:pPr>
            <w:r>
              <w:t>2.30</w:t>
            </w:r>
          </w:p>
        </w:tc>
      </w:tr>
    </w:tbl>
    <w:p w14:paraId="303501C4" w14:textId="77777777" w:rsidR="00290801" w:rsidRDefault="00290801">
      <w:pPr>
        <w:pStyle w:val="Ttulo2"/>
      </w:pPr>
    </w:p>
    <w:p w14:paraId="2D195DA3" w14:textId="3508DDE2" w:rsidR="00730093" w:rsidRDefault="00000000">
      <w:pPr>
        <w:pStyle w:val="Ttulo2"/>
      </w:pPr>
      <w:r>
        <w:lastRenderedPageBreak/>
        <w:t>5.3 ¿Son los datos sintéticos buenos según las medias?</w:t>
      </w:r>
    </w:p>
    <w:p w14:paraId="4129F275" w14:textId="77777777" w:rsidR="00730093" w:rsidRDefault="00000000">
      <w:pPr>
        <w:spacing w:after="120" w:line="360" w:lineRule="auto"/>
        <w:jc w:val="both"/>
      </w:pPr>
      <w:r>
        <w:t xml:space="preserve">La respuesta es matizada y depende fuertemente de la variable. Para </w:t>
      </w:r>
      <w:proofErr w:type="spellStart"/>
      <w:r>
        <w:t>age</w:t>
      </w:r>
      <w:proofErr w:type="spellEnd"/>
      <w:r>
        <w:t xml:space="preserve">, </w:t>
      </w:r>
      <w:proofErr w:type="spellStart"/>
      <w:r>
        <w:t>education.num</w:t>
      </w:r>
      <w:proofErr w:type="spellEnd"/>
      <w:r>
        <w:t xml:space="preserve"> y </w:t>
      </w:r>
      <w:proofErr w:type="spellStart"/>
      <w:proofErr w:type="gramStart"/>
      <w:r>
        <w:t>hours.per.week</w:t>
      </w:r>
      <w:proofErr w:type="spellEnd"/>
      <w:proofErr w:type="gramEnd"/>
      <w:r>
        <w:t xml:space="preserve"> las medias coinciden con error inferior al 6%, y los histogramas confirman fidelidad alta tanto en forma como en posición. Para estas tres variables, las medias son indicadores confiables y los datos sintéticos pueden considerarse adecuados. Sin embargo, para </w:t>
      </w:r>
      <w:proofErr w:type="spellStart"/>
      <w:proofErr w:type="gramStart"/>
      <w:r>
        <w:t>capital.gain</w:t>
      </w:r>
      <w:proofErr w:type="spellEnd"/>
      <w:proofErr w:type="gramEnd"/>
      <w:r>
        <w:t xml:space="preserve"> la diferencia de medias supera el 54% y para </w:t>
      </w:r>
      <w:proofErr w:type="spellStart"/>
      <w:proofErr w:type="gramStart"/>
      <w:r>
        <w:t>capital.loss</w:t>
      </w:r>
      <w:proofErr w:type="spellEnd"/>
      <w:proofErr w:type="gramEnd"/>
      <w:r>
        <w:t xml:space="preserve"> alcanza el 71%, evidenciando que CTGAN no preservó la naturaleza </w:t>
      </w:r>
      <w:proofErr w:type="spellStart"/>
      <w:r>
        <w:t>zero-inflated</w:t>
      </w:r>
      <w:proofErr w:type="spellEnd"/>
      <w:r>
        <w:t xml:space="preserve"> de estas variables.</w:t>
      </w:r>
    </w:p>
    <w:p w14:paraId="01474DD8" w14:textId="77777777" w:rsidR="00730093" w:rsidRDefault="00000000">
      <w:pPr>
        <w:spacing w:after="120" w:line="360" w:lineRule="auto"/>
        <w:jc w:val="both"/>
      </w:pPr>
      <w:r>
        <w:t xml:space="preserve">La conclusión metodológica es relevante: ninguna métrica individual es óptima para evaluar datos sintéticos. Las medias detectan algunos </w:t>
      </w:r>
      <w:proofErr w:type="gramStart"/>
      <w:r>
        <w:t>problemas</w:t>
      </w:r>
      <w:proofErr w:type="gramEnd"/>
      <w:r>
        <w:t xml:space="preserve"> pero ocultan otros (por ejemplo, distribuciones con la misma </w:t>
      </w:r>
      <w:proofErr w:type="gramStart"/>
      <w:r>
        <w:t>media</w:t>
      </w:r>
      <w:proofErr w:type="gramEnd"/>
      <w:r>
        <w:t xml:space="preserve"> pero distinta varianza o multimodalidad); Wasserstein detecta problemas de forma </w:t>
      </w:r>
      <w:proofErr w:type="gramStart"/>
      <w:r>
        <w:t>global</w:t>
      </w:r>
      <w:proofErr w:type="gramEnd"/>
      <w:r>
        <w:t xml:space="preserve"> pero puede dar valores aceptables cuando masas puntuales se transforman en distribuciones suaves cercanas; los JSD detectan distorsiones </w:t>
      </w:r>
      <w:proofErr w:type="gramStart"/>
      <w:r>
        <w:t>categóricas</w:t>
      </w:r>
      <w:proofErr w:type="gramEnd"/>
      <w:r>
        <w:t xml:space="preserve"> pero no aplican a continuas; las correlaciones detectan distorsiones </w:t>
      </w:r>
      <w:proofErr w:type="spellStart"/>
      <w:proofErr w:type="gramStart"/>
      <w:r>
        <w:t>bivariadas</w:t>
      </w:r>
      <w:proofErr w:type="spellEnd"/>
      <w:proofErr w:type="gramEnd"/>
      <w:r>
        <w:t xml:space="preserve"> pero no triviales. La evaluación rigurosa requiere triangulación entre métricas distribucionales (Wasserstein, JSD), estadísticas resumen (medias, proporción de ceros), análisis de correlaciones y utilidad predictiva (TSTR). Solo el conjunto de estas dimensiones permite emitir un juicio informado sobre la calidad de los datos sintéticos.</w:t>
      </w:r>
    </w:p>
    <w:p w14:paraId="27821B0E" w14:textId="77777777" w:rsidR="00730093" w:rsidRDefault="00000000">
      <w:pPr>
        <w:spacing w:after="120" w:line="360" w:lineRule="auto"/>
        <w:jc w:val="both"/>
      </w:pPr>
      <w:r>
        <w:t xml:space="preserve">En síntesis, los datos sintéticos generados por CTGAN sobre </w:t>
      </w:r>
      <w:proofErr w:type="spellStart"/>
      <w:r>
        <w:t>Adult</w:t>
      </w:r>
      <w:proofErr w:type="spellEnd"/>
      <w:r>
        <w:t xml:space="preserve"> </w:t>
      </w:r>
      <w:proofErr w:type="spellStart"/>
      <w:r>
        <w:t>Census</w:t>
      </w:r>
      <w:proofErr w:type="spellEnd"/>
      <w:r>
        <w:t xml:space="preserve"> presentan utilidad predictiva alta (ratio TSTR de 0.93) y preservación excelente de marginales categóricas, pero tienen limitaciones estructurales en variables </w:t>
      </w:r>
      <w:proofErr w:type="spellStart"/>
      <w:r>
        <w:t>zero-inflated</w:t>
      </w:r>
      <w:proofErr w:type="spellEnd"/>
      <w:r>
        <w:t xml:space="preserve"> que invalidarían su uso para análisis financieros donde la presencia exacta del valor cero tiene significado de negocio. Esta caracterización detallada — con tres dimensiones donde el modelo destaca y dos donde falla — es exactamente el tipo de evaluación que la práctica profesional requiere para decisiones de adopción de datos sintéticos en producción.</w:t>
      </w:r>
    </w:p>
    <w:p w14:paraId="4554BBC8" w14:textId="77777777" w:rsidR="00730093" w:rsidRDefault="00000000">
      <w:r>
        <w:br w:type="page"/>
      </w:r>
    </w:p>
    <w:p w14:paraId="5EB4C8E0" w14:textId="77777777" w:rsidR="00730093" w:rsidRDefault="00000000">
      <w:pPr>
        <w:pStyle w:val="Ttulo1"/>
      </w:pPr>
      <w:r>
        <w:lastRenderedPageBreak/>
        <w:t>Referencias</w:t>
      </w:r>
    </w:p>
    <w:p w14:paraId="588B1A08" w14:textId="77777777" w:rsidR="00730093" w:rsidRDefault="00000000">
      <w:pPr>
        <w:spacing w:after="240" w:line="360" w:lineRule="auto"/>
        <w:ind w:left="720" w:hanging="720"/>
      </w:pPr>
      <w:r>
        <w:t xml:space="preserve">Goodfellow, I., Pouget-Abadie, J., Mirza, M., </w:t>
      </w:r>
      <w:proofErr w:type="spellStart"/>
      <w:r>
        <w:t>Xu</w:t>
      </w:r>
      <w:proofErr w:type="spellEnd"/>
      <w:r>
        <w:t xml:space="preserve">, B., Warde-Farley, D., Ozair, S., Courville, A., &amp; </w:t>
      </w:r>
      <w:proofErr w:type="spellStart"/>
      <w:r>
        <w:t>Bengio</w:t>
      </w:r>
      <w:proofErr w:type="spellEnd"/>
      <w:r>
        <w:t xml:space="preserve">, Y. (2014). Generative Adversarial Nets. </w:t>
      </w:r>
      <w:proofErr w:type="spellStart"/>
      <w:r>
        <w:rPr>
          <w:i/>
          <w:iCs/>
        </w:rPr>
        <w:t>Advances</w:t>
      </w:r>
      <w:proofErr w:type="spellEnd"/>
      <w:r>
        <w:rPr>
          <w:i/>
          <w:iCs/>
        </w:rPr>
        <w:t xml:space="preserve"> in Neural </w:t>
      </w:r>
      <w:proofErr w:type="spellStart"/>
      <w:r>
        <w:rPr>
          <w:i/>
          <w:iCs/>
        </w:rPr>
        <w:t>Information</w:t>
      </w:r>
      <w:proofErr w:type="spellEnd"/>
      <w:r>
        <w:rPr>
          <w:i/>
          <w:iCs/>
        </w:rPr>
        <w:t xml:space="preserve"> Processing </w:t>
      </w:r>
      <w:proofErr w:type="spellStart"/>
      <w:r>
        <w:rPr>
          <w:i/>
          <w:iCs/>
        </w:rPr>
        <w:t>Systems</w:t>
      </w:r>
      <w:proofErr w:type="spellEnd"/>
      <w:r>
        <w:rPr>
          <w:i/>
          <w:iCs/>
        </w:rPr>
        <w:t>, 27</w:t>
      </w:r>
      <w:r>
        <w:t>, 2672–2680.</w:t>
      </w:r>
    </w:p>
    <w:p w14:paraId="6B728AE2" w14:textId="77777777" w:rsidR="00730093" w:rsidRDefault="00000000">
      <w:pPr>
        <w:spacing w:after="240" w:line="360" w:lineRule="auto"/>
        <w:ind w:left="720" w:hanging="720"/>
      </w:pPr>
      <w:r>
        <w:t xml:space="preserve">Kingma, D. P., &amp; Welling, M. (2014). </w:t>
      </w:r>
      <w:proofErr w:type="spellStart"/>
      <w:r>
        <w:t>Auto-encoding</w:t>
      </w:r>
      <w:proofErr w:type="spellEnd"/>
      <w:r>
        <w:t xml:space="preserve"> </w:t>
      </w:r>
      <w:proofErr w:type="spellStart"/>
      <w:r>
        <w:t>variational</w:t>
      </w:r>
      <w:proofErr w:type="spellEnd"/>
      <w:r>
        <w:t xml:space="preserve"> Bayes. </w:t>
      </w:r>
      <w:r>
        <w:rPr>
          <w:i/>
          <w:iCs/>
        </w:rPr>
        <w:t xml:space="preserve">International </w:t>
      </w:r>
      <w:proofErr w:type="spellStart"/>
      <w:r>
        <w:rPr>
          <w:i/>
          <w:iCs/>
        </w:rPr>
        <w:t>Conference</w:t>
      </w:r>
      <w:proofErr w:type="spellEnd"/>
      <w:r>
        <w:rPr>
          <w:i/>
          <w:iCs/>
        </w:rPr>
        <w:t xml:space="preserve"> </w:t>
      </w:r>
      <w:proofErr w:type="spellStart"/>
      <w:r>
        <w:rPr>
          <w:i/>
          <w:iCs/>
        </w:rPr>
        <w:t>on</w:t>
      </w:r>
      <w:proofErr w:type="spellEnd"/>
      <w:r>
        <w:rPr>
          <w:i/>
          <w:iCs/>
        </w:rPr>
        <w:t xml:space="preserve"> </w:t>
      </w:r>
      <w:proofErr w:type="spellStart"/>
      <w:r>
        <w:rPr>
          <w:i/>
          <w:iCs/>
        </w:rPr>
        <w:t>Learning</w:t>
      </w:r>
      <w:proofErr w:type="spellEnd"/>
      <w:r>
        <w:rPr>
          <w:i/>
          <w:iCs/>
        </w:rPr>
        <w:t xml:space="preserve"> </w:t>
      </w:r>
      <w:proofErr w:type="spellStart"/>
      <w:r>
        <w:rPr>
          <w:i/>
          <w:iCs/>
        </w:rPr>
        <w:t>Representations</w:t>
      </w:r>
      <w:proofErr w:type="spellEnd"/>
      <w:r>
        <w:rPr>
          <w:i/>
          <w:iCs/>
        </w:rPr>
        <w:t xml:space="preserve"> (ICLR)</w:t>
      </w:r>
      <w:r>
        <w:t>. https://arxiv.org/abs/1312.6114</w:t>
      </w:r>
    </w:p>
    <w:p w14:paraId="2446E21C" w14:textId="77777777" w:rsidR="00730093" w:rsidRDefault="00000000">
      <w:pPr>
        <w:spacing w:after="240" w:line="360" w:lineRule="auto"/>
        <w:ind w:left="720" w:hanging="720"/>
      </w:pPr>
      <w:r>
        <w:t xml:space="preserve">Vaswani, A., </w:t>
      </w:r>
      <w:proofErr w:type="spellStart"/>
      <w:r>
        <w:t>Shazeer</w:t>
      </w:r>
      <w:proofErr w:type="spellEnd"/>
      <w:r>
        <w:t xml:space="preserve">, N., Parmar, N., </w:t>
      </w:r>
      <w:proofErr w:type="spellStart"/>
      <w:r>
        <w:t>Uszkoreit</w:t>
      </w:r>
      <w:proofErr w:type="spellEnd"/>
      <w:r>
        <w:t xml:space="preserve">, J., Jones, L., </w:t>
      </w:r>
      <w:proofErr w:type="spellStart"/>
      <w:r>
        <w:t>Gomez</w:t>
      </w:r>
      <w:proofErr w:type="spellEnd"/>
      <w:r>
        <w:t xml:space="preserve">, A. N., Kaiser, Ł., &amp; </w:t>
      </w:r>
      <w:proofErr w:type="spellStart"/>
      <w:r>
        <w:t>Polosukhin</w:t>
      </w:r>
      <w:proofErr w:type="spellEnd"/>
      <w:r>
        <w:t xml:space="preserve">, I. (2017). </w:t>
      </w:r>
      <w:proofErr w:type="spellStart"/>
      <w:r>
        <w:t>Attention</w:t>
      </w:r>
      <w:proofErr w:type="spellEnd"/>
      <w:r>
        <w:t xml:space="preserve"> </w:t>
      </w:r>
      <w:proofErr w:type="spellStart"/>
      <w:r>
        <w:t>is</w:t>
      </w:r>
      <w:proofErr w:type="spellEnd"/>
      <w:r>
        <w:t xml:space="preserve"> </w:t>
      </w:r>
      <w:proofErr w:type="spellStart"/>
      <w:r>
        <w:t>all</w:t>
      </w:r>
      <w:proofErr w:type="spellEnd"/>
      <w:r>
        <w:t xml:space="preserve"> </w:t>
      </w:r>
      <w:proofErr w:type="spellStart"/>
      <w:r>
        <w:t>you</w:t>
      </w:r>
      <w:proofErr w:type="spellEnd"/>
      <w:r>
        <w:t xml:space="preserve"> </w:t>
      </w:r>
      <w:proofErr w:type="spellStart"/>
      <w:r>
        <w:t>need</w:t>
      </w:r>
      <w:proofErr w:type="spellEnd"/>
      <w:r>
        <w:t xml:space="preserve">. </w:t>
      </w:r>
      <w:proofErr w:type="spellStart"/>
      <w:r>
        <w:rPr>
          <w:i/>
          <w:iCs/>
        </w:rPr>
        <w:t>Advances</w:t>
      </w:r>
      <w:proofErr w:type="spellEnd"/>
      <w:r>
        <w:rPr>
          <w:i/>
          <w:iCs/>
        </w:rPr>
        <w:t xml:space="preserve"> in Neural </w:t>
      </w:r>
      <w:proofErr w:type="spellStart"/>
      <w:r>
        <w:rPr>
          <w:i/>
          <w:iCs/>
        </w:rPr>
        <w:t>Information</w:t>
      </w:r>
      <w:proofErr w:type="spellEnd"/>
      <w:r>
        <w:rPr>
          <w:i/>
          <w:iCs/>
        </w:rPr>
        <w:t xml:space="preserve"> Processing </w:t>
      </w:r>
      <w:proofErr w:type="spellStart"/>
      <w:r>
        <w:rPr>
          <w:i/>
          <w:iCs/>
        </w:rPr>
        <w:t>Systems</w:t>
      </w:r>
      <w:proofErr w:type="spellEnd"/>
      <w:r>
        <w:rPr>
          <w:i/>
          <w:iCs/>
        </w:rPr>
        <w:t>, 30</w:t>
      </w:r>
      <w:r>
        <w:t>, 5998–6008.</w:t>
      </w:r>
    </w:p>
    <w:p w14:paraId="4E5D1620" w14:textId="77777777" w:rsidR="00730093" w:rsidRDefault="00000000">
      <w:pPr>
        <w:spacing w:after="240" w:line="360" w:lineRule="auto"/>
        <w:ind w:left="720" w:hanging="720"/>
      </w:pPr>
      <w:proofErr w:type="spellStart"/>
      <w:r>
        <w:t>Xu</w:t>
      </w:r>
      <w:proofErr w:type="spellEnd"/>
      <w:r>
        <w:t xml:space="preserve">, L., </w:t>
      </w:r>
      <w:proofErr w:type="spellStart"/>
      <w:r>
        <w:t>Skoularidou</w:t>
      </w:r>
      <w:proofErr w:type="spellEnd"/>
      <w:r>
        <w:t xml:space="preserve">, M., Cuesta-Infante, A., &amp; Veeramachaneni, K. (2019). </w:t>
      </w:r>
      <w:proofErr w:type="spellStart"/>
      <w:r>
        <w:t>Modeling</w:t>
      </w:r>
      <w:proofErr w:type="spellEnd"/>
      <w:r>
        <w:t xml:space="preserve"> tabular data </w:t>
      </w:r>
      <w:proofErr w:type="spellStart"/>
      <w:r>
        <w:t>using</w:t>
      </w:r>
      <w:proofErr w:type="spellEnd"/>
      <w:r>
        <w:t xml:space="preserve"> </w:t>
      </w:r>
      <w:proofErr w:type="spellStart"/>
      <w:r>
        <w:t>conditional</w:t>
      </w:r>
      <w:proofErr w:type="spellEnd"/>
      <w:r>
        <w:t xml:space="preserve"> GAN. </w:t>
      </w:r>
      <w:proofErr w:type="spellStart"/>
      <w:r>
        <w:rPr>
          <w:i/>
          <w:iCs/>
        </w:rPr>
        <w:t>Advances</w:t>
      </w:r>
      <w:proofErr w:type="spellEnd"/>
      <w:r>
        <w:rPr>
          <w:i/>
          <w:iCs/>
        </w:rPr>
        <w:t xml:space="preserve"> in Neural </w:t>
      </w:r>
      <w:proofErr w:type="spellStart"/>
      <w:r>
        <w:rPr>
          <w:i/>
          <w:iCs/>
        </w:rPr>
        <w:t>Information</w:t>
      </w:r>
      <w:proofErr w:type="spellEnd"/>
      <w:r>
        <w:rPr>
          <w:i/>
          <w:iCs/>
        </w:rPr>
        <w:t xml:space="preserve"> Processing </w:t>
      </w:r>
      <w:proofErr w:type="spellStart"/>
      <w:r>
        <w:rPr>
          <w:i/>
          <w:iCs/>
        </w:rPr>
        <w:t>Systems</w:t>
      </w:r>
      <w:proofErr w:type="spellEnd"/>
      <w:r>
        <w:rPr>
          <w:i/>
          <w:iCs/>
        </w:rPr>
        <w:t>, 32</w:t>
      </w:r>
      <w:r>
        <w:t>, 7335–7345.</w:t>
      </w:r>
    </w:p>
    <w:p w14:paraId="6426AE2D" w14:textId="77777777" w:rsidR="00730093" w:rsidRDefault="00000000">
      <w:pPr>
        <w:spacing w:after="240" w:line="360" w:lineRule="auto"/>
        <w:ind w:left="720" w:hanging="720"/>
      </w:pPr>
      <w:r>
        <w:t xml:space="preserve">Brown, T., Mann, B., Ryder, N., Subbiah, M., Kaplan, J. D., Dhariwal, P., Neelakantan, A., Shyam, P., Sastry, G., Askell, A., Agarwal, S., Herbert-Voss, A., Krueger, G., Henighan, T., Child, R., Ramesh, A., Ziegler, D., Wu, J., Winter, C., … Amodei, D. (2020). </w:t>
      </w:r>
      <w:proofErr w:type="spellStart"/>
      <w:r>
        <w:t>Language</w:t>
      </w:r>
      <w:proofErr w:type="spellEnd"/>
      <w:r>
        <w:t xml:space="preserve"> </w:t>
      </w:r>
      <w:proofErr w:type="spellStart"/>
      <w:r>
        <w:t>models</w:t>
      </w:r>
      <w:proofErr w:type="spellEnd"/>
      <w:r>
        <w:t xml:space="preserve"> are </w:t>
      </w:r>
      <w:proofErr w:type="spellStart"/>
      <w:r>
        <w:t>few-shot</w:t>
      </w:r>
      <w:proofErr w:type="spellEnd"/>
      <w:r>
        <w:t xml:space="preserve"> </w:t>
      </w:r>
      <w:proofErr w:type="spellStart"/>
      <w:r>
        <w:t>learners</w:t>
      </w:r>
      <w:proofErr w:type="spellEnd"/>
      <w:r>
        <w:t xml:space="preserve">. </w:t>
      </w:r>
      <w:proofErr w:type="spellStart"/>
      <w:r>
        <w:rPr>
          <w:i/>
          <w:iCs/>
        </w:rPr>
        <w:t>Advances</w:t>
      </w:r>
      <w:proofErr w:type="spellEnd"/>
      <w:r>
        <w:rPr>
          <w:i/>
          <w:iCs/>
        </w:rPr>
        <w:t xml:space="preserve"> in Neural </w:t>
      </w:r>
      <w:proofErr w:type="spellStart"/>
      <w:r>
        <w:rPr>
          <w:i/>
          <w:iCs/>
        </w:rPr>
        <w:t>Information</w:t>
      </w:r>
      <w:proofErr w:type="spellEnd"/>
      <w:r>
        <w:rPr>
          <w:i/>
          <w:iCs/>
        </w:rPr>
        <w:t xml:space="preserve"> Processing </w:t>
      </w:r>
      <w:proofErr w:type="spellStart"/>
      <w:r>
        <w:rPr>
          <w:i/>
          <w:iCs/>
        </w:rPr>
        <w:t>Systems</w:t>
      </w:r>
      <w:proofErr w:type="spellEnd"/>
      <w:r>
        <w:rPr>
          <w:i/>
          <w:iCs/>
        </w:rPr>
        <w:t>, 33</w:t>
      </w:r>
      <w:r>
        <w:t>, 1877–1901.</w:t>
      </w:r>
    </w:p>
    <w:p w14:paraId="3AF4EB69" w14:textId="77777777" w:rsidR="00730093" w:rsidRDefault="00000000">
      <w:pPr>
        <w:spacing w:after="240" w:line="360" w:lineRule="auto"/>
        <w:ind w:left="720" w:hanging="720"/>
      </w:pPr>
      <w:r>
        <w:t xml:space="preserve">Bhatt, U., Xiang, A., Sharma, S., Weller, A., Taly, A., Jia, Y., Ghosh, J., Puri, R., Moura, J. M. F., &amp; Eckersley, P. (2020). </w:t>
      </w:r>
      <w:proofErr w:type="spellStart"/>
      <w:r>
        <w:t>Explainable</w:t>
      </w:r>
      <w:proofErr w:type="spellEnd"/>
      <w:r>
        <w:t xml:space="preserve"> machine </w:t>
      </w:r>
      <w:proofErr w:type="spellStart"/>
      <w:r>
        <w:t>learning</w:t>
      </w:r>
      <w:proofErr w:type="spellEnd"/>
      <w:r>
        <w:t xml:space="preserve"> in </w:t>
      </w:r>
      <w:proofErr w:type="spellStart"/>
      <w:r>
        <w:t>deployment</w:t>
      </w:r>
      <w:proofErr w:type="spellEnd"/>
      <w:r>
        <w:t xml:space="preserve">. </w:t>
      </w:r>
      <w:proofErr w:type="spellStart"/>
      <w:r>
        <w:rPr>
          <w:i/>
          <w:iCs/>
        </w:rPr>
        <w:t>Proceedings</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2020 </w:t>
      </w:r>
      <w:proofErr w:type="spellStart"/>
      <w:r>
        <w:rPr>
          <w:i/>
          <w:iCs/>
        </w:rPr>
        <w:t>Conference</w:t>
      </w:r>
      <w:proofErr w:type="spellEnd"/>
      <w:r>
        <w:rPr>
          <w:i/>
          <w:iCs/>
        </w:rPr>
        <w:t xml:space="preserve"> </w:t>
      </w:r>
      <w:proofErr w:type="spellStart"/>
      <w:r>
        <w:rPr>
          <w:i/>
          <w:iCs/>
        </w:rPr>
        <w:t>on</w:t>
      </w:r>
      <w:proofErr w:type="spellEnd"/>
      <w:r>
        <w:rPr>
          <w:i/>
          <w:iCs/>
        </w:rPr>
        <w:t xml:space="preserve"> </w:t>
      </w:r>
      <w:proofErr w:type="spellStart"/>
      <w:r>
        <w:rPr>
          <w:i/>
          <w:iCs/>
        </w:rPr>
        <w:t>Fairness</w:t>
      </w:r>
      <w:proofErr w:type="spellEnd"/>
      <w:r>
        <w:rPr>
          <w:i/>
          <w:iCs/>
        </w:rPr>
        <w:t xml:space="preserve">, </w:t>
      </w:r>
      <w:proofErr w:type="spellStart"/>
      <w:r>
        <w:rPr>
          <w:i/>
          <w:iCs/>
        </w:rPr>
        <w:t>Accountability</w:t>
      </w:r>
      <w:proofErr w:type="spellEnd"/>
      <w:r>
        <w:rPr>
          <w:i/>
          <w:iCs/>
        </w:rPr>
        <w:t xml:space="preserve">, and </w:t>
      </w:r>
      <w:proofErr w:type="spellStart"/>
      <w:r>
        <w:rPr>
          <w:i/>
          <w:iCs/>
        </w:rPr>
        <w:t>Transparency</w:t>
      </w:r>
      <w:proofErr w:type="spellEnd"/>
      <w:r>
        <w:t>, 648–657. https://doi.org/10.1145/3351095.3375624</w:t>
      </w:r>
    </w:p>
    <w:p w14:paraId="60F7E6AC" w14:textId="77777777" w:rsidR="00730093" w:rsidRDefault="00000000">
      <w:pPr>
        <w:spacing w:after="240" w:line="360" w:lineRule="auto"/>
        <w:ind w:left="720" w:hanging="720"/>
      </w:pPr>
      <w:r>
        <w:t xml:space="preserve">Zhao, Z., Kunar, A., Birke, R., &amp; Chen, L. Y. (2022). CTAB-GAN+: </w:t>
      </w:r>
      <w:proofErr w:type="spellStart"/>
      <w:r>
        <w:t>Enhancing</w:t>
      </w:r>
      <w:proofErr w:type="spellEnd"/>
      <w:r>
        <w:t xml:space="preserve"> tabular data </w:t>
      </w:r>
      <w:proofErr w:type="spellStart"/>
      <w:r>
        <w:t>synthesis</w:t>
      </w:r>
      <w:proofErr w:type="spellEnd"/>
      <w:r>
        <w:t xml:space="preserve">. </w:t>
      </w:r>
      <w:proofErr w:type="spellStart"/>
      <w:r>
        <w:rPr>
          <w:i/>
          <w:iCs/>
        </w:rPr>
        <w:t>Frontiers</w:t>
      </w:r>
      <w:proofErr w:type="spellEnd"/>
      <w:r>
        <w:rPr>
          <w:i/>
          <w:iCs/>
        </w:rPr>
        <w:t xml:space="preserve"> in Big Data, 6</w:t>
      </w:r>
      <w:r>
        <w:t>, 1296508. https://doi.org/10.3389/fdata.2023.1296508</w:t>
      </w:r>
    </w:p>
    <w:p w14:paraId="215931EC" w14:textId="77777777" w:rsidR="00730093" w:rsidRDefault="00000000">
      <w:pPr>
        <w:spacing w:after="240" w:line="360" w:lineRule="auto"/>
        <w:ind w:left="720" w:hanging="720"/>
      </w:pPr>
      <w:r>
        <w:lastRenderedPageBreak/>
        <w:t xml:space="preserve">Yoon, J., Jordon, J., &amp; van </w:t>
      </w:r>
      <w:proofErr w:type="spellStart"/>
      <w:r>
        <w:t>der</w:t>
      </w:r>
      <w:proofErr w:type="spellEnd"/>
      <w:r>
        <w:t xml:space="preserve"> Schaar, M. (2018). GAIN: </w:t>
      </w:r>
      <w:proofErr w:type="spellStart"/>
      <w:r>
        <w:t>Missing</w:t>
      </w:r>
      <w:proofErr w:type="spellEnd"/>
      <w:r>
        <w:t xml:space="preserve"> data </w:t>
      </w:r>
      <w:proofErr w:type="spellStart"/>
      <w:r>
        <w:t>imputation</w:t>
      </w:r>
      <w:proofErr w:type="spellEnd"/>
      <w:r>
        <w:t xml:space="preserve"> </w:t>
      </w:r>
      <w:proofErr w:type="spellStart"/>
      <w:r>
        <w:t>using</w:t>
      </w:r>
      <w:proofErr w:type="spellEnd"/>
      <w:r>
        <w:t xml:space="preserve"> generative adversarial nets. </w:t>
      </w:r>
      <w:proofErr w:type="spellStart"/>
      <w:r>
        <w:rPr>
          <w:i/>
          <w:iCs/>
        </w:rPr>
        <w:t>Proceedings</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35th International </w:t>
      </w:r>
      <w:proofErr w:type="spellStart"/>
      <w:r>
        <w:rPr>
          <w:i/>
          <w:iCs/>
        </w:rPr>
        <w:t>Conference</w:t>
      </w:r>
      <w:proofErr w:type="spellEnd"/>
      <w:r>
        <w:rPr>
          <w:i/>
          <w:iCs/>
        </w:rPr>
        <w:t xml:space="preserve"> </w:t>
      </w:r>
      <w:proofErr w:type="spellStart"/>
      <w:r>
        <w:rPr>
          <w:i/>
          <w:iCs/>
        </w:rPr>
        <w:t>on</w:t>
      </w:r>
      <w:proofErr w:type="spellEnd"/>
      <w:r>
        <w:rPr>
          <w:i/>
          <w:iCs/>
        </w:rPr>
        <w:t xml:space="preserve"> Machine </w:t>
      </w:r>
      <w:proofErr w:type="spellStart"/>
      <w:r>
        <w:rPr>
          <w:i/>
          <w:iCs/>
        </w:rPr>
        <w:t>Learning</w:t>
      </w:r>
      <w:proofErr w:type="spellEnd"/>
      <w:r>
        <w:rPr>
          <w:i/>
          <w:iCs/>
        </w:rPr>
        <w:t xml:space="preserve"> (ICML)</w:t>
      </w:r>
      <w:r>
        <w:t>, 5689–5698.</w:t>
      </w:r>
    </w:p>
    <w:p w14:paraId="75DCF19D" w14:textId="77777777" w:rsidR="00730093" w:rsidRDefault="00000000">
      <w:pPr>
        <w:spacing w:after="240" w:line="360" w:lineRule="auto"/>
        <w:ind w:left="720" w:hanging="720"/>
      </w:pPr>
      <w:r>
        <w:t xml:space="preserve">Parlamento Europeo y Consejo de la Unión Europea. (2024). Reglamento (UE) 2024/1689 por el que se establecen normas armonizadas en materia de inteligencia artificial (Ley de IA). </w:t>
      </w:r>
      <w:r>
        <w:rPr>
          <w:i/>
          <w:iCs/>
        </w:rPr>
        <w:t>Diario Oficial de la Unión Europea</w:t>
      </w:r>
      <w:r>
        <w:t>, L Series.</w:t>
      </w:r>
    </w:p>
    <w:p w14:paraId="382E0DCB" w14:textId="77777777" w:rsidR="00730093" w:rsidRDefault="00000000">
      <w:pPr>
        <w:spacing w:after="240" w:line="360" w:lineRule="auto"/>
        <w:ind w:left="720" w:hanging="720"/>
      </w:pPr>
      <w:r>
        <w:t xml:space="preserve">Becker, B., &amp; </w:t>
      </w:r>
      <w:proofErr w:type="spellStart"/>
      <w:r>
        <w:t>Kohavi</w:t>
      </w:r>
      <w:proofErr w:type="spellEnd"/>
      <w:r>
        <w:t xml:space="preserve">, R. (1996). </w:t>
      </w:r>
      <w:proofErr w:type="spellStart"/>
      <w:r>
        <w:t>Adult</w:t>
      </w:r>
      <w:proofErr w:type="spellEnd"/>
      <w:r>
        <w:t xml:space="preserve"> [</w:t>
      </w:r>
      <w:proofErr w:type="spellStart"/>
      <w:r>
        <w:t>Dataset</w:t>
      </w:r>
      <w:proofErr w:type="spellEnd"/>
      <w:r>
        <w:t xml:space="preserve">]. UCI Machine </w:t>
      </w:r>
      <w:proofErr w:type="spellStart"/>
      <w:r>
        <w:t>Learning</w:t>
      </w:r>
      <w:proofErr w:type="spellEnd"/>
      <w:r>
        <w:t xml:space="preserve"> </w:t>
      </w:r>
      <w:proofErr w:type="spellStart"/>
      <w:r>
        <w:t>Repository</w:t>
      </w:r>
      <w:proofErr w:type="spellEnd"/>
      <w:r>
        <w:t>. https://doi.org/10.24432/C5XW20</w:t>
      </w:r>
    </w:p>
    <w:p w14:paraId="59D40507" w14:textId="7C918DCC" w:rsidR="00730093" w:rsidRDefault="00730093"/>
    <w:sectPr w:rsidR="00730093">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0B475" w14:textId="77777777" w:rsidR="00DD4800" w:rsidRDefault="00DD4800">
      <w:r>
        <w:separator/>
      </w:r>
    </w:p>
  </w:endnote>
  <w:endnote w:type="continuationSeparator" w:id="0">
    <w:p w14:paraId="22317853" w14:textId="77777777" w:rsidR="00DD4800" w:rsidRDefault="00DD4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7AC0E" w14:textId="77777777" w:rsidR="00730093" w:rsidRDefault="00000000">
    <w:pPr>
      <w:jc w:val="center"/>
    </w:pPr>
    <w:r>
      <w:rPr>
        <w:sz w:val="20"/>
        <w:szCs w:val="20"/>
      </w:rPr>
      <w:t xml:space="preserve">Página </w:t>
    </w:r>
    <w:r>
      <w:rPr>
        <w:sz w:val="20"/>
        <w:szCs w:val="20"/>
      </w:rPr>
      <w:fldChar w:fldCharType="begin"/>
    </w:r>
    <w:r>
      <w:rPr>
        <w:sz w:val="20"/>
        <w:szCs w:val="20"/>
      </w:rPr>
      <w:instrText>PAGE</w:instrText>
    </w:r>
    <w:r>
      <w:rPr>
        <w:sz w:val="20"/>
        <w:szCs w:val="20"/>
      </w:rPr>
      <w:fldChar w:fldCharType="separate"/>
    </w:r>
    <w:r w:rsidR="00520A2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17B84" w14:textId="77777777" w:rsidR="00DD4800" w:rsidRDefault="00DD4800">
      <w:r>
        <w:separator/>
      </w:r>
    </w:p>
  </w:footnote>
  <w:footnote w:type="continuationSeparator" w:id="0">
    <w:p w14:paraId="56982A72" w14:textId="77777777" w:rsidR="00DD4800" w:rsidRDefault="00DD48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C20DA"/>
    <w:multiLevelType w:val="hybridMultilevel"/>
    <w:tmpl w:val="2B7479A0"/>
    <w:lvl w:ilvl="0" w:tplc="86C260F2">
      <w:start w:val="1"/>
      <w:numFmt w:val="bullet"/>
      <w:lvlText w:val="•"/>
      <w:lvlJc w:val="left"/>
      <w:pPr>
        <w:ind w:left="720" w:hanging="360"/>
      </w:pPr>
    </w:lvl>
    <w:lvl w:ilvl="1" w:tplc="BB66E0E8">
      <w:numFmt w:val="decimal"/>
      <w:lvlText w:val=""/>
      <w:lvlJc w:val="left"/>
    </w:lvl>
    <w:lvl w:ilvl="2" w:tplc="D706B512">
      <w:numFmt w:val="decimal"/>
      <w:lvlText w:val=""/>
      <w:lvlJc w:val="left"/>
    </w:lvl>
    <w:lvl w:ilvl="3" w:tplc="003EA06A">
      <w:numFmt w:val="decimal"/>
      <w:lvlText w:val=""/>
      <w:lvlJc w:val="left"/>
    </w:lvl>
    <w:lvl w:ilvl="4" w:tplc="7158DD70">
      <w:numFmt w:val="decimal"/>
      <w:lvlText w:val=""/>
      <w:lvlJc w:val="left"/>
    </w:lvl>
    <w:lvl w:ilvl="5" w:tplc="AF3865D2">
      <w:numFmt w:val="decimal"/>
      <w:lvlText w:val=""/>
      <w:lvlJc w:val="left"/>
    </w:lvl>
    <w:lvl w:ilvl="6" w:tplc="A3E4D482">
      <w:numFmt w:val="decimal"/>
      <w:lvlText w:val=""/>
      <w:lvlJc w:val="left"/>
    </w:lvl>
    <w:lvl w:ilvl="7" w:tplc="F664DF8E">
      <w:numFmt w:val="decimal"/>
      <w:lvlText w:val=""/>
      <w:lvlJc w:val="left"/>
    </w:lvl>
    <w:lvl w:ilvl="8" w:tplc="FCDE9B80">
      <w:numFmt w:val="decimal"/>
      <w:lvlText w:val=""/>
      <w:lvlJc w:val="left"/>
    </w:lvl>
  </w:abstractNum>
  <w:abstractNum w:abstractNumId="1" w15:restartNumberingAfterBreak="0">
    <w:nsid w:val="4A9A3A46"/>
    <w:multiLevelType w:val="hybridMultilevel"/>
    <w:tmpl w:val="A11AD67C"/>
    <w:lvl w:ilvl="0" w:tplc="12CA0B4A">
      <w:start w:val="1"/>
      <w:numFmt w:val="decimal"/>
      <w:lvlText w:val="%1."/>
      <w:lvlJc w:val="left"/>
      <w:pPr>
        <w:ind w:left="720" w:hanging="360"/>
      </w:pPr>
    </w:lvl>
    <w:lvl w:ilvl="1" w:tplc="8730B502">
      <w:numFmt w:val="decimal"/>
      <w:lvlText w:val=""/>
      <w:lvlJc w:val="left"/>
    </w:lvl>
    <w:lvl w:ilvl="2" w:tplc="9C0E29FC">
      <w:numFmt w:val="decimal"/>
      <w:lvlText w:val=""/>
      <w:lvlJc w:val="left"/>
    </w:lvl>
    <w:lvl w:ilvl="3" w:tplc="F35A8E3E">
      <w:numFmt w:val="decimal"/>
      <w:lvlText w:val=""/>
      <w:lvlJc w:val="left"/>
    </w:lvl>
    <w:lvl w:ilvl="4" w:tplc="8A88E8F8">
      <w:numFmt w:val="decimal"/>
      <w:lvlText w:val=""/>
      <w:lvlJc w:val="left"/>
    </w:lvl>
    <w:lvl w:ilvl="5" w:tplc="15CC70F0">
      <w:numFmt w:val="decimal"/>
      <w:lvlText w:val=""/>
      <w:lvlJc w:val="left"/>
    </w:lvl>
    <w:lvl w:ilvl="6" w:tplc="263E9872">
      <w:numFmt w:val="decimal"/>
      <w:lvlText w:val=""/>
      <w:lvlJc w:val="left"/>
    </w:lvl>
    <w:lvl w:ilvl="7" w:tplc="E2184CF8">
      <w:numFmt w:val="decimal"/>
      <w:lvlText w:val=""/>
      <w:lvlJc w:val="left"/>
    </w:lvl>
    <w:lvl w:ilvl="8" w:tplc="3C4CBCF2">
      <w:numFmt w:val="decimal"/>
      <w:lvlText w:val=""/>
      <w:lvlJc w:val="left"/>
    </w:lvl>
  </w:abstractNum>
  <w:abstractNum w:abstractNumId="2" w15:restartNumberingAfterBreak="0">
    <w:nsid w:val="77D457B6"/>
    <w:multiLevelType w:val="hybridMultilevel"/>
    <w:tmpl w:val="58B816B0"/>
    <w:lvl w:ilvl="0" w:tplc="AD564846">
      <w:start w:val="1"/>
      <w:numFmt w:val="bullet"/>
      <w:lvlText w:val="●"/>
      <w:lvlJc w:val="left"/>
      <w:pPr>
        <w:ind w:left="720" w:hanging="360"/>
      </w:pPr>
    </w:lvl>
    <w:lvl w:ilvl="1" w:tplc="211C87CE">
      <w:start w:val="1"/>
      <w:numFmt w:val="bullet"/>
      <w:lvlText w:val="○"/>
      <w:lvlJc w:val="left"/>
      <w:pPr>
        <w:ind w:left="1440" w:hanging="360"/>
      </w:pPr>
    </w:lvl>
    <w:lvl w:ilvl="2" w:tplc="62D0287A">
      <w:start w:val="1"/>
      <w:numFmt w:val="bullet"/>
      <w:lvlText w:val="■"/>
      <w:lvlJc w:val="left"/>
      <w:pPr>
        <w:ind w:left="2160" w:hanging="360"/>
      </w:pPr>
    </w:lvl>
    <w:lvl w:ilvl="3" w:tplc="334AF426">
      <w:start w:val="1"/>
      <w:numFmt w:val="bullet"/>
      <w:lvlText w:val="●"/>
      <w:lvlJc w:val="left"/>
      <w:pPr>
        <w:ind w:left="2880" w:hanging="360"/>
      </w:pPr>
    </w:lvl>
    <w:lvl w:ilvl="4" w:tplc="1204839C">
      <w:start w:val="1"/>
      <w:numFmt w:val="bullet"/>
      <w:lvlText w:val="○"/>
      <w:lvlJc w:val="left"/>
      <w:pPr>
        <w:ind w:left="3600" w:hanging="360"/>
      </w:pPr>
    </w:lvl>
    <w:lvl w:ilvl="5" w:tplc="8C3EA5E0">
      <w:start w:val="1"/>
      <w:numFmt w:val="bullet"/>
      <w:lvlText w:val="■"/>
      <w:lvlJc w:val="left"/>
      <w:pPr>
        <w:ind w:left="4320" w:hanging="360"/>
      </w:pPr>
    </w:lvl>
    <w:lvl w:ilvl="6" w:tplc="20664CA4">
      <w:start w:val="1"/>
      <w:numFmt w:val="bullet"/>
      <w:lvlText w:val="●"/>
      <w:lvlJc w:val="left"/>
      <w:pPr>
        <w:ind w:left="5040" w:hanging="360"/>
      </w:pPr>
    </w:lvl>
    <w:lvl w:ilvl="7" w:tplc="C77A4964">
      <w:start w:val="1"/>
      <w:numFmt w:val="bullet"/>
      <w:lvlText w:val="●"/>
      <w:lvlJc w:val="left"/>
      <w:pPr>
        <w:ind w:left="5760" w:hanging="360"/>
      </w:pPr>
    </w:lvl>
    <w:lvl w:ilvl="8" w:tplc="D242AD6A">
      <w:start w:val="1"/>
      <w:numFmt w:val="bullet"/>
      <w:lvlText w:val="●"/>
      <w:lvlJc w:val="left"/>
      <w:pPr>
        <w:ind w:left="6480" w:hanging="360"/>
      </w:pPr>
    </w:lvl>
  </w:abstractNum>
  <w:num w:numId="1" w16cid:durableId="9355552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093"/>
    <w:rsid w:val="00290801"/>
    <w:rsid w:val="00520A28"/>
    <w:rsid w:val="00730093"/>
    <w:rsid w:val="00B32154"/>
    <w:rsid w:val="00D5729B"/>
    <w:rsid w:val="00DD480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E1D83"/>
  <w15:docId w15:val="{EFD7389A-D9F6-4C86-B192-B20D8ECC9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40" w:line="360" w:lineRule="auto"/>
      <w:outlineLvl w:val="0"/>
    </w:pPr>
    <w:rPr>
      <w:b/>
      <w:bCs/>
      <w:sz w:val="32"/>
      <w:szCs w:val="32"/>
    </w:rPr>
  </w:style>
  <w:style w:type="paragraph" w:styleId="Ttulo2">
    <w:name w:val="heading 2"/>
    <w:uiPriority w:val="9"/>
    <w:unhideWhenUsed/>
    <w:qFormat/>
    <w:pPr>
      <w:spacing w:before="280" w:after="180" w:line="360" w:lineRule="auto"/>
      <w:outlineLvl w:val="1"/>
    </w:pPr>
    <w:rPr>
      <w:b/>
      <w:bCs/>
      <w:sz w:val="28"/>
      <w:szCs w:val="28"/>
    </w:rPr>
  </w:style>
  <w:style w:type="paragraph" w:styleId="Ttulo3">
    <w:name w:val="heading 3"/>
    <w:uiPriority w:val="9"/>
    <w:unhideWhenUsed/>
    <w:qFormat/>
    <w:pPr>
      <w:spacing w:before="220" w:after="140" w:line="360" w:lineRule="auto"/>
      <w:outlineLvl w:val="2"/>
    </w:pPr>
    <w:rPr>
      <w:b/>
      <w:bCs/>
      <w:i/>
      <w:iCs/>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4652</Words>
  <Characters>25591</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Actividad 1 - IA Generativa Aplicada al Análisis de Datos</vt:lpstr>
    </vt:vector>
  </TitlesOfParts>
  <Company/>
  <LinksUpToDate>false</LinksUpToDate>
  <CharactersWithSpaces>30183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1 - IA Generativa Aplicada al Análisis de Datos</dc:title>
  <dc:creator>Pablo Alberto Duque Marín</dc:creator>
  <cp:lastModifiedBy>Pablo Alberto Marin</cp:lastModifiedBy>
  <cp:revision>3</cp:revision>
  <cp:lastPrinted>2026-04-25T04:06:00Z</cp:lastPrinted>
  <dcterms:created xsi:type="dcterms:W3CDTF">2026-04-25T03:30:00Z</dcterms:created>
  <dcterms:modified xsi:type="dcterms:W3CDTF">2026-04-25T04:15:00Z</dcterms:modified>
</cp:coreProperties>
</file>