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56" w:rsidRDefault="005B2962" w:rsidP="006C5456">
      <w:pPr>
        <w:rPr>
          <w:szCs w:val="24"/>
        </w:rPr>
      </w:pPr>
      <w:r>
        <w:rPr>
          <w:szCs w:val="24"/>
        </w:rPr>
        <w:t>February 17</w:t>
      </w:r>
      <w:r w:rsidR="006C5456">
        <w:rPr>
          <w:szCs w:val="24"/>
        </w:rPr>
        <w:t>, 2009</w:t>
      </w:r>
    </w:p>
    <w:p w:rsidR="006C5456" w:rsidRDefault="006C5456" w:rsidP="00C90ADA">
      <w:pPr>
        <w:ind w:left="5040" w:firstLine="720"/>
        <w:rPr>
          <w:szCs w:val="24"/>
        </w:rPr>
      </w:pPr>
      <w:r>
        <w:rPr>
          <w:szCs w:val="24"/>
        </w:rPr>
        <w:t xml:space="preserve">Name: </w:t>
      </w:r>
      <w:r w:rsidR="00C90ADA">
        <w:rPr>
          <w:szCs w:val="24"/>
        </w:rPr>
        <w:tab/>
        <w:t xml:space="preserve">  </w:t>
      </w:r>
      <w:r w:rsidR="00C90ADA">
        <w:rPr>
          <w:szCs w:val="24"/>
        </w:rPr>
        <w:tab/>
      </w:r>
      <w:r w:rsidR="006A7BF8">
        <w:rPr>
          <w:szCs w:val="24"/>
        </w:rPr>
        <w:t>Tri Nguyen</w:t>
      </w:r>
    </w:p>
    <w:p w:rsidR="006C5456" w:rsidRDefault="006C5456" w:rsidP="00C90ADA">
      <w:pPr>
        <w:ind w:left="5760"/>
        <w:rPr>
          <w:szCs w:val="24"/>
        </w:rPr>
      </w:pPr>
      <w:r>
        <w:rPr>
          <w:szCs w:val="24"/>
        </w:rPr>
        <w:t>Lab</w:t>
      </w:r>
      <w:r w:rsidR="006A7BF8">
        <w:rPr>
          <w:szCs w:val="24"/>
        </w:rPr>
        <w:t xml:space="preserve"> Partners:     Jesse </w:t>
      </w:r>
      <w:proofErr w:type="spellStart"/>
      <w:r w:rsidR="006A7BF8">
        <w:rPr>
          <w:szCs w:val="24"/>
        </w:rPr>
        <w:t>Peratta</w:t>
      </w:r>
      <w:proofErr w:type="spellEnd"/>
    </w:p>
    <w:p w:rsidR="006C5456" w:rsidRDefault="006C5456" w:rsidP="006C545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6A7BF8">
        <w:rPr>
          <w:szCs w:val="24"/>
        </w:rPr>
        <w:t xml:space="preserve">Nick </w:t>
      </w:r>
      <w:proofErr w:type="spellStart"/>
      <w:r w:rsidR="006A7BF8">
        <w:rPr>
          <w:szCs w:val="24"/>
        </w:rPr>
        <w:t>Manci</w:t>
      </w:r>
      <w:proofErr w:type="spellEnd"/>
    </w:p>
    <w:p w:rsidR="006C5456" w:rsidRDefault="006C5456" w:rsidP="006A7BF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C90ADA">
        <w:rPr>
          <w:szCs w:val="24"/>
        </w:rPr>
        <w:tab/>
      </w:r>
      <w:r w:rsidR="006A7BF8">
        <w:rPr>
          <w:szCs w:val="24"/>
        </w:rPr>
        <w:t>Greg Dobbs</w:t>
      </w:r>
    </w:p>
    <w:p w:rsidR="006A7BF8" w:rsidRDefault="006A7BF8" w:rsidP="006A7BF8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FE0149" w:rsidRDefault="00FE0149" w:rsidP="00C90ADA">
      <w:pPr>
        <w:tabs>
          <w:tab w:val="left" w:pos="1605"/>
        </w:tabs>
        <w:jc w:val="center"/>
        <w:rPr>
          <w:sz w:val="36"/>
          <w:szCs w:val="36"/>
        </w:rPr>
      </w:pPr>
    </w:p>
    <w:p w:rsidR="00FE0149" w:rsidRDefault="00FE0149" w:rsidP="00C90ADA">
      <w:pPr>
        <w:tabs>
          <w:tab w:val="left" w:pos="1605"/>
        </w:tabs>
        <w:jc w:val="center"/>
        <w:rPr>
          <w:sz w:val="36"/>
          <w:szCs w:val="36"/>
        </w:rPr>
      </w:pPr>
    </w:p>
    <w:p w:rsidR="00FE0149" w:rsidRDefault="00FE0149" w:rsidP="00C90ADA">
      <w:pPr>
        <w:tabs>
          <w:tab w:val="left" w:pos="1605"/>
        </w:tabs>
        <w:jc w:val="center"/>
        <w:rPr>
          <w:sz w:val="36"/>
          <w:szCs w:val="36"/>
        </w:rPr>
      </w:pPr>
    </w:p>
    <w:p w:rsidR="006C5456" w:rsidRPr="00FE0149" w:rsidRDefault="006C5456" w:rsidP="00C90ADA">
      <w:pPr>
        <w:tabs>
          <w:tab w:val="left" w:pos="1605"/>
        </w:tabs>
        <w:jc w:val="center"/>
        <w:rPr>
          <w:sz w:val="36"/>
          <w:szCs w:val="36"/>
        </w:rPr>
      </w:pPr>
      <w:r w:rsidRPr="00FE0149">
        <w:rPr>
          <w:sz w:val="36"/>
          <w:szCs w:val="36"/>
        </w:rPr>
        <w:t>Lab # 2</w:t>
      </w:r>
    </w:p>
    <w:p w:rsidR="006C5456" w:rsidRDefault="006C5456" w:rsidP="00C90ADA">
      <w:pPr>
        <w:jc w:val="center"/>
        <w:rPr>
          <w:b/>
          <w:sz w:val="44"/>
          <w:szCs w:val="44"/>
        </w:rPr>
      </w:pPr>
      <w:r w:rsidRPr="00C90ADA">
        <w:rPr>
          <w:b/>
          <w:sz w:val="44"/>
          <w:szCs w:val="44"/>
        </w:rPr>
        <w:t xml:space="preserve">Electron Gun – Effects </w:t>
      </w:r>
      <w:r w:rsidR="00FF0DAE" w:rsidRPr="00C90ADA">
        <w:rPr>
          <w:b/>
          <w:sz w:val="44"/>
          <w:szCs w:val="44"/>
        </w:rPr>
        <w:t>of</w:t>
      </w:r>
      <w:r w:rsidRPr="00C90ADA">
        <w:rPr>
          <w:b/>
          <w:sz w:val="44"/>
          <w:szCs w:val="44"/>
        </w:rPr>
        <w:t xml:space="preserve"> Electric Field</w:t>
      </w:r>
    </w:p>
    <w:p w:rsidR="00C90ADA" w:rsidRDefault="00C90ADA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C90ADA">
      <w:pPr>
        <w:jc w:val="center"/>
        <w:rPr>
          <w:b/>
        </w:rPr>
      </w:pPr>
    </w:p>
    <w:p w:rsidR="00FE0149" w:rsidRDefault="00FE0149" w:rsidP="00FE0149">
      <w:pPr>
        <w:rPr>
          <w:b/>
        </w:rPr>
      </w:pPr>
    </w:p>
    <w:p w:rsidR="00FE0149" w:rsidRPr="00C90ADA" w:rsidRDefault="00FE0149" w:rsidP="00FE0149">
      <w:pPr>
        <w:rPr>
          <w:b/>
        </w:rPr>
      </w:pPr>
    </w:p>
    <w:p w:rsidR="00AA4109" w:rsidRPr="00C90ADA" w:rsidRDefault="00A0434D" w:rsidP="00A0434D">
      <w:pPr>
        <w:pStyle w:val="ListParagraph"/>
        <w:numPr>
          <w:ilvl w:val="0"/>
          <w:numId w:val="1"/>
        </w:numPr>
        <w:rPr>
          <w:b/>
          <w:szCs w:val="24"/>
        </w:rPr>
      </w:pPr>
      <w:r w:rsidRPr="00C90ADA">
        <w:rPr>
          <w:b/>
          <w:szCs w:val="24"/>
        </w:rPr>
        <w:lastRenderedPageBreak/>
        <w:t>Objective</w:t>
      </w:r>
    </w:p>
    <w:p w:rsidR="00A0434D" w:rsidRDefault="00A0434D" w:rsidP="00A0434D">
      <w:pPr>
        <w:pStyle w:val="ListParagraph"/>
        <w:ind w:left="1080"/>
        <w:rPr>
          <w:szCs w:val="24"/>
        </w:rPr>
      </w:pPr>
      <w:r>
        <w:rPr>
          <w:szCs w:val="24"/>
        </w:rPr>
        <w:t xml:space="preserve">To observe the effect of an electric field on the </w:t>
      </w:r>
      <w:r w:rsidR="005D6A34">
        <w:rPr>
          <w:szCs w:val="24"/>
        </w:rPr>
        <w:t>motion</w:t>
      </w:r>
      <w:r>
        <w:rPr>
          <w:szCs w:val="24"/>
        </w:rPr>
        <w:t xml:space="preserve"> of electrons and to show relationship between the field stretch and the distance electron are deflected.</w:t>
      </w:r>
    </w:p>
    <w:p w:rsidR="00C90ADA" w:rsidRDefault="00C90ADA" w:rsidP="00A0434D">
      <w:pPr>
        <w:pStyle w:val="ListParagraph"/>
        <w:ind w:left="1080"/>
        <w:rPr>
          <w:szCs w:val="24"/>
        </w:rPr>
      </w:pPr>
    </w:p>
    <w:p w:rsidR="00814426" w:rsidRDefault="00E85241" w:rsidP="00814426">
      <w:pPr>
        <w:pStyle w:val="ListParagraph"/>
        <w:numPr>
          <w:ilvl w:val="0"/>
          <w:numId w:val="1"/>
        </w:numPr>
        <w:rPr>
          <w:b/>
          <w:szCs w:val="24"/>
        </w:rPr>
      </w:pPr>
      <w:r w:rsidRPr="00C90ADA">
        <w:rPr>
          <w:b/>
          <w:szCs w:val="24"/>
        </w:rPr>
        <w:t>Data/ Results:</w:t>
      </w:r>
    </w:p>
    <w:p w:rsidR="00814426" w:rsidRDefault="00814426" w:rsidP="00814426">
      <w:pPr>
        <w:pStyle w:val="ListParagraph"/>
        <w:ind w:left="1080"/>
        <w:rPr>
          <w:szCs w:val="24"/>
        </w:rPr>
      </w:pPr>
      <w:r>
        <w:rPr>
          <w:szCs w:val="24"/>
        </w:rPr>
        <w:t>∆y: distance electron is deflected (mm)</w:t>
      </w:r>
    </w:p>
    <w:p w:rsidR="00814426" w:rsidRDefault="00153B7D" w:rsidP="00814426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x</w:t>
      </w:r>
      <w:proofErr w:type="gramEnd"/>
      <w:r>
        <w:rPr>
          <w:szCs w:val="24"/>
        </w:rPr>
        <w:t xml:space="preserve">: voltage ratio </w:t>
      </w:r>
    </w:p>
    <w:p w:rsidR="00B25A72" w:rsidRDefault="00B25A72" w:rsidP="00814426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k</w:t>
      </w:r>
      <w:proofErr w:type="gramEnd"/>
      <w:r>
        <w:rPr>
          <w:szCs w:val="24"/>
        </w:rPr>
        <w:t>: tube constant (mm)</w:t>
      </w:r>
    </w:p>
    <w:p w:rsidR="00B25A72" w:rsidRDefault="00B25A72" w:rsidP="00814426">
      <w:pPr>
        <w:pStyle w:val="ListParagraph"/>
        <w:ind w:left="1080"/>
        <w:rPr>
          <w:szCs w:val="24"/>
        </w:rPr>
      </w:pPr>
      <w:r>
        <w:rPr>
          <w:szCs w:val="24"/>
        </w:rPr>
        <w:t>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szCs w:val="24"/>
        </w:rPr>
        <w:t>: acceleration voltage (V)</w:t>
      </w:r>
    </w:p>
    <w:p w:rsidR="00B25A72" w:rsidRPr="00814426" w:rsidRDefault="00B25A72" w:rsidP="00814426">
      <w:pPr>
        <w:pStyle w:val="ListParagraph"/>
        <w:ind w:left="1080"/>
        <w:rPr>
          <w:b/>
          <w:szCs w:val="24"/>
        </w:rPr>
      </w:pPr>
      <w:r>
        <w:rPr>
          <w:szCs w:val="24"/>
        </w:rPr>
        <w:t>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szCs w:val="24"/>
        </w:rPr>
        <w:t>: deflection voltage (V)</w:t>
      </w:r>
    </w:p>
    <w:p w:rsidR="00044CFD" w:rsidRPr="00044CFD" w:rsidRDefault="00814426" w:rsidP="00E85241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∆y=k*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</m:oMath>
      <w:r w:rsidR="00044CFD">
        <w:rPr>
          <w:szCs w:val="24"/>
        </w:rPr>
        <w:t xml:space="preserve"> </w:t>
      </w:r>
      <w:r>
        <w:rPr>
          <w:szCs w:val="24"/>
        </w:rPr>
        <w:t>=&gt;</w:t>
      </w:r>
      <w:r w:rsidR="00044CFD">
        <w:rPr>
          <w:szCs w:val="24"/>
        </w:rPr>
        <w:t xml:space="preserve">x=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Cs w:val="24"/>
          </w:rPr>
          <m:t xml:space="preserve">=&gt; ∆y=k*x </m:t>
        </m:r>
      </m:oMath>
      <w:r w:rsidR="00044CFD">
        <w:rPr>
          <w:szCs w:val="24"/>
        </w:rPr>
        <w:t xml:space="preserve"> =&gt; k=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</m:oMath>
    </w:p>
    <w:p w:rsidR="00044CFD" w:rsidRDefault="00B25A72" w:rsidP="00E85241">
      <w:pPr>
        <w:rPr>
          <w:szCs w:val="24"/>
        </w:rPr>
      </w:pPr>
      <w:r>
        <w:rPr>
          <w:szCs w:val="24"/>
        </w:rPr>
        <w:t xml:space="preserve">Let’s do trial data#1: </w:t>
      </w:r>
      <w:r w:rsidR="00044CFD">
        <w:rPr>
          <w:szCs w:val="24"/>
        </w:rPr>
        <w:t xml:space="preserve"> </w:t>
      </w:r>
      <w:r w:rsidR="00044CFD" w:rsidRPr="00E85241">
        <w:rPr>
          <w:szCs w:val="24"/>
        </w:rPr>
        <w:t>∆</w:t>
      </w:r>
      <w:proofErr w:type="spellStart"/>
      <w:r w:rsidR="00814426">
        <w:rPr>
          <w:szCs w:val="24"/>
        </w:rPr>
        <w:t>Va</w:t>
      </w:r>
      <w:proofErr w:type="spellEnd"/>
      <w:r w:rsidR="00814426">
        <w:rPr>
          <w:szCs w:val="24"/>
        </w:rPr>
        <w:t>=</w:t>
      </w:r>
      <m:oMath>
        <m:r>
          <w:rPr>
            <w:rFonts w:ascii="Cambria Math" w:hAnsi="Cambria Math"/>
            <w:szCs w:val="24"/>
          </w:rPr>
          <m:t xml:space="preserve"> 25</m:t>
        </m:r>
        <m:r>
          <w:rPr>
            <w:rFonts w:ascii="Cambria Math" w:hAnsi="Cambria Math"/>
            <w:szCs w:val="24"/>
          </w:rPr>
          <m:t>0V</m:t>
        </m:r>
      </m:oMath>
      <w:r w:rsidR="00044CFD">
        <w:rPr>
          <w:szCs w:val="24"/>
        </w:rPr>
        <w:t xml:space="preserve">, ∆y =15 mm, </w:t>
      </w: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r>
          <w:rPr>
            <w:rFonts w:ascii="Cambria Math" w:hAnsi="Cambria Math"/>
            <w:szCs w:val="24"/>
          </w:rPr>
          <m:t>=13.3</m:t>
        </m:r>
        <m:r>
          <w:rPr>
            <w:rFonts w:ascii="Cambria Math" w:hAnsi="Cambria Math"/>
            <w:szCs w:val="24"/>
          </w:rPr>
          <m:t xml:space="preserve"> V</m:t>
        </m:r>
      </m:oMath>
    </w:p>
    <w:p w:rsidR="00044CFD" w:rsidRPr="00044CFD" w:rsidRDefault="00044CFD" w:rsidP="00E85241">
      <w:pPr>
        <w:rPr>
          <w:szCs w:val="24"/>
        </w:rPr>
      </w:pPr>
      <w:r>
        <w:rPr>
          <w:szCs w:val="24"/>
        </w:rPr>
        <w:t xml:space="preserve">x=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13.3</m:t>
            </m:r>
            <m:r>
              <w:rPr>
                <w:rFonts w:ascii="Cambria Math" w:hAnsi="Cambria Math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Cs w:val="24"/>
              </w:rPr>
              <m:t>250</m:t>
            </m:r>
            <m:r>
              <w:rPr>
                <w:rFonts w:ascii="Cambria Math" w:hAnsi="Cambria Math"/>
                <w:szCs w:val="24"/>
              </w:rPr>
              <m:t>V</m:t>
            </m:r>
          </m:den>
        </m:f>
        <m:r>
          <w:rPr>
            <w:rFonts w:ascii="Cambria Math" w:hAnsi="Cambria Math"/>
            <w:szCs w:val="24"/>
          </w:rPr>
          <m:t>=.0</m:t>
        </m:r>
        <m:r>
          <w:rPr>
            <w:rFonts w:ascii="Cambria Math" w:hAnsi="Cambria Math"/>
            <w:szCs w:val="24"/>
          </w:rPr>
          <m:t>532</m:t>
        </m:r>
      </m:oMath>
    </w:p>
    <w:p w:rsidR="00B25A72" w:rsidRDefault="00044CFD" w:rsidP="00C147C9">
      <w:pPr>
        <w:rPr>
          <w:szCs w:val="24"/>
        </w:rPr>
      </w:pPr>
      <w:r>
        <w:rPr>
          <w:szCs w:val="24"/>
        </w:rPr>
        <w:t>k=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15mm</m:t>
            </m:r>
          </m:num>
          <m:den>
            <m:r>
              <w:rPr>
                <w:rFonts w:ascii="Cambria Math" w:hAnsi="Cambria Math"/>
                <w:szCs w:val="24"/>
              </w:rPr>
              <m:t>.0532</m:t>
            </m:r>
          </m:den>
        </m:f>
        <m:r>
          <w:rPr>
            <w:rFonts w:ascii="Cambria Math" w:hAnsi="Cambria Math"/>
            <w:szCs w:val="24"/>
          </w:rPr>
          <m:t>=281.95</m:t>
        </m:r>
        <m:r>
          <w:rPr>
            <w:rFonts w:ascii="Cambria Math" w:hAnsi="Cambria Math"/>
            <w:szCs w:val="24"/>
          </w:rPr>
          <m:t>mm</m:t>
        </m:r>
      </m:oMath>
      <w:r w:rsidR="00FD2D4D" w:rsidRPr="00C147C9">
        <w:rPr>
          <w:szCs w:val="24"/>
        </w:rPr>
        <w:tab/>
      </w:r>
    </w:p>
    <w:p w:rsidR="00E85241" w:rsidRPr="00C147C9" w:rsidRDefault="0067253A" w:rsidP="00C147C9">
      <w:pPr>
        <w:rPr>
          <w:szCs w:val="24"/>
        </w:rPr>
      </w:pPr>
      <w:r>
        <w:rPr>
          <w:szCs w:val="24"/>
        </w:rPr>
        <w:t xml:space="preserve">Tube constant </w:t>
      </w:r>
      <w:r w:rsidR="00B25A72">
        <w:rPr>
          <w:szCs w:val="24"/>
        </w:rPr>
        <w:t>k average=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total of tube constant k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</m:oMath>
      <w:r w:rsidR="00FD2D4D" w:rsidRPr="00C147C9">
        <w:rPr>
          <w:szCs w:val="24"/>
        </w:rPr>
        <w:tab/>
      </w:r>
      <w:r>
        <w:rPr>
          <w:szCs w:val="24"/>
        </w:rPr>
        <w:t>=</w:t>
      </w:r>
      <w:r w:rsidR="006346CA">
        <w:rPr>
          <w:szCs w:val="24"/>
        </w:rPr>
        <w:t xml:space="preserve"> </w:t>
      </w:r>
      <w:r>
        <w:rPr>
          <w:szCs w:val="24"/>
        </w:rPr>
        <w:t>(mm)</w:t>
      </w:r>
    </w:p>
    <w:p w:rsidR="00FD2D4D" w:rsidRPr="00FE0149" w:rsidRDefault="001665B9" w:rsidP="00FD2D4D">
      <w:pPr>
        <w:pStyle w:val="ListParagraph"/>
        <w:ind w:left="1080"/>
        <w:rPr>
          <w:b/>
          <w:szCs w:val="24"/>
        </w:rPr>
      </w:pPr>
      <w:r>
        <w:rPr>
          <w:b/>
          <w:szCs w:val="24"/>
        </w:rPr>
        <w:t>Data # 1: ∆</w:t>
      </w:r>
      <w:proofErr w:type="spellStart"/>
      <w:r>
        <w:rPr>
          <w:b/>
          <w:szCs w:val="24"/>
        </w:rPr>
        <w:t>Va</w:t>
      </w:r>
      <w:proofErr w:type="spellEnd"/>
      <w:r>
        <w:rPr>
          <w:b/>
          <w:szCs w:val="24"/>
        </w:rPr>
        <w:t xml:space="preserve">= </w:t>
      </w:r>
      <w:r w:rsidR="00FD2D4D" w:rsidRPr="00FE0149">
        <w:rPr>
          <w:b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250</m:t>
        </m:r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</w:p>
    <w:p w:rsidR="00FD2D4D" w:rsidRDefault="00FD2D4D" w:rsidP="00FD2D4D">
      <w:pPr>
        <w:pStyle w:val="ListParagraph"/>
        <w:ind w:left="1080"/>
        <w:rPr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∆Va</m:t>
                  </m:r>
                </m:den>
              </m:f>
            </m:oMath>
          </w:p>
        </w:tc>
        <w:tc>
          <w:tcPr>
            <w:tcW w:w="298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</m:oMath>
            <w:r w:rsidR="00895526">
              <w:rPr>
                <w:b/>
                <w:szCs w:val="24"/>
              </w:rPr>
              <w:t>(mm)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15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E3DE2">
              <w:rPr>
                <w:szCs w:val="24"/>
              </w:rPr>
              <w:t>3.3</w:t>
            </w:r>
          </w:p>
        </w:tc>
        <w:tc>
          <w:tcPr>
            <w:tcW w:w="2880" w:type="dxa"/>
          </w:tcPr>
          <w:p w:rsidR="00FD2D4D" w:rsidRDefault="00E149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.0532</m:t>
                </m:r>
              </m:oMath>
            </m:oMathPara>
          </w:p>
        </w:tc>
        <w:tc>
          <w:tcPr>
            <w:tcW w:w="2988" w:type="dxa"/>
          </w:tcPr>
          <w:p w:rsidR="00FD2D4D" w:rsidRDefault="005B2962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281.95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12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  <w:r w:rsidR="00DE3DE2">
              <w:rPr>
                <w:szCs w:val="24"/>
              </w:rPr>
              <w:t>69</w:t>
            </w:r>
          </w:p>
        </w:tc>
        <w:tc>
          <w:tcPr>
            <w:tcW w:w="2880" w:type="dxa"/>
          </w:tcPr>
          <w:p w:rsidR="00FD2D4D" w:rsidRDefault="00ED4A57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.04276</w:t>
            </w:r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280.63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9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  <w:r w:rsidR="00DE3DE2">
              <w:rPr>
                <w:szCs w:val="24"/>
              </w:rPr>
              <w:t>20</w:t>
            </w:r>
          </w:p>
        </w:tc>
        <w:tc>
          <w:tcPr>
            <w:tcW w:w="2880" w:type="dxa"/>
          </w:tcPr>
          <w:p w:rsidR="00FD2D4D" w:rsidRDefault="00E149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.0328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274.4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6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  <w:r w:rsidR="00DE3DE2">
              <w:rPr>
                <w:szCs w:val="24"/>
              </w:rPr>
              <w:t>33</w:t>
            </w:r>
          </w:p>
        </w:tc>
        <w:tc>
          <w:tcPr>
            <w:tcW w:w="2880" w:type="dxa"/>
          </w:tcPr>
          <w:p w:rsidR="00FD2D4D" w:rsidRDefault="00E149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.02132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281.42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3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DE3DE2">
              <w:rPr>
                <w:szCs w:val="24"/>
              </w:rPr>
              <w:t>64</w:t>
            </w:r>
          </w:p>
        </w:tc>
        <w:tc>
          <w:tcPr>
            <w:tcW w:w="2880" w:type="dxa"/>
          </w:tcPr>
          <w:p w:rsidR="00FD2D4D" w:rsidRDefault="00D53673" w:rsidP="00D53673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.01056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284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988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-3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E3DE2">
              <w:rPr>
                <w:szCs w:val="24"/>
              </w:rPr>
              <w:t>2.58</w:t>
            </w:r>
          </w:p>
        </w:tc>
        <w:tc>
          <w:tcPr>
            <w:tcW w:w="2880" w:type="dxa"/>
          </w:tcPr>
          <w:p w:rsidR="00FD2D4D" w:rsidRDefault="00E149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-.01032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290.7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-6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E3DE2">
              <w:rPr>
                <w:szCs w:val="24"/>
              </w:rPr>
              <w:t>5.17</w:t>
            </w:r>
          </w:p>
        </w:tc>
        <w:tc>
          <w:tcPr>
            <w:tcW w:w="2880" w:type="dxa"/>
          </w:tcPr>
          <w:p w:rsidR="00FD2D4D" w:rsidRDefault="008955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-.02068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290.135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-9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E3DE2">
              <w:rPr>
                <w:szCs w:val="24"/>
              </w:rPr>
              <w:t>8.27</w:t>
            </w:r>
          </w:p>
        </w:tc>
        <w:tc>
          <w:tcPr>
            <w:tcW w:w="2880" w:type="dxa"/>
          </w:tcPr>
          <w:p w:rsidR="00FD2D4D" w:rsidRDefault="008955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-.03308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272.06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-12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-10.</w:t>
            </w:r>
            <w:r w:rsidR="00DE3DE2">
              <w:rPr>
                <w:szCs w:val="24"/>
              </w:rPr>
              <w:t>56</w:t>
            </w:r>
          </w:p>
        </w:tc>
        <w:tc>
          <w:tcPr>
            <w:tcW w:w="2880" w:type="dxa"/>
          </w:tcPr>
          <w:p w:rsidR="00FD2D4D" w:rsidRDefault="008955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-.04224</m:t>
                </m:r>
              </m:oMath>
            </m:oMathPara>
          </w:p>
        </w:tc>
        <w:tc>
          <w:tcPr>
            <w:tcW w:w="2988" w:type="dxa"/>
          </w:tcPr>
          <w:p w:rsidR="00FD2D4D" w:rsidRDefault="00EA04E5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284.09</w:t>
            </w:r>
          </w:p>
        </w:tc>
      </w:tr>
      <w:tr w:rsidR="00C147C9" w:rsidTr="00C147C9">
        <w:tc>
          <w:tcPr>
            <w:tcW w:w="1278" w:type="dxa"/>
          </w:tcPr>
          <w:p w:rsidR="00FD2D4D" w:rsidRPr="00C147C9" w:rsidRDefault="00FD2D4D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lastRenderedPageBreak/>
              <w:t>-15</w:t>
            </w:r>
          </w:p>
          <w:p w:rsidR="00C147C9" w:rsidRPr="00C147C9" w:rsidRDefault="00C147C9" w:rsidP="00C147C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FD2D4D" w:rsidRDefault="00FD2D4D" w:rsidP="00C147C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DE3DE2">
              <w:rPr>
                <w:szCs w:val="24"/>
              </w:rPr>
              <w:t>3.15</w:t>
            </w:r>
          </w:p>
        </w:tc>
        <w:tc>
          <w:tcPr>
            <w:tcW w:w="2880" w:type="dxa"/>
          </w:tcPr>
          <w:p w:rsidR="00FD2D4D" w:rsidRPr="004542E2" w:rsidRDefault="00895526" w:rsidP="00C147C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-.0526</m:t>
                </m:r>
              </m:oMath>
            </m:oMathPara>
          </w:p>
          <w:p w:rsidR="004542E2" w:rsidRPr="004542E2" w:rsidRDefault="004542E2" w:rsidP="00C147C9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2988" w:type="dxa"/>
          </w:tcPr>
          <w:p w:rsidR="00FD2D4D" w:rsidRDefault="005B2962" w:rsidP="008955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285.17</w:t>
            </w:r>
          </w:p>
        </w:tc>
      </w:tr>
    </w:tbl>
    <w:p w:rsidR="00FD2D4D" w:rsidRPr="00A856F3" w:rsidRDefault="00FD2D4D" w:rsidP="00BA783B">
      <w:pPr>
        <w:ind w:left="5040"/>
        <w:rPr>
          <w:szCs w:val="24"/>
        </w:rPr>
      </w:pPr>
      <w:r w:rsidRPr="00A856F3">
        <w:rPr>
          <w:szCs w:val="24"/>
        </w:rPr>
        <w:t xml:space="preserve">Total of </w:t>
      </w:r>
      <w:r w:rsidR="00BA783B">
        <w:rPr>
          <w:szCs w:val="24"/>
        </w:rPr>
        <w:t xml:space="preserve">tube </w:t>
      </w:r>
      <w:r w:rsidR="00CE11F1">
        <w:rPr>
          <w:szCs w:val="24"/>
        </w:rPr>
        <w:t>constant k = 2824.555</w:t>
      </w:r>
      <w:r w:rsidR="003B2647">
        <w:rPr>
          <w:szCs w:val="24"/>
        </w:rPr>
        <w:t>mm</w:t>
      </w:r>
    </w:p>
    <w:p w:rsidR="00C147C9" w:rsidRPr="00A856F3" w:rsidRDefault="00BA783B" w:rsidP="00BA783B">
      <w:pPr>
        <w:ind w:left="3600" w:firstLine="720"/>
        <w:rPr>
          <w:szCs w:val="24"/>
        </w:rPr>
      </w:pPr>
      <w:r>
        <w:rPr>
          <w:szCs w:val="24"/>
        </w:rPr>
        <w:t>Tube constant 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2824.55</m:t>
            </m:r>
            <m:r>
              <w:rPr>
                <w:rFonts w:ascii="Cambria Math" w:hAnsi="Cambria Math"/>
                <w:szCs w:val="24"/>
              </w:rPr>
              <m:t>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=256.77</m:t>
        </m:r>
        <m:r>
          <w:rPr>
            <w:rFonts w:ascii="Cambria Math" w:hAnsi="Cambria Math"/>
            <w:szCs w:val="24"/>
          </w:rPr>
          <m:t>mm</m:t>
        </m:r>
      </m:oMath>
    </w:p>
    <w:p w:rsidR="00FE0149" w:rsidRDefault="00FE0149" w:rsidP="00A856F3">
      <w:pPr>
        <w:pStyle w:val="ListParagraph"/>
        <w:ind w:left="1080"/>
        <w:rPr>
          <w:szCs w:val="24"/>
        </w:rPr>
      </w:pPr>
    </w:p>
    <w:p w:rsidR="00C147C9" w:rsidRPr="00FE0149" w:rsidRDefault="00C147C9" w:rsidP="00A856F3">
      <w:pPr>
        <w:pStyle w:val="ListParagraph"/>
        <w:ind w:left="1080"/>
        <w:rPr>
          <w:b/>
          <w:szCs w:val="24"/>
        </w:rPr>
      </w:pPr>
      <w:r w:rsidRPr="00FE0149">
        <w:rPr>
          <w:b/>
          <w:szCs w:val="24"/>
        </w:rPr>
        <w:t>Data # 2: ∆</w:t>
      </w:r>
      <w:proofErr w:type="spellStart"/>
      <w:r w:rsidRPr="00FE0149">
        <w:rPr>
          <w:b/>
          <w:szCs w:val="24"/>
        </w:rPr>
        <w:t>Va</w:t>
      </w:r>
      <w:proofErr w:type="spellEnd"/>
      <w:r w:rsidRPr="00FE0149">
        <w:rPr>
          <w:b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Cs w:val="24"/>
          </w:rPr>
          <m:t>375</m:t>
        </m:r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∆Va</m:t>
                  </m:r>
                </m:den>
              </m:f>
            </m:oMath>
          </w:p>
        </w:tc>
        <w:tc>
          <w:tcPr>
            <w:tcW w:w="298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</m:oMath>
            <w:r w:rsidR="003B2647">
              <w:rPr>
                <w:b/>
                <w:szCs w:val="24"/>
              </w:rPr>
              <w:t>(mm)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15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B569E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20.98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.055</m:t>
                </m:r>
              </m:oMath>
            </m:oMathPara>
          </w:p>
        </w:tc>
        <w:tc>
          <w:tcPr>
            <w:tcW w:w="2988" w:type="dxa"/>
          </w:tcPr>
          <w:p w:rsidR="00C147C9" w:rsidRDefault="00EA04E5" w:rsidP="003B264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272.72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12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B569E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16.81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</m:t>
                </m:r>
                <m:r>
                  <w:rPr>
                    <w:rFonts w:ascii="Cambria Math" w:hAnsi="Cambria Math"/>
                    <w:szCs w:val="24"/>
                  </w:rPr>
                  <m:t>448</m:t>
                </m:r>
              </m:oMath>
            </m:oMathPara>
          </w:p>
        </w:tc>
        <w:tc>
          <w:tcPr>
            <w:tcW w:w="2988" w:type="dxa"/>
          </w:tcPr>
          <w:p w:rsidR="00C147C9" w:rsidRDefault="00CE11F1" w:rsidP="003B264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267.85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9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B569E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19.38</w:t>
            </w:r>
          </w:p>
        </w:tc>
        <w:tc>
          <w:tcPr>
            <w:tcW w:w="2880" w:type="dxa"/>
          </w:tcPr>
          <w:p w:rsidR="00C147C9" w:rsidRDefault="00CE11F1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</m:t>
                </m:r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</w:rPr>
                  <m:t>7</m:t>
                </m:r>
              </m:oMath>
            </m:oMathPara>
          </w:p>
        </w:tc>
        <w:tc>
          <w:tcPr>
            <w:tcW w:w="2988" w:type="dxa"/>
          </w:tcPr>
          <w:p w:rsidR="00C147C9" w:rsidRDefault="00CE11F1" w:rsidP="003B264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174.08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6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B569E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8.87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</m:t>
                </m:r>
                <m:r>
                  <w:rPr>
                    <w:rFonts w:ascii="Cambria Math" w:hAnsi="Cambria Math"/>
                    <w:szCs w:val="24"/>
                  </w:rPr>
                  <m:t>0236</m:t>
                </m:r>
              </m:oMath>
            </m:oMathPara>
          </w:p>
        </w:tc>
        <w:tc>
          <w:tcPr>
            <w:tcW w:w="2988" w:type="dxa"/>
          </w:tcPr>
          <w:p w:rsidR="00C147C9" w:rsidRDefault="00CE11F1" w:rsidP="003B264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254.23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3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B569E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5.02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</m:t>
                </m:r>
                <m:r>
                  <w:rPr>
                    <w:rFonts w:ascii="Cambria Math" w:hAnsi="Cambria Math"/>
                    <w:szCs w:val="24"/>
                  </w:rPr>
                  <m:t>133</m:t>
                </m:r>
              </m:oMath>
            </m:oMathPara>
          </w:p>
        </w:tc>
        <w:tc>
          <w:tcPr>
            <w:tcW w:w="2988" w:type="dxa"/>
          </w:tcPr>
          <w:p w:rsidR="00C147C9" w:rsidRDefault="00CE11F1" w:rsidP="003B2647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225.56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988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-3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B569E9">
              <w:rPr>
                <w:szCs w:val="24"/>
              </w:rPr>
              <w:t>2.96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-.00</m:t>
                </m:r>
                <m:r>
                  <w:rPr>
                    <w:rFonts w:ascii="Cambria Math" w:hAnsi="Cambria Math"/>
                    <w:szCs w:val="24"/>
                  </w:rPr>
                  <m:t>78</m:t>
                </m:r>
              </m:oMath>
            </m:oMathPara>
          </w:p>
        </w:tc>
        <w:tc>
          <w:tcPr>
            <w:tcW w:w="2988" w:type="dxa"/>
          </w:tcPr>
          <w:p w:rsidR="00C147C9" w:rsidRDefault="00CE11F1" w:rsidP="00814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384.61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-6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B569E9">
              <w:rPr>
                <w:szCs w:val="24"/>
              </w:rPr>
              <w:t>7.15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-.01</m:t>
                </m:r>
                <m:r>
                  <w:rPr>
                    <w:rFonts w:ascii="Cambria Math" w:hAnsi="Cambria Math"/>
                    <w:szCs w:val="24"/>
                  </w:rPr>
                  <m:t>9</m:t>
                </m:r>
              </m:oMath>
            </m:oMathPara>
          </w:p>
        </w:tc>
        <w:tc>
          <w:tcPr>
            <w:tcW w:w="2988" w:type="dxa"/>
          </w:tcPr>
          <w:p w:rsidR="00C147C9" w:rsidRDefault="00BC4D46" w:rsidP="00814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CE11F1">
              <w:rPr>
                <w:szCs w:val="24"/>
              </w:rPr>
              <w:t>15.78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-9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EA04E5">
              <w:rPr>
                <w:szCs w:val="24"/>
              </w:rPr>
              <w:t>10.65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-.0284</m:t>
                </m:r>
              </m:oMath>
            </m:oMathPara>
          </w:p>
        </w:tc>
        <w:tc>
          <w:tcPr>
            <w:tcW w:w="2988" w:type="dxa"/>
          </w:tcPr>
          <w:p w:rsidR="00C147C9" w:rsidRDefault="00BC4D46" w:rsidP="00814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814426">
              <w:rPr>
                <w:szCs w:val="24"/>
              </w:rPr>
              <w:t>16.90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-12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-14.18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-.03</m:t>
                </m:r>
                <m:r>
                  <w:rPr>
                    <w:rFonts w:ascii="Cambria Math" w:hAnsi="Cambria Math"/>
                    <w:szCs w:val="24"/>
                  </w:rPr>
                  <m:t>78</m:t>
                </m:r>
              </m:oMath>
            </m:oMathPara>
          </w:p>
        </w:tc>
        <w:tc>
          <w:tcPr>
            <w:tcW w:w="2988" w:type="dxa"/>
          </w:tcPr>
          <w:p w:rsidR="00C147C9" w:rsidRDefault="00BC4D46" w:rsidP="00814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CE11F1">
              <w:rPr>
                <w:szCs w:val="24"/>
              </w:rPr>
              <w:t>1</w:t>
            </w:r>
            <w:r w:rsidR="00814426">
              <w:rPr>
                <w:szCs w:val="24"/>
              </w:rPr>
              <w:t>7.</w:t>
            </w:r>
            <w:r w:rsidR="00CE11F1">
              <w:rPr>
                <w:szCs w:val="24"/>
              </w:rPr>
              <w:t>46</w:t>
            </w:r>
          </w:p>
        </w:tc>
      </w:tr>
      <w:tr w:rsidR="00C147C9" w:rsidTr="00044CFD">
        <w:tc>
          <w:tcPr>
            <w:tcW w:w="1278" w:type="dxa"/>
          </w:tcPr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-15</w:t>
            </w:r>
          </w:p>
          <w:p w:rsidR="00C147C9" w:rsidRPr="00C147C9" w:rsidRDefault="00C147C9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C147C9" w:rsidRDefault="00C147C9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-17.96</w:t>
            </w:r>
          </w:p>
        </w:tc>
        <w:tc>
          <w:tcPr>
            <w:tcW w:w="2880" w:type="dxa"/>
          </w:tcPr>
          <w:p w:rsidR="00C147C9" w:rsidRDefault="003B2647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-.04</m:t>
                </m:r>
                <m:r>
                  <w:rPr>
                    <w:rFonts w:ascii="Cambria Math" w:hAnsi="Cambria Math"/>
                    <w:szCs w:val="24"/>
                  </w:rPr>
                  <m:t>78</m:t>
                </m:r>
              </m:oMath>
            </m:oMathPara>
          </w:p>
        </w:tc>
        <w:tc>
          <w:tcPr>
            <w:tcW w:w="2988" w:type="dxa"/>
          </w:tcPr>
          <w:p w:rsidR="00C147C9" w:rsidRDefault="00BC4D46" w:rsidP="00814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CE11F1">
              <w:rPr>
                <w:szCs w:val="24"/>
              </w:rPr>
              <w:t>1</w:t>
            </w:r>
            <w:r w:rsidR="00814426">
              <w:rPr>
                <w:szCs w:val="24"/>
              </w:rPr>
              <w:t>3.</w:t>
            </w:r>
            <w:r w:rsidR="00CE11F1">
              <w:rPr>
                <w:szCs w:val="24"/>
              </w:rPr>
              <w:t>8</w:t>
            </w:r>
          </w:p>
        </w:tc>
      </w:tr>
    </w:tbl>
    <w:p w:rsidR="00C147C9" w:rsidRPr="00814426" w:rsidRDefault="00C147C9" w:rsidP="00BA783B">
      <w:pPr>
        <w:ind w:left="4320" w:firstLine="720"/>
        <w:rPr>
          <w:szCs w:val="24"/>
        </w:rPr>
      </w:pPr>
      <w:r w:rsidRPr="00814426">
        <w:rPr>
          <w:szCs w:val="24"/>
        </w:rPr>
        <w:t xml:space="preserve">Total </w:t>
      </w:r>
      <w:r w:rsidR="00BC4D46" w:rsidRPr="00814426">
        <w:rPr>
          <w:szCs w:val="24"/>
        </w:rPr>
        <w:t xml:space="preserve">of </w:t>
      </w:r>
      <w:r w:rsidR="00BA783B">
        <w:rPr>
          <w:szCs w:val="24"/>
        </w:rPr>
        <w:t xml:space="preserve">tube </w:t>
      </w:r>
      <w:r w:rsidR="00CE11F1">
        <w:rPr>
          <w:szCs w:val="24"/>
        </w:rPr>
        <w:t>constant k = 2842.9</w:t>
      </w:r>
      <w:r w:rsidR="00814426">
        <w:rPr>
          <w:szCs w:val="24"/>
        </w:rPr>
        <w:t>mm</w:t>
      </w:r>
    </w:p>
    <w:p w:rsidR="00FE0149" w:rsidRPr="00BA783B" w:rsidRDefault="00BA783B" w:rsidP="00BA783B">
      <w:pPr>
        <w:ind w:left="4320"/>
        <w:rPr>
          <w:szCs w:val="24"/>
        </w:rPr>
      </w:pPr>
      <w:r w:rsidRPr="00BA783B">
        <w:rPr>
          <w:szCs w:val="24"/>
        </w:rPr>
        <w:t>Tube</w:t>
      </w:r>
      <w:r>
        <w:rPr>
          <w:szCs w:val="24"/>
        </w:rPr>
        <w:t xml:space="preserve"> constant </w:t>
      </w:r>
      <w:r w:rsidR="00814426" w:rsidRPr="00BA783B">
        <w:rPr>
          <w:szCs w:val="24"/>
        </w:rPr>
        <w:t>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2842.9</m:t>
            </m:r>
            <m:r>
              <w:rPr>
                <w:rFonts w:ascii="Cambria Math" w:hAnsi="Cambria Math"/>
                <w:szCs w:val="24"/>
              </w:rPr>
              <m:t>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=258.4</m:t>
        </m:r>
        <m:r>
          <w:rPr>
            <w:rFonts w:ascii="Cambria Math" w:hAnsi="Cambria Math"/>
            <w:szCs w:val="24"/>
          </w:rPr>
          <m:t>5mm</m:t>
        </m:r>
      </m:oMath>
    </w:p>
    <w:p w:rsidR="00BC4D46" w:rsidRPr="00FE0149" w:rsidRDefault="00B25A72" w:rsidP="00A856F3">
      <w:pPr>
        <w:rPr>
          <w:b/>
          <w:szCs w:val="24"/>
        </w:rPr>
      </w:pPr>
      <w:r>
        <w:rPr>
          <w:b/>
          <w:szCs w:val="24"/>
        </w:rPr>
        <w:t>Data # 3</w:t>
      </w:r>
      <w:r w:rsidR="00BC4D46" w:rsidRPr="00FE0149">
        <w:rPr>
          <w:b/>
          <w:szCs w:val="24"/>
        </w:rPr>
        <w:t>: ∆</w:t>
      </w:r>
      <w:proofErr w:type="spellStart"/>
      <w:r w:rsidR="00BC4D46" w:rsidRPr="00FE0149">
        <w:rPr>
          <w:b/>
          <w:szCs w:val="24"/>
        </w:rPr>
        <w:t>Va</w:t>
      </w:r>
      <w:proofErr w:type="spellEnd"/>
      <w:r w:rsidR="00BC4D46" w:rsidRPr="00FE0149">
        <w:rPr>
          <w:b/>
          <w:szCs w:val="24"/>
        </w:rPr>
        <w:t>=</w:t>
      </w:r>
      <w:r>
        <w:rPr>
          <w:b/>
          <w:szCs w:val="24"/>
        </w:rPr>
        <w:t xml:space="preserve"> </w:t>
      </w:r>
      <w:r w:rsidR="00BB78BE">
        <w:rPr>
          <w:b/>
          <w:szCs w:val="24"/>
        </w:rPr>
        <w:t>500</w:t>
      </w:r>
      <w:r w:rsidR="00307ABD">
        <w:rPr>
          <w:b/>
          <w:szCs w:val="24"/>
        </w:rPr>
        <w:t>V</w:t>
      </w:r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∆Va</m:t>
                  </m:r>
                </m:den>
              </m:f>
            </m:oMath>
          </w:p>
        </w:tc>
        <w:tc>
          <w:tcPr>
            <w:tcW w:w="298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</m:oMath>
            <w:r w:rsidR="00BA783B">
              <w:rPr>
                <w:b/>
                <w:szCs w:val="24"/>
              </w:rPr>
              <w:t>(mm)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15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B78BE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28.01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</m:t>
                </m:r>
                <m:r>
                  <w:rPr>
                    <w:rFonts w:ascii="Cambria Math" w:hAnsi="Cambria Math"/>
                    <w:szCs w:val="24"/>
                  </w:rPr>
                  <m:t>6</m:t>
                </m:r>
              </m:oMath>
            </m:oMathPara>
          </w:p>
        </w:tc>
        <w:tc>
          <w:tcPr>
            <w:tcW w:w="2988" w:type="dxa"/>
          </w:tcPr>
          <w:p w:rsidR="00BC4D46" w:rsidRDefault="00BC4D46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63E94">
              <w:rPr>
                <w:szCs w:val="24"/>
              </w:rPr>
              <w:t>67.85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12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78BE">
              <w:rPr>
                <w:szCs w:val="24"/>
              </w:rPr>
              <w:t>3.35</w:t>
            </w:r>
          </w:p>
        </w:tc>
        <w:tc>
          <w:tcPr>
            <w:tcW w:w="2880" w:type="dxa"/>
          </w:tcPr>
          <w:p w:rsidR="00BC4D46" w:rsidRDefault="00BA783B" w:rsidP="00BC4D46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.04</m:t>
                </m:r>
                <m:r>
                  <w:rPr>
                    <w:rFonts w:ascii="Cambria Math" w:hAnsi="Cambria Math"/>
                    <w:szCs w:val="24"/>
                  </w:rPr>
                  <m:t>67</m:t>
                </m:r>
              </m:oMath>
            </m:oMathPara>
          </w:p>
        </w:tc>
        <w:tc>
          <w:tcPr>
            <w:tcW w:w="2988" w:type="dxa"/>
          </w:tcPr>
          <w:p w:rsidR="00BC4D46" w:rsidRDefault="00BC4D46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63E94">
              <w:rPr>
                <w:szCs w:val="24"/>
              </w:rPr>
              <w:t>56.95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9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B78BE">
              <w:rPr>
                <w:szCs w:val="24"/>
              </w:rPr>
              <w:t>7.71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.03</m:t>
                </m:r>
                <m:r>
                  <w:rPr>
                    <w:rFonts w:ascii="Cambria Math" w:hAnsi="Cambria Math"/>
                    <w:szCs w:val="24"/>
                  </w:rPr>
                  <m:t>5</m:t>
                </m:r>
              </m:oMath>
            </m:oMathPara>
          </w:p>
        </w:tc>
        <w:tc>
          <w:tcPr>
            <w:tcW w:w="2988" w:type="dxa"/>
          </w:tcPr>
          <w:p w:rsidR="00BC4D46" w:rsidRDefault="00BC4D46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63E94">
              <w:rPr>
                <w:szCs w:val="24"/>
              </w:rPr>
              <w:t>57.14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6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12.</w:t>
            </w:r>
            <w:r w:rsidR="00ED4A57">
              <w:rPr>
                <w:szCs w:val="24"/>
              </w:rPr>
              <w:t>76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.02</m:t>
                </m:r>
                <m:r>
                  <w:rPr>
                    <w:rFonts w:ascii="Cambria Math" w:hAnsi="Cambria Math"/>
                    <w:szCs w:val="24"/>
                  </w:rPr>
                  <m:t>55</m:t>
                </m:r>
              </m:oMath>
            </m:oMathPara>
          </w:p>
        </w:tc>
        <w:tc>
          <w:tcPr>
            <w:tcW w:w="2988" w:type="dxa"/>
          </w:tcPr>
          <w:p w:rsidR="00BC4D46" w:rsidRDefault="004200DF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63E94">
              <w:rPr>
                <w:szCs w:val="24"/>
              </w:rPr>
              <w:t>35.29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lastRenderedPageBreak/>
              <w:t>3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  <w:r w:rsidR="00ED4A57">
              <w:rPr>
                <w:szCs w:val="24"/>
              </w:rPr>
              <w:t>45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.01</m:t>
                </m:r>
                <m:r>
                  <w:rPr>
                    <w:rFonts w:ascii="Cambria Math" w:hAnsi="Cambria Math"/>
                    <w:szCs w:val="24"/>
                  </w:rPr>
                  <m:t>49</m:t>
                </m:r>
              </m:oMath>
            </m:oMathPara>
          </w:p>
        </w:tc>
        <w:tc>
          <w:tcPr>
            <w:tcW w:w="2988" w:type="dxa"/>
          </w:tcPr>
          <w:p w:rsidR="00BC4D46" w:rsidRDefault="004200DF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63E94">
              <w:rPr>
                <w:szCs w:val="24"/>
              </w:rPr>
              <w:t>01.34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988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-3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-3.</w:t>
            </w:r>
            <w:r w:rsidR="00ED4A57">
              <w:rPr>
                <w:szCs w:val="24"/>
              </w:rPr>
              <w:t>34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-.00</m:t>
                </m:r>
                <m:r>
                  <w:rPr>
                    <w:rFonts w:ascii="Cambria Math" w:hAnsi="Cambria Math"/>
                    <w:szCs w:val="24"/>
                  </w:rPr>
                  <m:t>668</m:t>
                </m:r>
              </m:oMath>
            </m:oMathPara>
          </w:p>
        </w:tc>
        <w:tc>
          <w:tcPr>
            <w:tcW w:w="2988" w:type="dxa"/>
          </w:tcPr>
          <w:p w:rsidR="00BC4D46" w:rsidRDefault="00BA783B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363E94">
              <w:rPr>
                <w:szCs w:val="24"/>
              </w:rPr>
              <w:t>49.1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-6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-8.</w:t>
            </w:r>
            <w:r w:rsidR="00ED4A57">
              <w:rPr>
                <w:szCs w:val="24"/>
              </w:rPr>
              <w:t>44</w:t>
            </w:r>
          </w:p>
        </w:tc>
        <w:tc>
          <w:tcPr>
            <w:tcW w:w="2880" w:type="dxa"/>
          </w:tcPr>
          <w:p w:rsidR="00BC4D46" w:rsidRDefault="00BA783B" w:rsidP="00BA783B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</m:t>
                </m:r>
                <m:r>
                  <w:rPr>
                    <w:rFonts w:ascii="Cambria Math" w:hAnsi="Cambria Math"/>
                    <w:szCs w:val="24"/>
                  </w:rPr>
                  <m:t>1688</m:t>
                </m:r>
              </m:oMath>
            </m:oMathPara>
          </w:p>
        </w:tc>
        <w:tc>
          <w:tcPr>
            <w:tcW w:w="2988" w:type="dxa"/>
          </w:tcPr>
          <w:p w:rsidR="00BC4D46" w:rsidRDefault="00C90ADA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363E94">
              <w:rPr>
                <w:szCs w:val="24"/>
              </w:rPr>
              <w:t>55.45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-9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ED4A57">
              <w:rPr>
                <w:szCs w:val="24"/>
              </w:rPr>
              <w:t>3.92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</m:t>
                </m:r>
                <m:r>
                  <w:rPr>
                    <w:rFonts w:ascii="Cambria Math" w:hAnsi="Cambria Math"/>
                    <w:szCs w:val="24"/>
                  </w:rPr>
                  <m:t>78</m:t>
                </m:r>
              </m:oMath>
            </m:oMathPara>
          </w:p>
        </w:tc>
        <w:tc>
          <w:tcPr>
            <w:tcW w:w="2988" w:type="dxa"/>
          </w:tcPr>
          <w:p w:rsidR="00BC4D46" w:rsidRDefault="00C90ADA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363E94">
              <w:rPr>
                <w:szCs w:val="24"/>
              </w:rPr>
              <w:t>23.74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-12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ED4A57">
              <w:rPr>
                <w:szCs w:val="24"/>
              </w:rPr>
              <w:t>20.37</w:t>
            </w:r>
          </w:p>
        </w:tc>
        <w:tc>
          <w:tcPr>
            <w:tcW w:w="2880" w:type="dxa"/>
          </w:tcPr>
          <w:p w:rsidR="00BC4D46" w:rsidRDefault="00BA783B" w:rsidP="00BA783B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</m:t>
                </m:r>
                <m:r>
                  <w:rPr>
                    <w:rFonts w:ascii="Cambria Math" w:hAnsi="Cambria Math"/>
                    <w:szCs w:val="24"/>
                  </w:rPr>
                  <m:t>4074</m:t>
                </m:r>
              </m:oMath>
            </m:oMathPara>
          </w:p>
        </w:tc>
        <w:tc>
          <w:tcPr>
            <w:tcW w:w="2988" w:type="dxa"/>
          </w:tcPr>
          <w:p w:rsidR="00BC4D46" w:rsidRDefault="00363E94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294.55</w:t>
            </w:r>
          </w:p>
        </w:tc>
      </w:tr>
      <w:tr w:rsidR="00BC4D46" w:rsidTr="00044CFD">
        <w:tc>
          <w:tcPr>
            <w:tcW w:w="1278" w:type="dxa"/>
          </w:tcPr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-15</w:t>
            </w:r>
          </w:p>
          <w:p w:rsidR="00BC4D46" w:rsidRPr="00C147C9" w:rsidRDefault="00BC4D46" w:rsidP="00044CFD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BC4D46" w:rsidRDefault="00BC4D46" w:rsidP="00044CFD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-2</w:t>
            </w:r>
            <w:r w:rsidR="00ED4A57">
              <w:rPr>
                <w:szCs w:val="24"/>
              </w:rPr>
              <w:t>4.51</w:t>
            </w:r>
          </w:p>
        </w:tc>
        <w:tc>
          <w:tcPr>
            <w:tcW w:w="2880" w:type="dxa"/>
          </w:tcPr>
          <w:p w:rsidR="00BC4D46" w:rsidRDefault="00BA783B" w:rsidP="00044CFD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-.04</m:t>
                </m:r>
                <m:r>
                  <w:rPr>
                    <w:rFonts w:ascii="Cambria Math" w:hAnsi="Cambria Math"/>
                    <w:szCs w:val="24"/>
                  </w:rPr>
                  <m:t>9</m:t>
                </m:r>
              </m:oMath>
            </m:oMathPara>
          </w:p>
        </w:tc>
        <w:tc>
          <w:tcPr>
            <w:tcW w:w="2988" w:type="dxa"/>
          </w:tcPr>
          <w:p w:rsidR="00BC4D46" w:rsidRDefault="00363E94" w:rsidP="00BA783B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306.122</w:t>
            </w:r>
          </w:p>
        </w:tc>
      </w:tr>
    </w:tbl>
    <w:p w:rsidR="00BC4D46" w:rsidRPr="00A856F3" w:rsidRDefault="00BA783B" w:rsidP="00BA783B">
      <w:pPr>
        <w:ind w:left="3600" w:firstLine="720"/>
        <w:rPr>
          <w:szCs w:val="24"/>
        </w:rPr>
      </w:pPr>
      <w:r>
        <w:rPr>
          <w:szCs w:val="24"/>
        </w:rPr>
        <w:t>T</w:t>
      </w:r>
      <w:r w:rsidR="00BC4D46" w:rsidRPr="00A856F3">
        <w:rPr>
          <w:szCs w:val="24"/>
        </w:rPr>
        <w:t xml:space="preserve">otal of </w:t>
      </w:r>
      <w:r w:rsidR="00363E94">
        <w:rPr>
          <w:szCs w:val="24"/>
        </w:rPr>
        <w:t>tube constant k = 247.532</w:t>
      </w:r>
      <w:r>
        <w:rPr>
          <w:szCs w:val="24"/>
        </w:rPr>
        <w:t>mm</w:t>
      </w:r>
    </w:p>
    <w:p w:rsidR="00BC4D46" w:rsidRPr="00BA783B" w:rsidRDefault="00BA783B" w:rsidP="00BA783B">
      <w:pPr>
        <w:ind w:left="4320"/>
        <w:rPr>
          <w:szCs w:val="24"/>
        </w:rPr>
      </w:pPr>
      <w:r w:rsidRPr="00BA783B">
        <w:rPr>
          <w:szCs w:val="24"/>
        </w:rPr>
        <w:t>Tube constant 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247.532</m:t>
            </m:r>
            <m:r>
              <w:rPr>
                <w:rFonts w:ascii="Cambria Math" w:hAnsi="Cambria Math"/>
                <w:szCs w:val="24"/>
              </w:rPr>
              <m:t>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=257.85</m:t>
        </m:r>
        <m:r>
          <w:rPr>
            <w:rFonts w:ascii="Cambria Math" w:hAnsi="Cambria Math"/>
            <w:szCs w:val="24"/>
          </w:rPr>
          <m:t>mm</m:t>
        </m:r>
      </m:oMath>
    </w:p>
    <w:p w:rsidR="00C147C9" w:rsidRPr="00307ABD" w:rsidRDefault="00A856F3" w:rsidP="00A856F3">
      <w:pPr>
        <w:pStyle w:val="ListParagraph"/>
        <w:numPr>
          <w:ilvl w:val="0"/>
          <w:numId w:val="1"/>
        </w:numPr>
        <w:rPr>
          <w:b/>
          <w:szCs w:val="24"/>
        </w:rPr>
      </w:pPr>
      <w:r w:rsidRPr="00307ABD">
        <w:rPr>
          <w:b/>
          <w:szCs w:val="24"/>
        </w:rPr>
        <w:t>Conclusion:</w:t>
      </w:r>
      <w:r w:rsidR="00C147C9" w:rsidRPr="00307ABD">
        <w:rPr>
          <w:b/>
          <w:szCs w:val="24"/>
        </w:rPr>
        <w:t xml:space="preserve"> </w:t>
      </w:r>
    </w:p>
    <w:p w:rsidR="00C147C9" w:rsidRPr="00571F22" w:rsidRDefault="00311E1C" w:rsidP="00926B16">
      <w:pPr>
        <w:ind w:left="720"/>
        <w:rPr>
          <w:szCs w:val="24"/>
        </w:rPr>
      </w:pPr>
      <w:r>
        <w:rPr>
          <w:szCs w:val="24"/>
        </w:rPr>
        <w:t xml:space="preserve"> Observing on the lab, we can see</w:t>
      </w:r>
      <w:r w:rsidR="00307ABD">
        <w:rPr>
          <w:szCs w:val="24"/>
        </w:rPr>
        <w:t xml:space="preserve"> the effect of an electric field on the moment and deflection of electron.</w:t>
      </w:r>
      <w:r w:rsidR="002A2645">
        <w:rPr>
          <w:szCs w:val="24"/>
        </w:rPr>
        <w:t xml:space="preserve"> </w:t>
      </w:r>
      <w:r w:rsidR="006346CA">
        <w:rPr>
          <w:szCs w:val="24"/>
        </w:rPr>
        <w:t>On the data, it shows t</w:t>
      </w:r>
      <w:r w:rsidR="00307ABD">
        <w:rPr>
          <w:szCs w:val="24"/>
        </w:rPr>
        <w:t>he accelerate voltage</w:t>
      </w:r>
      <w:r>
        <w:rPr>
          <w:szCs w:val="24"/>
        </w:rPr>
        <w:t xml:space="preserve"> relationship with the voltage of the deflection: deflected voltage is increasing and the deflection of electron is increasing too. Finally, the stronger electric field is a more active electron.</w:t>
      </w:r>
    </w:p>
    <w:sectPr w:rsidR="00C147C9" w:rsidRPr="00571F22" w:rsidSect="006D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DCB" w:rsidRDefault="00A14DCB" w:rsidP="00951644">
      <w:pPr>
        <w:spacing w:after="0" w:line="240" w:lineRule="auto"/>
      </w:pPr>
      <w:r>
        <w:separator/>
      </w:r>
    </w:p>
  </w:endnote>
  <w:endnote w:type="continuationSeparator" w:id="0">
    <w:p w:rsidR="00A14DCB" w:rsidRDefault="00A14DCB" w:rsidP="0095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DCB" w:rsidRDefault="00A14DCB" w:rsidP="00951644">
      <w:pPr>
        <w:spacing w:after="0" w:line="240" w:lineRule="auto"/>
      </w:pPr>
      <w:r>
        <w:separator/>
      </w:r>
    </w:p>
  </w:footnote>
  <w:footnote w:type="continuationSeparator" w:id="0">
    <w:p w:rsidR="00A14DCB" w:rsidRDefault="00A14DCB" w:rsidP="00951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3941"/>
    <w:multiLevelType w:val="hybridMultilevel"/>
    <w:tmpl w:val="8BC8048A"/>
    <w:lvl w:ilvl="0" w:tplc="4288F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F03F1"/>
    <w:multiLevelType w:val="hybridMultilevel"/>
    <w:tmpl w:val="ACCA4EDE"/>
    <w:lvl w:ilvl="0" w:tplc="D076D34C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20EED"/>
    <w:multiLevelType w:val="hybridMultilevel"/>
    <w:tmpl w:val="2EAE3756"/>
    <w:lvl w:ilvl="0" w:tplc="F3467E34">
      <w:start w:val="8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6F0D"/>
    <w:rsid w:val="00044CFD"/>
    <w:rsid w:val="00095490"/>
    <w:rsid w:val="000C69CF"/>
    <w:rsid w:val="000D5CBD"/>
    <w:rsid w:val="00153B7D"/>
    <w:rsid w:val="001665B9"/>
    <w:rsid w:val="001F63C7"/>
    <w:rsid w:val="002008E0"/>
    <w:rsid w:val="00263A76"/>
    <w:rsid w:val="002A2645"/>
    <w:rsid w:val="00307ABD"/>
    <w:rsid w:val="00311E1C"/>
    <w:rsid w:val="00322CD8"/>
    <w:rsid w:val="00363E94"/>
    <w:rsid w:val="003742CF"/>
    <w:rsid w:val="003879DC"/>
    <w:rsid w:val="003A7809"/>
    <w:rsid w:val="003B2647"/>
    <w:rsid w:val="003E0830"/>
    <w:rsid w:val="003F6E68"/>
    <w:rsid w:val="004200DF"/>
    <w:rsid w:val="004462D7"/>
    <w:rsid w:val="004542E2"/>
    <w:rsid w:val="004A0F44"/>
    <w:rsid w:val="004D47DB"/>
    <w:rsid w:val="004F1DAE"/>
    <w:rsid w:val="00533E07"/>
    <w:rsid w:val="00552294"/>
    <w:rsid w:val="00571F22"/>
    <w:rsid w:val="0058113A"/>
    <w:rsid w:val="00587121"/>
    <w:rsid w:val="005B2962"/>
    <w:rsid w:val="005D3E5C"/>
    <w:rsid w:val="005D6A34"/>
    <w:rsid w:val="006207BD"/>
    <w:rsid w:val="0062466E"/>
    <w:rsid w:val="006346CA"/>
    <w:rsid w:val="0067253A"/>
    <w:rsid w:val="006A7BF8"/>
    <w:rsid w:val="006C5456"/>
    <w:rsid w:val="006D6DE8"/>
    <w:rsid w:val="00723673"/>
    <w:rsid w:val="007330B7"/>
    <w:rsid w:val="00746314"/>
    <w:rsid w:val="00750D8F"/>
    <w:rsid w:val="0077048E"/>
    <w:rsid w:val="007A5CBB"/>
    <w:rsid w:val="007D09FE"/>
    <w:rsid w:val="00806BDA"/>
    <w:rsid w:val="00814426"/>
    <w:rsid w:val="00832C45"/>
    <w:rsid w:val="0084671B"/>
    <w:rsid w:val="00855016"/>
    <w:rsid w:val="00895526"/>
    <w:rsid w:val="00911A22"/>
    <w:rsid w:val="00926B16"/>
    <w:rsid w:val="00942B77"/>
    <w:rsid w:val="00951644"/>
    <w:rsid w:val="00960149"/>
    <w:rsid w:val="00971CA0"/>
    <w:rsid w:val="009D4610"/>
    <w:rsid w:val="009D6F0D"/>
    <w:rsid w:val="009E5197"/>
    <w:rsid w:val="009F6200"/>
    <w:rsid w:val="00A0434D"/>
    <w:rsid w:val="00A14DCB"/>
    <w:rsid w:val="00A43462"/>
    <w:rsid w:val="00A856F3"/>
    <w:rsid w:val="00AA4109"/>
    <w:rsid w:val="00B14A24"/>
    <w:rsid w:val="00B25A72"/>
    <w:rsid w:val="00B569E9"/>
    <w:rsid w:val="00BA783B"/>
    <w:rsid w:val="00BB29E0"/>
    <w:rsid w:val="00BB78BE"/>
    <w:rsid w:val="00BC4D46"/>
    <w:rsid w:val="00C147C9"/>
    <w:rsid w:val="00C24D7F"/>
    <w:rsid w:val="00C26872"/>
    <w:rsid w:val="00C9045E"/>
    <w:rsid w:val="00C90ADA"/>
    <w:rsid w:val="00CE09A0"/>
    <w:rsid w:val="00CE11F1"/>
    <w:rsid w:val="00CE1C00"/>
    <w:rsid w:val="00D53673"/>
    <w:rsid w:val="00D64DC9"/>
    <w:rsid w:val="00DE3DE2"/>
    <w:rsid w:val="00E14926"/>
    <w:rsid w:val="00E61620"/>
    <w:rsid w:val="00E85241"/>
    <w:rsid w:val="00EA04E5"/>
    <w:rsid w:val="00EA7F3F"/>
    <w:rsid w:val="00ED4A57"/>
    <w:rsid w:val="00FD2D4D"/>
    <w:rsid w:val="00FE0149"/>
    <w:rsid w:val="00FF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2D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51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644"/>
  </w:style>
  <w:style w:type="paragraph" w:styleId="Footer">
    <w:name w:val="footer"/>
    <w:basedOn w:val="Normal"/>
    <w:link w:val="Foot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644"/>
  </w:style>
  <w:style w:type="paragraph" w:styleId="ListParagraph">
    <w:name w:val="List Paragraph"/>
    <w:basedOn w:val="Normal"/>
    <w:uiPriority w:val="34"/>
    <w:qFormat/>
    <w:rsid w:val="00A043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241"/>
    <w:rPr>
      <w:color w:val="808080"/>
    </w:rPr>
  </w:style>
  <w:style w:type="table" w:styleId="TableGrid">
    <w:name w:val="Table Grid"/>
    <w:basedOn w:val="TableNormal"/>
    <w:uiPriority w:val="59"/>
    <w:rsid w:val="00E852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Tri Nguyen</cp:lastModifiedBy>
  <cp:revision>2</cp:revision>
  <cp:lastPrinted>2009-11-04T18:03:00Z</cp:lastPrinted>
  <dcterms:created xsi:type="dcterms:W3CDTF">2010-03-02T18:56:00Z</dcterms:created>
  <dcterms:modified xsi:type="dcterms:W3CDTF">2010-03-02T18:56:00Z</dcterms:modified>
</cp:coreProperties>
</file>