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C7" w:rsidRDefault="00F83EE9" w:rsidP="006B2FC7">
      <w:pPr>
        <w:rPr>
          <w:szCs w:val="24"/>
        </w:rPr>
      </w:pPr>
      <w:r>
        <w:rPr>
          <w:szCs w:val="24"/>
        </w:rPr>
        <w:t>November 4</w:t>
      </w:r>
      <w:r w:rsidR="006B2FC7">
        <w:rPr>
          <w:szCs w:val="24"/>
        </w:rPr>
        <w:t>, 2009</w:t>
      </w:r>
    </w:p>
    <w:p w:rsidR="006B2FC7" w:rsidRDefault="006B2FC7" w:rsidP="006B2FC7">
      <w:pPr>
        <w:ind w:left="5040" w:firstLine="720"/>
        <w:rPr>
          <w:szCs w:val="24"/>
        </w:rPr>
      </w:pPr>
      <w:r>
        <w:rPr>
          <w:szCs w:val="24"/>
        </w:rPr>
        <w:t xml:space="preserve">Name: </w:t>
      </w:r>
      <w:r>
        <w:rPr>
          <w:szCs w:val="24"/>
        </w:rPr>
        <w:tab/>
        <w:t xml:space="preserve">  </w:t>
      </w:r>
      <w:r>
        <w:rPr>
          <w:szCs w:val="24"/>
        </w:rPr>
        <w:tab/>
      </w:r>
      <w:proofErr w:type="spellStart"/>
      <w:r>
        <w:rPr>
          <w:szCs w:val="24"/>
        </w:rPr>
        <w:t>Thanh</w:t>
      </w:r>
      <w:proofErr w:type="spellEnd"/>
      <w:r>
        <w:rPr>
          <w:szCs w:val="24"/>
        </w:rPr>
        <w:t xml:space="preserve"> Nguyen</w:t>
      </w:r>
    </w:p>
    <w:p w:rsidR="006B2FC7" w:rsidRDefault="006B2FC7" w:rsidP="006B2FC7">
      <w:pPr>
        <w:ind w:left="5760"/>
        <w:rPr>
          <w:szCs w:val="24"/>
        </w:rPr>
      </w:pPr>
      <w:r>
        <w:rPr>
          <w:szCs w:val="24"/>
        </w:rPr>
        <w:t xml:space="preserve">Lab Partners:     </w:t>
      </w:r>
      <w:proofErr w:type="spellStart"/>
      <w:r>
        <w:rPr>
          <w:szCs w:val="24"/>
        </w:rPr>
        <w:t>Giana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Piettrafesa</w:t>
      </w:r>
      <w:proofErr w:type="spellEnd"/>
    </w:p>
    <w:p w:rsidR="006B2FC7" w:rsidRDefault="006B2FC7" w:rsidP="006B2F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Nikitapatel</w:t>
      </w:r>
      <w:proofErr w:type="spellEnd"/>
    </w:p>
    <w:p w:rsidR="006B2FC7" w:rsidRDefault="006B2FC7" w:rsidP="006B2F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Esi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Ejembi</w:t>
      </w:r>
      <w:proofErr w:type="spellEnd"/>
      <w:r>
        <w:rPr>
          <w:szCs w:val="24"/>
        </w:rPr>
        <w:tab/>
      </w:r>
    </w:p>
    <w:p w:rsidR="006B2FC7" w:rsidRDefault="006B2FC7" w:rsidP="006B2FC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John Virtue</w:t>
      </w:r>
    </w:p>
    <w:p w:rsidR="006B2FC7" w:rsidRDefault="006B2FC7" w:rsidP="006B2FC7">
      <w:pPr>
        <w:tabs>
          <w:tab w:val="left" w:pos="1605"/>
        </w:tabs>
        <w:jc w:val="center"/>
        <w:rPr>
          <w:sz w:val="36"/>
          <w:szCs w:val="36"/>
        </w:rPr>
      </w:pPr>
    </w:p>
    <w:p w:rsidR="006B2FC7" w:rsidRDefault="006B2FC7" w:rsidP="006B2FC7">
      <w:pPr>
        <w:tabs>
          <w:tab w:val="left" w:pos="1605"/>
        </w:tabs>
        <w:jc w:val="center"/>
        <w:rPr>
          <w:sz w:val="36"/>
          <w:szCs w:val="36"/>
        </w:rPr>
      </w:pPr>
    </w:p>
    <w:p w:rsidR="006B2FC7" w:rsidRDefault="006B2FC7" w:rsidP="006B2FC7">
      <w:pPr>
        <w:tabs>
          <w:tab w:val="left" w:pos="1605"/>
        </w:tabs>
        <w:jc w:val="center"/>
        <w:rPr>
          <w:sz w:val="36"/>
          <w:szCs w:val="36"/>
        </w:rPr>
      </w:pPr>
    </w:p>
    <w:p w:rsidR="006B2FC7" w:rsidRPr="00FE0149" w:rsidRDefault="00F83EE9" w:rsidP="006B2FC7">
      <w:pPr>
        <w:tabs>
          <w:tab w:val="left" w:pos="160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Lab # 4</w:t>
      </w:r>
    </w:p>
    <w:p w:rsidR="006B2FC7" w:rsidRDefault="006B2FC7" w:rsidP="006B2FC7">
      <w:pPr>
        <w:jc w:val="center"/>
        <w:rPr>
          <w:b/>
          <w:sz w:val="44"/>
          <w:szCs w:val="44"/>
        </w:rPr>
      </w:pPr>
      <w:r w:rsidRPr="00C90ADA">
        <w:rPr>
          <w:b/>
          <w:sz w:val="44"/>
          <w:szCs w:val="44"/>
        </w:rPr>
        <w:t>Electron Gun – Effects of</w:t>
      </w:r>
      <w:r w:rsidR="00F83EE9">
        <w:rPr>
          <w:b/>
          <w:sz w:val="44"/>
          <w:szCs w:val="44"/>
        </w:rPr>
        <w:t xml:space="preserve"> Magnetic</w:t>
      </w:r>
      <w:r w:rsidRPr="00C90ADA">
        <w:rPr>
          <w:b/>
          <w:sz w:val="44"/>
          <w:szCs w:val="44"/>
        </w:rPr>
        <w:t xml:space="preserve"> Field</w:t>
      </w: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jc w:val="center"/>
        <w:rPr>
          <w:b/>
        </w:rPr>
      </w:pPr>
    </w:p>
    <w:p w:rsidR="006B2FC7" w:rsidRDefault="006B2FC7" w:rsidP="006B2FC7">
      <w:pPr>
        <w:rPr>
          <w:b/>
        </w:rPr>
      </w:pPr>
    </w:p>
    <w:p w:rsidR="006B2FC7" w:rsidRPr="00C90ADA" w:rsidRDefault="006B2FC7" w:rsidP="006B2FC7">
      <w:pPr>
        <w:rPr>
          <w:b/>
        </w:rPr>
      </w:pPr>
    </w:p>
    <w:p w:rsidR="006B2FC7" w:rsidRPr="00C90ADA" w:rsidRDefault="006B2FC7" w:rsidP="006B2FC7">
      <w:pPr>
        <w:pStyle w:val="ListParagraph"/>
        <w:numPr>
          <w:ilvl w:val="0"/>
          <w:numId w:val="1"/>
        </w:numPr>
        <w:rPr>
          <w:b/>
          <w:szCs w:val="24"/>
        </w:rPr>
      </w:pPr>
      <w:r w:rsidRPr="00C90ADA">
        <w:rPr>
          <w:b/>
          <w:szCs w:val="24"/>
        </w:rPr>
        <w:lastRenderedPageBreak/>
        <w:t>Objective</w:t>
      </w:r>
    </w:p>
    <w:p w:rsidR="006B2FC7" w:rsidRDefault="006B2FC7" w:rsidP="006B2FC7">
      <w:pPr>
        <w:pStyle w:val="ListParagraph"/>
        <w:ind w:left="1080"/>
        <w:rPr>
          <w:szCs w:val="24"/>
        </w:rPr>
      </w:pPr>
      <w:r>
        <w:rPr>
          <w:szCs w:val="24"/>
        </w:rPr>
        <w:t>To o</w:t>
      </w:r>
      <w:r w:rsidR="00F83EE9">
        <w:rPr>
          <w:szCs w:val="24"/>
        </w:rPr>
        <w:t>bserve the effect of a magnetic</w:t>
      </w:r>
      <w:r>
        <w:rPr>
          <w:szCs w:val="24"/>
        </w:rPr>
        <w:t xml:space="preserve"> field on the motion of electrons and to show relationship between the </w:t>
      </w:r>
      <w:r w:rsidR="00F83EE9">
        <w:rPr>
          <w:szCs w:val="24"/>
        </w:rPr>
        <w:t>magnetic field stretch and deflection of electrons</w:t>
      </w:r>
      <w:r>
        <w:rPr>
          <w:szCs w:val="24"/>
        </w:rPr>
        <w:t>.</w:t>
      </w:r>
    </w:p>
    <w:p w:rsidR="006B2FC7" w:rsidRDefault="006B2FC7" w:rsidP="006B2FC7">
      <w:pPr>
        <w:pStyle w:val="ListParagraph"/>
        <w:ind w:left="1080"/>
        <w:rPr>
          <w:szCs w:val="24"/>
        </w:rPr>
      </w:pPr>
    </w:p>
    <w:p w:rsidR="00914ED4" w:rsidRPr="00914ED4" w:rsidRDefault="006B2FC7" w:rsidP="00914ED4">
      <w:pPr>
        <w:pStyle w:val="ListParagraph"/>
        <w:numPr>
          <w:ilvl w:val="0"/>
          <w:numId w:val="1"/>
        </w:numPr>
        <w:rPr>
          <w:szCs w:val="24"/>
        </w:rPr>
      </w:pPr>
      <w:r w:rsidRPr="00C90ADA">
        <w:rPr>
          <w:b/>
          <w:szCs w:val="24"/>
        </w:rPr>
        <w:t>Data/ Results:</w:t>
      </w:r>
    </w:p>
    <w:p w:rsidR="00914ED4" w:rsidRDefault="00914ED4" w:rsidP="00914ED4">
      <w:pPr>
        <w:pStyle w:val="ListParagraph"/>
        <w:ind w:left="1080"/>
        <w:rPr>
          <w:szCs w:val="24"/>
        </w:rPr>
      </w:pPr>
      <w:r>
        <w:rPr>
          <w:szCs w:val="24"/>
        </w:rPr>
        <w:t>∆y: distance electron is deflected (mm)</w:t>
      </w:r>
    </w:p>
    <w:p w:rsidR="00914ED4" w:rsidRDefault="00914ED4" w:rsidP="00914ED4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x</w:t>
      </w:r>
      <w:proofErr w:type="gramEnd"/>
      <w:r>
        <w:rPr>
          <w:szCs w:val="24"/>
        </w:rPr>
        <w:t>: voltage ratio (V)</w:t>
      </w:r>
    </w:p>
    <w:p w:rsidR="00914ED4" w:rsidRDefault="00914ED4" w:rsidP="00914ED4">
      <w:pPr>
        <w:pStyle w:val="ListParagraph"/>
        <w:ind w:left="1080"/>
        <w:rPr>
          <w:szCs w:val="24"/>
        </w:rPr>
      </w:pPr>
      <w:proofErr w:type="gramStart"/>
      <w:r>
        <w:rPr>
          <w:szCs w:val="24"/>
        </w:rPr>
        <w:t>k</w:t>
      </w:r>
      <w:proofErr w:type="gramEnd"/>
      <w:r>
        <w:rPr>
          <w:szCs w:val="24"/>
        </w:rPr>
        <w:t>: tube constant (mm)</w:t>
      </w:r>
    </w:p>
    <w:p w:rsidR="00914ED4" w:rsidRDefault="00914ED4" w:rsidP="00914ED4">
      <w:pPr>
        <w:pStyle w:val="ListParagraph"/>
        <w:ind w:left="1080"/>
        <w:rPr>
          <w:szCs w:val="24"/>
        </w:rPr>
      </w:pPr>
      <w:r>
        <w:rPr>
          <w:szCs w:val="24"/>
        </w:rPr>
        <w:t>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szCs w:val="24"/>
        </w:rPr>
        <w:t>: acceleration voltage (V)</w:t>
      </w:r>
    </w:p>
    <w:p w:rsidR="00914ED4" w:rsidRPr="00814426" w:rsidRDefault="00914ED4" w:rsidP="00914ED4">
      <w:pPr>
        <w:pStyle w:val="ListParagraph"/>
        <w:ind w:left="1080"/>
        <w:rPr>
          <w:b/>
          <w:szCs w:val="24"/>
        </w:rPr>
      </w:pPr>
      <w:r>
        <w:rPr>
          <w:szCs w:val="24"/>
        </w:rPr>
        <w:t>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szCs w:val="24"/>
        </w:rPr>
        <w:t>: deflection voltage (V)</w:t>
      </w:r>
    </w:p>
    <w:p w:rsidR="00914ED4" w:rsidRPr="00914ED4" w:rsidRDefault="00914ED4" w:rsidP="00914ED4">
      <w:pPr>
        <w:pStyle w:val="ListParagraph"/>
        <w:ind w:left="1080"/>
        <w:rPr>
          <w:szCs w:val="24"/>
        </w:rPr>
      </w:pPr>
      <m:oMath>
        <m:r>
          <w:rPr>
            <w:rFonts w:ascii="Cambria Math" w:hAnsi="Cambria Math"/>
            <w:szCs w:val="24"/>
          </w:rPr>
          <m:t>∆y=k*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</m:rad>
          </m:den>
        </m:f>
      </m:oMath>
      <w:r w:rsidRPr="00914ED4">
        <w:rPr>
          <w:szCs w:val="24"/>
        </w:rPr>
        <w:t xml:space="preserve"> =&gt;x=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Cs w:val="24"/>
          </w:rPr>
          <m:t xml:space="preserve">=&gt; ∆y=k*x </m:t>
        </m:r>
      </m:oMath>
      <w:r w:rsidRPr="00914ED4">
        <w:rPr>
          <w:szCs w:val="24"/>
        </w:rPr>
        <w:t xml:space="preserve"> =&gt; k=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</m:oMath>
    </w:p>
    <w:p w:rsidR="006B2FC7" w:rsidRDefault="006B2FC7" w:rsidP="006B2FC7">
      <w:pPr>
        <w:rPr>
          <w:szCs w:val="24"/>
        </w:rPr>
      </w:pPr>
      <w:r>
        <w:rPr>
          <w:szCs w:val="24"/>
        </w:rPr>
        <w:t>Example</w:t>
      </w:r>
      <w:r w:rsidR="00914ED4">
        <w:rPr>
          <w:szCs w:val="24"/>
        </w:rPr>
        <w:t xml:space="preserve">: do trial data #1: </w:t>
      </w:r>
      <w:r>
        <w:rPr>
          <w:szCs w:val="24"/>
        </w:rPr>
        <w:t xml:space="preserve"> </w:t>
      </w:r>
      <w:r w:rsidRPr="00E85241">
        <w:rPr>
          <w:szCs w:val="24"/>
        </w:rPr>
        <w:t>∆</w:t>
      </w:r>
      <w:proofErr w:type="spellStart"/>
      <w:r w:rsidR="00914ED4">
        <w:rPr>
          <w:szCs w:val="24"/>
        </w:rPr>
        <w:t>Va</w:t>
      </w:r>
      <w:proofErr w:type="spellEnd"/>
      <w:r w:rsidR="00914ED4">
        <w:rPr>
          <w:szCs w:val="24"/>
        </w:rPr>
        <w:t>=</w:t>
      </w:r>
      <m:oMath>
        <m:r>
          <w:rPr>
            <w:rFonts w:ascii="Cambria Math" w:hAnsi="Cambria Math"/>
            <w:szCs w:val="24"/>
          </w:rPr>
          <m:t>260.7V</m:t>
        </m:r>
      </m:oMath>
      <w:r w:rsidR="00561F2F">
        <w:rPr>
          <w:szCs w:val="24"/>
        </w:rPr>
        <w:t>, ∆y =20</w:t>
      </w:r>
      <w:r>
        <w:rPr>
          <w:szCs w:val="24"/>
        </w:rPr>
        <w:t xml:space="preserve"> mm, </w:t>
      </w: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r>
          <w:rPr>
            <w:rFonts w:ascii="Cambria Math" w:hAnsi="Cambria Math"/>
            <w:szCs w:val="24"/>
          </w:rPr>
          <m:t>=.996 V</m:t>
        </m:r>
      </m:oMath>
    </w:p>
    <w:p w:rsidR="006B2FC7" w:rsidRPr="00044CFD" w:rsidRDefault="006B2FC7" w:rsidP="006B2FC7">
      <w:pPr>
        <w:rPr>
          <w:szCs w:val="24"/>
        </w:rPr>
      </w:pPr>
      <w:r>
        <w:rPr>
          <w:szCs w:val="24"/>
        </w:rPr>
        <w:t xml:space="preserve">x=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.996V</m:t>
            </m:r>
          </m:num>
          <m:den>
            <m:r>
              <w:rPr>
                <w:rFonts w:ascii="Cambria Math" w:hAnsi="Cambria Math"/>
                <w:szCs w:val="24"/>
              </w:rPr>
              <m:t>260.7V</m:t>
            </m:r>
          </m:den>
        </m:f>
        <m:r>
          <w:rPr>
            <w:rFonts w:ascii="Cambria Math" w:hAnsi="Cambria Math"/>
            <w:szCs w:val="24"/>
          </w:rPr>
          <m:t>=.0617</m:t>
        </m:r>
      </m:oMath>
    </w:p>
    <w:p w:rsidR="006B2FC7" w:rsidRDefault="006B2FC7" w:rsidP="006B2FC7">
      <w:pPr>
        <w:rPr>
          <w:szCs w:val="24"/>
        </w:rPr>
      </w:pPr>
      <w:r>
        <w:rPr>
          <w:szCs w:val="24"/>
        </w:rPr>
        <w:t>k=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Cs w:val="24"/>
              </w:rPr>
              <m:t>x</m:t>
            </m:r>
          </m:den>
        </m:f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20mm</m:t>
            </m:r>
          </m:num>
          <m:den>
            <m:r>
              <w:rPr>
                <w:rFonts w:ascii="Cambria Math" w:hAnsi="Cambria Math"/>
                <w:szCs w:val="24"/>
              </w:rPr>
              <m:t>.0617</m:t>
            </m:r>
          </m:den>
        </m:f>
        <m:r>
          <w:rPr>
            <w:rFonts w:ascii="Cambria Math" w:hAnsi="Cambria Math"/>
            <w:szCs w:val="24"/>
          </w:rPr>
          <m:t>=324.14mm</m:t>
        </m:r>
      </m:oMath>
    </w:p>
    <w:p w:rsidR="006B2FC7" w:rsidRPr="00C147C9" w:rsidRDefault="00914ED4" w:rsidP="006B2FC7">
      <w:pPr>
        <w:rPr>
          <w:szCs w:val="24"/>
        </w:rPr>
      </w:pPr>
      <w:r>
        <w:rPr>
          <w:szCs w:val="24"/>
        </w:rPr>
        <w:t>Tube constant k average=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total of tube constant k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</m:oMath>
      <w:r w:rsidRPr="00C147C9">
        <w:rPr>
          <w:szCs w:val="24"/>
        </w:rPr>
        <w:tab/>
      </w:r>
      <w:r>
        <w:rPr>
          <w:szCs w:val="24"/>
        </w:rPr>
        <w:t>= (mm)</w:t>
      </w:r>
      <w:r w:rsidR="006B2FC7" w:rsidRPr="00C147C9">
        <w:rPr>
          <w:szCs w:val="24"/>
        </w:rPr>
        <w:tab/>
      </w:r>
    </w:p>
    <w:p w:rsidR="006B2FC7" w:rsidRPr="00FE0149" w:rsidRDefault="006B2FC7" w:rsidP="006B2FC7">
      <w:pPr>
        <w:pStyle w:val="ListParagraph"/>
        <w:ind w:left="1080"/>
        <w:rPr>
          <w:b/>
          <w:szCs w:val="24"/>
        </w:rPr>
      </w:pPr>
      <w:r w:rsidRPr="00FE0149">
        <w:rPr>
          <w:b/>
          <w:szCs w:val="24"/>
        </w:rPr>
        <w:t>Data # 1: ∆</w:t>
      </w:r>
      <w:proofErr w:type="spellStart"/>
      <w:r w:rsidRPr="00FE0149">
        <w:rPr>
          <w:b/>
          <w:szCs w:val="24"/>
        </w:rPr>
        <w:t>Va</w:t>
      </w:r>
      <w:proofErr w:type="spellEnd"/>
      <w:r w:rsidRPr="00FE0149">
        <w:rPr>
          <w:b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Cs w:val="24"/>
          </w:rPr>
          <m:t>260.7</m:t>
        </m:r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</w:p>
    <w:p w:rsidR="006B2FC7" w:rsidRDefault="006B2FC7" w:rsidP="006B2FC7">
      <w:pPr>
        <w:pStyle w:val="ListParagraph"/>
        <w:ind w:left="1080"/>
        <w:rPr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∆V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298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(mm)</m:t>
              </m:r>
            </m:oMath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.99</w:t>
            </w:r>
            <w:r w:rsidR="00FA78A8">
              <w:rPr>
                <w:szCs w:val="24"/>
              </w:rPr>
              <w:t>6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.0617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324.14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.80</w:t>
            </w:r>
            <w:r w:rsidR="00FA78A8">
              <w:rPr>
                <w:szCs w:val="24"/>
              </w:rPr>
              <w:t>3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.0497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321.93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.55</w:t>
            </w:r>
            <w:r w:rsidR="00FA78A8">
              <w:rPr>
                <w:szCs w:val="24"/>
              </w:rPr>
              <w:t>1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.0341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351.90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.3</w:t>
            </w:r>
            <w:r w:rsidR="00FA78A8">
              <w:rPr>
                <w:szCs w:val="24"/>
              </w:rPr>
              <w:t>18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.0197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406.09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.06</w:t>
            </w:r>
            <w:r w:rsidR="00FA78A8">
              <w:rPr>
                <w:szCs w:val="24"/>
              </w:rPr>
              <w:t>2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.0038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1052.63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-.1</w:t>
            </w:r>
            <w:r w:rsidR="00FA78A8">
              <w:rPr>
                <w:szCs w:val="24"/>
              </w:rPr>
              <w:t>76</w:t>
            </w:r>
          </w:p>
        </w:tc>
        <w:tc>
          <w:tcPr>
            <w:tcW w:w="2880" w:type="dxa"/>
          </w:tcPr>
          <w:p w:rsidR="006B2FC7" w:rsidRDefault="00FF5324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A78A8">
              <w:rPr>
                <w:szCs w:val="24"/>
              </w:rPr>
              <w:t>.0111</w:t>
            </w:r>
          </w:p>
        </w:tc>
        <w:tc>
          <w:tcPr>
            <w:tcW w:w="2988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.4</w:t>
            </w:r>
            <w:r w:rsidR="00FA78A8">
              <w:rPr>
                <w:szCs w:val="24"/>
              </w:rPr>
              <w:t>18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-.0259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154.44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.68</w:t>
            </w:r>
            <w:r w:rsidR="00FA78A8">
              <w:rPr>
                <w:szCs w:val="24"/>
              </w:rPr>
              <w:t>2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-.0422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189.57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.92</w:t>
            </w:r>
            <w:r w:rsidR="00FA78A8">
              <w:rPr>
                <w:szCs w:val="24"/>
              </w:rPr>
              <w:t>4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-.0573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209.42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1E7709">
              <w:rPr>
                <w:szCs w:val="24"/>
              </w:rPr>
              <w:t>.16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-.0719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222.53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-20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1E7709">
              <w:rPr>
                <w:szCs w:val="24"/>
              </w:rPr>
              <w:t>.37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-.0847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236.12</w:t>
            </w:r>
          </w:p>
        </w:tc>
      </w:tr>
    </w:tbl>
    <w:p w:rsidR="006B2FC7" w:rsidRPr="00A856F3" w:rsidRDefault="00FA78A8" w:rsidP="006B2FC7">
      <w:pPr>
        <w:ind w:left="5040"/>
        <w:jc w:val="center"/>
        <w:rPr>
          <w:szCs w:val="24"/>
        </w:rPr>
      </w:pPr>
      <w:r>
        <w:rPr>
          <w:szCs w:val="24"/>
        </w:rPr>
        <w:t>Total of tube constant k = 3468.77mm</w:t>
      </w:r>
    </w:p>
    <w:p w:rsidR="006B2FC7" w:rsidRPr="00A856F3" w:rsidRDefault="00FA78A8" w:rsidP="00FA78A8">
      <w:pPr>
        <w:ind w:left="4320"/>
        <w:rPr>
          <w:szCs w:val="24"/>
        </w:rPr>
      </w:pPr>
      <w:r>
        <w:rPr>
          <w:szCs w:val="24"/>
        </w:rPr>
        <w:t>Tube constant 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3468.77mm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=315.34mm</m:t>
        </m:r>
      </m:oMath>
    </w:p>
    <w:p w:rsidR="006B2FC7" w:rsidRDefault="006B2FC7" w:rsidP="006B2FC7">
      <w:pPr>
        <w:pStyle w:val="ListParagraph"/>
        <w:ind w:left="1080"/>
        <w:rPr>
          <w:szCs w:val="24"/>
        </w:rPr>
      </w:pPr>
    </w:p>
    <w:p w:rsidR="002437EE" w:rsidRDefault="002437EE" w:rsidP="006B2FC7">
      <w:pPr>
        <w:pStyle w:val="ListParagraph"/>
        <w:ind w:left="1080"/>
        <w:rPr>
          <w:b/>
          <w:szCs w:val="24"/>
        </w:rPr>
      </w:pPr>
    </w:p>
    <w:p w:rsidR="006B2FC7" w:rsidRDefault="006B2FC7" w:rsidP="006B2FC7">
      <w:pPr>
        <w:pStyle w:val="ListParagraph"/>
        <w:ind w:left="1080"/>
        <w:rPr>
          <w:b/>
          <w:szCs w:val="24"/>
        </w:rPr>
      </w:pPr>
      <w:r w:rsidRPr="00FE0149">
        <w:rPr>
          <w:b/>
          <w:szCs w:val="24"/>
        </w:rPr>
        <w:t>Data # 2: ∆</w:t>
      </w:r>
      <w:proofErr w:type="spellStart"/>
      <w:r w:rsidRPr="00FE0149">
        <w:rPr>
          <w:b/>
          <w:szCs w:val="24"/>
        </w:rPr>
        <w:t>Va</w:t>
      </w:r>
      <w:proofErr w:type="spellEnd"/>
      <w:r w:rsidRPr="00FE0149">
        <w:rPr>
          <w:b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Cs w:val="24"/>
          </w:rPr>
          <m:t>389</m:t>
        </m:r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</w:p>
    <w:p w:rsidR="002437EE" w:rsidRPr="00FE0149" w:rsidRDefault="002437EE" w:rsidP="006B2FC7">
      <w:pPr>
        <w:pStyle w:val="ListParagraph"/>
        <w:ind w:left="1080"/>
        <w:rPr>
          <w:b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∆V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298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</m:oMath>
            <w:r w:rsidR="00902481">
              <w:rPr>
                <w:b/>
                <w:szCs w:val="24"/>
              </w:rPr>
              <w:t>(mm)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1.27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.0643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311.04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1.03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.0522</m:t>
                </m:r>
              </m:oMath>
            </m:oMathPara>
          </w:p>
        </w:tc>
        <w:tc>
          <w:tcPr>
            <w:tcW w:w="2988" w:type="dxa"/>
          </w:tcPr>
          <w:p w:rsidR="006B2FC7" w:rsidRDefault="006B2FC7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FA78A8">
              <w:rPr>
                <w:szCs w:val="24"/>
              </w:rPr>
              <w:t>06.51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.7</w:t>
            </w:r>
            <w:r w:rsidR="00FA78A8">
              <w:rPr>
                <w:szCs w:val="24"/>
              </w:rPr>
              <w:t>38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.0374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320.85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.43</w:t>
            </w:r>
            <w:r w:rsidR="00FA78A8">
              <w:rPr>
                <w:szCs w:val="24"/>
              </w:rPr>
              <w:t>3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.0219</m:t>
                </m:r>
              </m:oMath>
            </m:oMathPara>
          </w:p>
        </w:tc>
        <w:tc>
          <w:tcPr>
            <w:tcW w:w="2988" w:type="dxa"/>
          </w:tcPr>
          <w:p w:rsidR="006B2FC7" w:rsidRDefault="00FA78A8" w:rsidP="00FA78A8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365.29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.1</w:t>
            </w:r>
            <w:r w:rsidR="00FA78A8">
              <w:rPr>
                <w:szCs w:val="24"/>
              </w:rPr>
              <w:t>05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.0053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754.71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1E7709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-.19</w:t>
            </w:r>
            <w:r w:rsidR="00FA78A8">
              <w:rPr>
                <w:szCs w:val="24"/>
              </w:rPr>
              <w:t>2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-.0097</w:t>
            </w:r>
          </w:p>
        </w:tc>
        <w:tc>
          <w:tcPr>
            <w:tcW w:w="2988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.49</w:t>
            </w:r>
            <w:r w:rsidR="00FA78A8">
              <w:rPr>
                <w:szCs w:val="24"/>
              </w:rPr>
              <w:t>3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-.0249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160.64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.80</w:t>
            </w:r>
            <w:r w:rsidR="00FA78A8">
              <w:rPr>
                <w:szCs w:val="24"/>
              </w:rPr>
              <w:t>4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-.0407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196.56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1E7709">
              <w:rPr>
                <w:szCs w:val="24"/>
              </w:rPr>
              <w:t>1.11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-.0561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213.90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1E7709">
              <w:rPr>
                <w:szCs w:val="24"/>
              </w:rPr>
              <w:t>.41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-.0716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223.46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1E7709">
              <w:rPr>
                <w:szCs w:val="24"/>
              </w:rPr>
              <w:t>.6</w:t>
            </w:r>
            <w:r w:rsidR="00FA78A8">
              <w:rPr>
                <w:szCs w:val="24"/>
              </w:rPr>
              <w:t>3</w:t>
            </w:r>
          </w:p>
        </w:tc>
        <w:tc>
          <w:tcPr>
            <w:tcW w:w="2880" w:type="dxa"/>
          </w:tcPr>
          <w:p w:rsidR="006B2FC7" w:rsidRDefault="00FA78A8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-.0825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242.42</w:t>
            </w:r>
          </w:p>
        </w:tc>
      </w:tr>
    </w:tbl>
    <w:p w:rsidR="006B2FC7" w:rsidRPr="00902481" w:rsidRDefault="006B2FC7" w:rsidP="00902481">
      <w:pPr>
        <w:ind w:left="4320" w:firstLine="720"/>
        <w:rPr>
          <w:szCs w:val="24"/>
        </w:rPr>
      </w:pPr>
      <w:r w:rsidRPr="00902481">
        <w:rPr>
          <w:szCs w:val="24"/>
        </w:rPr>
        <w:t>Total of</w:t>
      </w:r>
      <w:r w:rsidR="00902481">
        <w:rPr>
          <w:szCs w:val="24"/>
        </w:rPr>
        <w:t xml:space="preserve"> tube constant k = 3105.38mm</w:t>
      </w:r>
    </w:p>
    <w:p w:rsidR="006B2FC7" w:rsidRPr="00902481" w:rsidRDefault="00902481" w:rsidP="00902481">
      <w:pPr>
        <w:ind w:left="3600" w:firstLine="720"/>
        <w:rPr>
          <w:szCs w:val="24"/>
        </w:rPr>
      </w:pPr>
      <w:r w:rsidRPr="00902481">
        <w:rPr>
          <w:szCs w:val="24"/>
        </w:rPr>
        <w:t xml:space="preserve">Tube constant </w:t>
      </w:r>
      <w:r>
        <w:rPr>
          <w:szCs w:val="24"/>
        </w:rPr>
        <w:t>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3105.38mm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=282.31mm</m:t>
        </m:r>
      </m:oMath>
    </w:p>
    <w:p w:rsidR="006B2FC7" w:rsidRDefault="006B2FC7" w:rsidP="006B2FC7">
      <w:pPr>
        <w:rPr>
          <w:szCs w:val="24"/>
        </w:rPr>
      </w:pPr>
    </w:p>
    <w:p w:rsidR="006B2FC7" w:rsidRDefault="006B2FC7" w:rsidP="006B2FC7">
      <w:pPr>
        <w:rPr>
          <w:szCs w:val="24"/>
        </w:rPr>
      </w:pPr>
    </w:p>
    <w:p w:rsidR="002437EE" w:rsidRDefault="002437EE" w:rsidP="006B2FC7">
      <w:pPr>
        <w:rPr>
          <w:szCs w:val="24"/>
        </w:rPr>
      </w:pPr>
    </w:p>
    <w:p w:rsidR="002437EE" w:rsidRDefault="002437EE" w:rsidP="006B2FC7">
      <w:pPr>
        <w:rPr>
          <w:szCs w:val="24"/>
        </w:rPr>
      </w:pPr>
    </w:p>
    <w:p w:rsidR="002437EE" w:rsidRDefault="002437EE" w:rsidP="006B2FC7">
      <w:pPr>
        <w:rPr>
          <w:szCs w:val="24"/>
        </w:rPr>
      </w:pPr>
    </w:p>
    <w:p w:rsidR="006B2FC7" w:rsidRDefault="006B2FC7" w:rsidP="006B2FC7">
      <w:pPr>
        <w:rPr>
          <w:szCs w:val="24"/>
        </w:rPr>
      </w:pPr>
    </w:p>
    <w:p w:rsidR="006B2FC7" w:rsidRPr="00FE0149" w:rsidRDefault="001E7709" w:rsidP="006B2FC7">
      <w:pPr>
        <w:rPr>
          <w:b/>
          <w:szCs w:val="24"/>
        </w:rPr>
      </w:pPr>
      <w:r>
        <w:rPr>
          <w:b/>
          <w:szCs w:val="24"/>
        </w:rPr>
        <w:t>Data # 3: ∆</w:t>
      </w:r>
      <w:proofErr w:type="spellStart"/>
      <w:r>
        <w:rPr>
          <w:b/>
          <w:szCs w:val="24"/>
        </w:rPr>
        <w:t>Va</w:t>
      </w:r>
      <w:proofErr w:type="spellEnd"/>
      <w:r>
        <w:rPr>
          <w:b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Cs w:val="24"/>
          </w:rPr>
          <m:t>520</m:t>
        </m:r>
        <m:r>
          <m:rPr>
            <m:sty m:val="bi"/>
          </m:rPr>
          <w:rPr>
            <w:rFonts w:ascii="Cambria Math" w:hAnsi="Cambria Math"/>
            <w:szCs w:val="24"/>
          </w:rPr>
          <m:t>V</m:t>
        </m:r>
      </m:oMath>
    </w:p>
    <w:tbl>
      <w:tblPr>
        <w:tblStyle w:val="TableGrid"/>
        <w:tblW w:w="0" w:type="auto"/>
        <w:tblInd w:w="1080" w:type="dxa"/>
        <w:tblLook w:val="04A0"/>
      </w:tblPr>
      <w:tblGrid>
        <w:gridCol w:w="1278"/>
        <w:gridCol w:w="1350"/>
        <w:gridCol w:w="2880"/>
        <w:gridCol w:w="2988"/>
      </w:tblGrid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∆y(mm)</w:t>
            </w:r>
          </w:p>
        </w:tc>
        <w:tc>
          <w:tcPr>
            <w:tcW w:w="135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∆</w:t>
            </w:r>
            <w:proofErr w:type="spellStart"/>
            <w:r w:rsidRPr="00C147C9">
              <w:rPr>
                <w:b/>
                <w:szCs w:val="24"/>
              </w:rPr>
              <w:t>Vd</w:t>
            </w:r>
            <w:proofErr w:type="spellEnd"/>
            <w:r w:rsidRPr="00C147C9">
              <w:rPr>
                <w:b/>
                <w:szCs w:val="24"/>
              </w:rPr>
              <w:t>(V)</w:t>
            </w:r>
          </w:p>
        </w:tc>
        <w:tc>
          <w:tcPr>
            <w:tcW w:w="2880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∆Vd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∆V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298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(mm)</m:t>
              </m:r>
            </m:oMath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1.48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.0649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308.16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1.21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.0530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301.88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.8</w:t>
            </w:r>
            <w:r w:rsidR="00902481">
              <w:rPr>
                <w:szCs w:val="24"/>
              </w:rPr>
              <w:t>67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.0380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315.78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.5</w:t>
            </w:r>
            <w:r w:rsidR="00902481">
              <w:rPr>
                <w:szCs w:val="24"/>
              </w:rPr>
              <w:t>29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.0232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344.82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.1</w:t>
            </w:r>
            <w:r w:rsidR="00902481">
              <w:rPr>
                <w:szCs w:val="24"/>
              </w:rPr>
              <w:t>76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.0077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519.48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 w:rsidRPr="00C147C9">
              <w:rPr>
                <w:b/>
                <w:szCs w:val="24"/>
              </w:rPr>
              <w:t>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DA256A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-.20</w:t>
            </w:r>
            <w:r w:rsidR="00902481">
              <w:rPr>
                <w:szCs w:val="24"/>
              </w:rPr>
              <w:t>2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-.0088</w:t>
            </w:r>
          </w:p>
        </w:tc>
        <w:tc>
          <w:tcPr>
            <w:tcW w:w="2988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-4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A256A">
              <w:rPr>
                <w:szCs w:val="24"/>
              </w:rPr>
              <w:t>.5</w:t>
            </w:r>
            <w:r w:rsidR="00902481">
              <w:rPr>
                <w:szCs w:val="24"/>
              </w:rPr>
              <w:t>39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-.0236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169.49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-8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A256A">
              <w:rPr>
                <w:szCs w:val="24"/>
              </w:rPr>
              <w:t>.9</w:t>
            </w:r>
            <w:r w:rsidR="00902481">
              <w:rPr>
                <w:szCs w:val="24"/>
              </w:rPr>
              <w:t>06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-.0397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201.51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-12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  <w:r w:rsidR="00DA256A">
              <w:rPr>
                <w:szCs w:val="24"/>
              </w:rPr>
              <w:t>.2</w:t>
            </w:r>
            <w:r w:rsidR="00902481">
              <w:rPr>
                <w:szCs w:val="24"/>
              </w:rPr>
              <w:t>6</w:t>
            </w:r>
          </w:p>
        </w:tc>
        <w:tc>
          <w:tcPr>
            <w:tcW w:w="2880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-.0551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217.78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-16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A256A">
              <w:rPr>
                <w:szCs w:val="24"/>
              </w:rPr>
              <w:t>1.62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-.0712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224.71</w:t>
            </w:r>
          </w:p>
        </w:tc>
      </w:tr>
      <w:tr w:rsidR="006B2FC7" w:rsidTr="001E7709">
        <w:tc>
          <w:tcPr>
            <w:tcW w:w="1278" w:type="dxa"/>
          </w:tcPr>
          <w:p w:rsidR="006B2FC7" w:rsidRPr="00C147C9" w:rsidRDefault="001E7709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-20</w:t>
            </w:r>
          </w:p>
          <w:p w:rsidR="006B2FC7" w:rsidRPr="00C147C9" w:rsidRDefault="006B2FC7" w:rsidP="001E7709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50" w:type="dxa"/>
          </w:tcPr>
          <w:p w:rsidR="006B2FC7" w:rsidRDefault="006B2FC7" w:rsidP="001E7709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DA256A">
              <w:rPr>
                <w:szCs w:val="24"/>
              </w:rPr>
              <w:t>1.88</w:t>
            </w:r>
          </w:p>
        </w:tc>
        <w:tc>
          <w:tcPr>
            <w:tcW w:w="2880" w:type="dxa"/>
          </w:tcPr>
          <w:p w:rsidR="006B2FC7" w:rsidRDefault="00902481" w:rsidP="001E7709">
            <w:pPr>
              <w:pStyle w:val="ListParagraph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-.0825</m:t>
                </m:r>
              </m:oMath>
            </m:oMathPara>
          </w:p>
        </w:tc>
        <w:tc>
          <w:tcPr>
            <w:tcW w:w="2988" w:type="dxa"/>
          </w:tcPr>
          <w:p w:rsidR="006B2FC7" w:rsidRDefault="00902481" w:rsidP="00902481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242.42</w:t>
            </w:r>
          </w:p>
        </w:tc>
      </w:tr>
    </w:tbl>
    <w:p w:rsidR="006B2FC7" w:rsidRPr="00A856F3" w:rsidRDefault="006B2FC7" w:rsidP="006B2FC7">
      <w:pPr>
        <w:ind w:left="5040" w:firstLine="720"/>
        <w:jc w:val="center"/>
        <w:rPr>
          <w:szCs w:val="24"/>
        </w:rPr>
      </w:pPr>
      <w:r w:rsidRPr="00A856F3">
        <w:rPr>
          <w:szCs w:val="24"/>
        </w:rPr>
        <w:t>Total of</w:t>
      </w:r>
      <w:r w:rsidR="00902481">
        <w:rPr>
          <w:szCs w:val="24"/>
        </w:rPr>
        <w:t xml:space="preserve"> tube constant k = </w:t>
      </w:r>
      <w:r w:rsidR="00914ED4">
        <w:rPr>
          <w:szCs w:val="24"/>
        </w:rPr>
        <w:t>2846.03 mm</w:t>
      </w:r>
    </w:p>
    <w:p w:rsidR="006B2FC7" w:rsidRPr="00914ED4" w:rsidRDefault="00914ED4" w:rsidP="00914ED4">
      <w:pPr>
        <w:ind w:left="3600" w:firstLine="720"/>
        <w:rPr>
          <w:szCs w:val="24"/>
        </w:rPr>
      </w:pPr>
      <w:r>
        <w:rPr>
          <w:szCs w:val="24"/>
        </w:rPr>
        <w:t>Tube constant k average=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2846.03mm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=258.73mm</m:t>
        </m:r>
      </m:oMath>
    </w:p>
    <w:p w:rsidR="006B2FC7" w:rsidRPr="00914ED4" w:rsidRDefault="006B2FC7" w:rsidP="006B2FC7">
      <w:pPr>
        <w:pStyle w:val="ListParagraph"/>
        <w:numPr>
          <w:ilvl w:val="0"/>
          <w:numId w:val="1"/>
        </w:numPr>
        <w:rPr>
          <w:b/>
          <w:szCs w:val="24"/>
        </w:rPr>
      </w:pPr>
      <w:r w:rsidRPr="00914ED4">
        <w:rPr>
          <w:b/>
          <w:szCs w:val="24"/>
        </w:rPr>
        <w:t xml:space="preserve">Conclusion: </w:t>
      </w:r>
    </w:p>
    <w:p w:rsidR="004D47DB" w:rsidRPr="00914ED4" w:rsidRDefault="00914ED4" w:rsidP="00914ED4">
      <w:pPr>
        <w:pStyle w:val="ListParagraph"/>
        <w:ind w:left="1080"/>
        <w:rPr>
          <w:szCs w:val="24"/>
        </w:rPr>
      </w:pPr>
      <w:r w:rsidRPr="00914ED4">
        <w:rPr>
          <w:szCs w:val="24"/>
        </w:rPr>
        <w:t>Observing on the lab, we can see</w:t>
      </w:r>
      <w:r>
        <w:rPr>
          <w:szCs w:val="24"/>
        </w:rPr>
        <w:t xml:space="preserve"> the effect of an electric magnetic</w:t>
      </w:r>
      <w:r w:rsidRPr="00914ED4">
        <w:rPr>
          <w:szCs w:val="24"/>
        </w:rPr>
        <w:t xml:space="preserve"> on the moment and deflection of electron. </w:t>
      </w:r>
      <w:r w:rsidR="008249D3">
        <w:rPr>
          <w:szCs w:val="24"/>
        </w:rPr>
        <w:t>On the data, it is show t</w:t>
      </w:r>
      <w:r w:rsidRPr="00914ED4">
        <w:rPr>
          <w:szCs w:val="24"/>
        </w:rPr>
        <w:t xml:space="preserve">he accelerate voltage relationship with the voltage of the deflection: deflected voltage is increasing and the deflection of electron is increasing too. Finally, </w:t>
      </w:r>
      <w:r w:rsidR="00617938">
        <w:rPr>
          <w:szCs w:val="24"/>
        </w:rPr>
        <w:t>the stronger electric magnetic is the</w:t>
      </w:r>
      <w:r w:rsidRPr="00914ED4">
        <w:rPr>
          <w:szCs w:val="24"/>
        </w:rPr>
        <w:t xml:space="preserve"> more active electron.</w:t>
      </w:r>
    </w:p>
    <w:sectPr w:rsidR="004D47DB" w:rsidRPr="00914ED4" w:rsidSect="006D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DA3" w:rsidRDefault="00FB5DA3" w:rsidP="00951644">
      <w:pPr>
        <w:spacing w:after="0" w:line="240" w:lineRule="auto"/>
      </w:pPr>
      <w:r>
        <w:separator/>
      </w:r>
    </w:p>
  </w:endnote>
  <w:endnote w:type="continuationSeparator" w:id="1">
    <w:p w:rsidR="00FB5DA3" w:rsidRDefault="00FB5DA3" w:rsidP="0095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DA3" w:rsidRDefault="00FB5DA3" w:rsidP="00951644">
      <w:pPr>
        <w:spacing w:after="0" w:line="240" w:lineRule="auto"/>
      </w:pPr>
      <w:r>
        <w:separator/>
      </w:r>
    </w:p>
  </w:footnote>
  <w:footnote w:type="continuationSeparator" w:id="1">
    <w:p w:rsidR="00FB5DA3" w:rsidRDefault="00FB5DA3" w:rsidP="00951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3941"/>
    <w:multiLevelType w:val="hybridMultilevel"/>
    <w:tmpl w:val="8BC8048A"/>
    <w:lvl w:ilvl="0" w:tplc="4288F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6F0D"/>
    <w:rsid w:val="00002AB1"/>
    <w:rsid w:val="00095490"/>
    <w:rsid w:val="001E7709"/>
    <w:rsid w:val="001F63C7"/>
    <w:rsid w:val="002008E0"/>
    <w:rsid w:val="002437EE"/>
    <w:rsid w:val="00263A76"/>
    <w:rsid w:val="003742CF"/>
    <w:rsid w:val="003F6E68"/>
    <w:rsid w:val="004462D7"/>
    <w:rsid w:val="004A0F44"/>
    <w:rsid w:val="004D47DB"/>
    <w:rsid w:val="004D5EDA"/>
    <w:rsid w:val="00552294"/>
    <w:rsid w:val="00561F2F"/>
    <w:rsid w:val="00571F22"/>
    <w:rsid w:val="0058113A"/>
    <w:rsid w:val="005D3E5C"/>
    <w:rsid w:val="00617938"/>
    <w:rsid w:val="006207BD"/>
    <w:rsid w:val="0062466E"/>
    <w:rsid w:val="006B2FC7"/>
    <w:rsid w:val="006D6DE8"/>
    <w:rsid w:val="00712AE2"/>
    <w:rsid w:val="00723673"/>
    <w:rsid w:val="0077048E"/>
    <w:rsid w:val="007A5CBB"/>
    <w:rsid w:val="007D09FE"/>
    <w:rsid w:val="008249D3"/>
    <w:rsid w:val="0084671B"/>
    <w:rsid w:val="00855016"/>
    <w:rsid w:val="00902481"/>
    <w:rsid w:val="00911A22"/>
    <w:rsid w:val="00914ED4"/>
    <w:rsid w:val="00914F3B"/>
    <w:rsid w:val="00951644"/>
    <w:rsid w:val="00960149"/>
    <w:rsid w:val="009D6F0D"/>
    <w:rsid w:val="00C24D7F"/>
    <w:rsid w:val="00C26872"/>
    <w:rsid w:val="00CD2B6A"/>
    <w:rsid w:val="00CE1C00"/>
    <w:rsid w:val="00DA256A"/>
    <w:rsid w:val="00F83EE9"/>
    <w:rsid w:val="00FA78A8"/>
    <w:rsid w:val="00FB5DA3"/>
    <w:rsid w:val="00FF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2D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51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644"/>
  </w:style>
  <w:style w:type="paragraph" w:styleId="Footer">
    <w:name w:val="footer"/>
    <w:basedOn w:val="Normal"/>
    <w:link w:val="Foot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644"/>
  </w:style>
  <w:style w:type="paragraph" w:styleId="ListParagraph">
    <w:name w:val="List Paragraph"/>
    <w:basedOn w:val="Normal"/>
    <w:uiPriority w:val="34"/>
    <w:qFormat/>
    <w:rsid w:val="006B2FC7"/>
    <w:pPr>
      <w:ind w:left="720"/>
      <w:contextualSpacing/>
    </w:pPr>
  </w:style>
  <w:style w:type="table" w:styleId="TableGrid">
    <w:name w:val="Table Grid"/>
    <w:basedOn w:val="TableNormal"/>
    <w:uiPriority w:val="59"/>
    <w:rsid w:val="006B2F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024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111D-1558-4AFA-AFAD-B3990307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lrclab</cp:lastModifiedBy>
  <cp:revision>7</cp:revision>
  <dcterms:created xsi:type="dcterms:W3CDTF">2009-10-30T22:12:00Z</dcterms:created>
  <dcterms:modified xsi:type="dcterms:W3CDTF">2009-11-04T18:02:00Z</dcterms:modified>
</cp:coreProperties>
</file>