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05" w:rsidRPr="00543E05" w:rsidRDefault="00543E05">
      <w:pPr>
        <w:rPr>
          <w:sz w:val="24"/>
          <w:szCs w:val="24"/>
        </w:rPr>
      </w:pPr>
      <w:r w:rsidRPr="00543E05">
        <w:rPr>
          <w:sz w:val="24"/>
          <w:szCs w:val="24"/>
        </w:rPr>
        <w:t>12/06/12</w:t>
      </w:r>
    </w:p>
    <w:p w:rsidR="00543E05" w:rsidRPr="00543E05" w:rsidRDefault="00543E05" w:rsidP="00543E05">
      <w:pPr>
        <w:jc w:val="right"/>
        <w:rPr>
          <w:sz w:val="24"/>
          <w:szCs w:val="24"/>
        </w:rPr>
      </w:pPr>
      <w:r w:rsidRPr="00543E05">
        <w:rPr>
          <w:sz w:val="24"/>
          <w:szCs w:val="24"/>
        </w:rPr>
        <w:t>Name-</w:t>
      </w:r>
      <w:proofErr w:type="spellStart"/>
      <w:r w:rsidRPr="00543E05">
        <w:rPr>
          <w:sz w:val="24"/>
          <w:szCs w:val="24"/>
        </w:rPr>
        <w:t>Sagar</w:t>
      </w:r>
      <w:proofErr w:type="spellEnd"/>
      <w:r w:rsidRPr="00543E05">
        <w:rPr>
          <w:sz w:val="24"/>
          <w:szCs w:val="24"/>
        </w:rPr>
        <w:t xml:space="preserve"> Desai</w:t>
      </w:r>
    </w:p>
    <w:p w:rsidR="00543E05" w:rsidRPr="00543E05" w:rsidRDefault="00543E05" w:rsidP="00543E05">
      <w:pPr>
        <w:jc w:val="right"/>
        <w:rPr>
          <w:sz w:val="24"/>
          <w:szCs w:val="24"/>
        </w:rPr>
      </w:pPr>
      <w:r w:rsidRPr="00543E05">
        <w:rPr>
          <w:sz w:val="24"/>
          <w:szCs w:val="24"/>
        </w:rPr>
        <w:t xml:space="preserve">Partners- </w:t>
      </w:r>
      <w:proofErr w:type="spellStart"/>
      <w:r w:rsidRPr="00543E05">
        <w:rPr>
          <w:sz w:val="24"/>
          <w:szCs w:val="24"/>
        </w:rPr>
        <w:t>Doumbia</w:t>
      </w:r>
      <w:proofErr w:type="spellEnd"/>
    </w:p>
    <w:p w:rsidR="00543E05" w:rsidRPr="00543E05" w:rsidRDefault="00543E05" w:rsidP="00543E05">
      <w:pPr>
        <w:jc w:val="right"/>
        <w:rPr>
          <w:sz w:val="24"/>
          <w:szCs w:val="24"/>
        </w:rPr>
      </w:pPr>
      <w:r w:rsidRPr="00543E05">
        <w:rPr>
          <w:sz w:val="24"/>
          <w:szCs w:val="24"/>
        </w:rPr>
        <w:t>Pan</w:t>
      </w:r>
    </w:p>
    <w:p w:rsidR="00543E05" w:rsidRDefault="00543E05" w:rsidP="00543E05">
      <w:pPr>
        <w:jc w:val="center"/>
        <w:rPr>
          <w:b/>
          <w:sz w:val="24"/>
          <w:szCs w:val="24"/>
        </w:rPr>
      </w:pPr>
      <w:r w:rsidRPr="00543E05">
        <w:rPr>
          <w:b/>
          <w:sz w:val="24"/>
          <w:szCs w:val="24"/>
        </w:rPr>
        <w:t>Physical Pendulum</w:t>
      </w:r>
    </w:p>
    <w:p w:rsidR="00543E05" w:rsidRDefault="00543E05" w:rsidP="00543E05">
      <w:pPr>
        <w:rPr>
          <w:sz w:val="24"/>
          <w:szCs w:val="24"/>
        </w:rPr>
      </w:pPr>
      <w:r>
        <w:rPr>
          <w:b/>
          <w:sz w:val="24"/>
          <w:szCs w:val="24"/>
        </w:rPr>
        <w:t>Objective-</w:t>
      </w:r>
      <w:r>
        <w:rPr>
          <w:sz w:val="24"/>
          <w:szCs w:val="24"/>
        </w:rPr>
        <w:t xml:space="preserve"> To measure the period of a physi</w:t>
      </w:r>
      <w:bookmarkStart w:id="0" w:name="_GoBack"/>
      <w:bookmarkEnd w:id="0"/>
      <w:r>
        <w:rPr>
          <w:sz w:val="24"/>
          <w:szCs w:val="24"/>
        </w:rPr>
        <w:t>cal pendulum at a different point of suspension and measure its theoretical as well as experimental values.</w:t>
      </w:r>
    </w:p>
    <w:p w:rsidR="00543E05" w:rsidRPr="00543E05" w:rsidRDefault="00543E05" w:rsidP="00543E0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Procedure- </w:t>
      </w:r>
      <w:r>
        <w:rPr>
          <w:sz w:val="24"/>
          <w:szCs w:val="24"/>
        </w:rPr>
        <w:t xml:space="preserve">A rod of .55m was suspended on a hanger. The end of the rod was placed between the photo </w:t>
      </w:r>
      <w:r w:rsidR="00F320BB">
        <w:rPr>
          <w:sz w:val="24"/>
          <w:szCs w:val="24"/>
        </w:rPr>
        <w:t>gates</w:t>
      </w:r>
      <w:r w:rsidR="00B14781">
        <w:rPr>
          <w:sz w:val="24"/>
          <w:szCs w:val="24"/>
        </w:rPr>
        <w:t>. The 11</w:t>
      </w:r>
      <w:r w:rsidR="00B14781" w:rsidRPr="00B14781">
        <w:rPr>
          <w:sz w:val="24"/>
          <w:szCs w:val="24"/>
          <w:vertAlign w:val="superscript"/>
        </w:rPr>
        <w:t>th</w:t>
      </w:r>
      <w:r w:rsidR="00B14781">
        <w:rPr>
          <w:sz w:val="24"/>
          <w:szCs w:val="24"/>
        </w:rPr>
        <w:t xml:space="preserve"> hole was at the center so the center of mass of the rod was at that hole. </w:t>
      </w:r>
      <w:r>
        <w:rPr>
          <w:sz w:val="24"/>
          <w:szCs w:val="24"/>
        </w:rPr>
        <w:t xml:space="preserve"> </w:t>
      </w:r>
      <w:r w:rsidR="00B14781">
        <w:rPr>
          <w:sz w:val="24"/>
          <w:szCs w:val="24"/>
        </w:rPr>
        <w:t>The rod was applied with a minimum force so that the angle that its makes is very small. The photo gate calculated the period for 10 intervals. . T</w:t>
      </w:r>
      <w:r w:rsidR="00B14781" w:rsidRPr="00B14781">
        <w:rPr>
          <w:sz w:val="24"/>
          <w:szCs w:val="24"/>
        </w:rPr>
        <w:t xml:space="preserve">he rod was pivoted at hole </w:t>
      </w:r>
      <w:proofErr w:type="gramStart"/>
      <w:r w:rsidR="00B14781" w:rsidRPr="00B14781">
        <w:rPr>
          <w:sz w:val="24"/>
          <w:szCs w:val="24"/>
        </w:rPr>
        <w:t>1st ,</w:t>
      </w:r>
      <w:proofErr w:type="gramEnd"/>
      <w:r w:rsidR="00B14781" w:rsidRPr="00B14781">
        <w:rPr>
          <w:sz w:val="24"/>
          <w:szCs w:val="24"/>
        </w:rPr>
        <w:t xml:space="preserve"> 3rd, 5th ,7th and 9th respectively</w:t>
      </w:r>
      <w:r w:rsidR="00B14781">
        <w:rPr>
          <w:sz w:val="24"/>
          <w:szCs w:val="24"/>
        </w:rPr>
        <w:t>. The period recorded by the photo gate is the measures period. The measured period is compared to its theoretical period at the pivoted hole.</w:t>
      </w:r>
    </w:p>
    <w:p w:rsidR="00543E05" w:rsidRDefault="00543E05" w:rsidP="00543E0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Theoretical Value</w:t>
      </w:r>
    </w:p>
    <w:p w:rsidR="00543E05" w:rsidRDefault="00543E05" w:rsidP="00543E05">
      <w:pPr>
        <w:rPr>
          <w:sz w:val="24"/>
          <w:szCs w:val="24"/>
        </w:rPr>
      </w:pPr>
      <w:r w:rsidRPr="00543E05">
        <w:rPr>
          <w:sz w:val="24"/>
          <w:szCs w:val="24"/>
        </w:rPr>
        <w:t>Center</w:t>
      </w:r>
      <w:r>
        <w:rPr>
          <w:sz w:val="24"/>
          <w:szCs w:val="24"/>
        </w:rPr>
        <w:t xml:space="preserve"> of mass is at </w:t>
      </w:r>
      <w:r w:rsidRPr="00543E05">
        <w:rPr>
          <w:b/>
          <w:sz w:val="24"/>
          <w:szCs w:val="24"/>
        </w:rPr>
        <w:t>11</w:t>
      </w:r>
      <w:r w:rsidRPr="00543E05">
        <w:rPr>
          <w:b/>
          <w:sz w:val="24"/>
          <w:szCs w:val="24"/>
          <w:vertAlign w:val="superscript"/>
        </w:rPr>
        <w:t>th</w:t>
      </w:r>
      <w:r w:rsidRPr="00543E0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hole.</w:t>
      </w:r>
    </w:p>
    <w:p w:rsidR="00543E05" w:rsidRDefault="00543E05" w:rsidP="00543E05">
      <w:pPr>
        <w:rPr>
          <w:sz w:val="24"/>
          <w:szCs w:val="24"/>
        </w:rPr>
      </w:pPr>
      <w:r>
        <w:rPr>
          <w:sz w:val="24"/>
          <w:szCs w:val="24"/>
        </w:rPr>
        <w:t>Length of the rod</w:t>
      </w:r>
      <w:r w:rsidR="00B14781">
        <w:rPr>
          <w:sz w:val="24"/>
          <w:szCs w:val="24"/>
        </w:rPr>
        <w:t xml:space="preserve"> </w:t>
      </w:r>
      <w:r>
        <w:rPr>
          <w:sz w:val="24"/>
          <w:szCs w:val="24"/>
        </w:rPr>
        <w:t>(L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.55m</w:t>
      </w:r>
    </w:p>
    <w:p w:rsidR="00543E05" w:rsidRPr="00543E05" w:rsidRDefault="00543E05" w:rsidP="00543E05">
      <w:pPr>
        <w:rPr>
          <w:sz w:val="24"/>
          <w:szCs w:val="24"/>
        </w:rPr>
      </w:pPr>
      <w:r>
        <w:rPr>
          <w:sz w:val="24"/>
          <w:szCs w:val="24"/>
        </w:rPr>
        <w:t>Distance between the holes =.025 m</w:t>
      </w:r>
    </w:p>
    <w:p w:rsidR="00543E05" w:rsidRDefault="00543E05" w:rsidP="00543E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Theoretical Value= </w:t>
      </w:r>
    </w:p>
    <w:p w:rsidR="00543E05" w:rsidRDefault="00543E05" w:rsidP="00543E05">
      <w:pPr>
        <w:rPr>
          <w:sz w:val="24"/>
          <w:szCs w:val="24"/>
        </w:rPr>
      </w:pPr>
    </w:p>
    <w:p w:rsidR="00B14781" w:rsidRDefault="00B14781" w:rsidP="00543E05">
      <w:pPr>
        <w:rPr>
          <w:sz w:val="24"/>
          <w:szCs w:val="24"/>
        </w:rPr>
      </w:pPr>
    </w:p>
    <w:p w:rsidR="00B14781" w:rsidRDefault="00B14781" w:rsidP="00543E05">
      <w:pPr>
        <w:rPr>
          <w:sz w:val="24"/>
          <w:szCs w:val="24"/>
        </w:rPr>
      </w:pPr>
    </w:p>
    <w:p w:rsidR="00B14781" w:rsidRDefault="00B14781" w:rsidP="00543E0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14781" w:rsidTr="00B14781"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Pivot at the hole #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(distance between the 11</w:t>
            </w:r>
            <w:r w:rsidRPr="00B1478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hole and the pivoted hole in m)</w:t>
            </w:r>
          </w:p>
        </w:tc>
        <w:tc>
          <w:tcPr>
            <w:tcW w:w="1915" w:type="dxa"/>
          </w:tcPr>
          <w:p w:rsidR="00B14781" w:rsidRP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(measured)</w:t>
            </w:r>
            <w:r>
              <w:rPr>
                <w:sz w:val="24"/>
                <w:szCs w:val="24"/>
              </w:rPr>
              <w:t xml:space="preserve"> </w:t>
            </w:r>
            <w:r w:rsidR="00C71EC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sec</w:t>
            </w:r>
            <w:r w:rsidR="00C71EC9">
              <w:rPr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B14781" w:rsidRP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(theoretical)</w:t>
            </w:r>
            <w:r>
              <w:rPr>
                <w:sz w:val="24"/>
                <w:szCs w:val="24"/>
              </w:rPr>
              <w:t xml:space="preserve"> </w:t>
            </w:r>
            <w:r w:rsidR="00C71EC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sec</w:t>
            </w:r>
            <w:r w:rsidR="00C71EC9">
              <w:rPr>
                <w:sz w:val="24"/>
                <w:szCs w:val="24"/>
              </w:rPr>
              <w:t>)</w:t>
            </w:r>
          </w:p>
        </w:tc>
        <w:tc>
          <w:tcPr>
            <w:tcW w:w="1916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%difference</w:t>
            </w:r>
          </w:p>
        </w:tc>
      </w:tr>
      <w:tr w:rsidR="00B14781" w:rsidTr="00B14781"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.25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1.1814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1.1888</w:t>
            </w:r>
          </w:p>
        </w:tc>
        <w:tc>
          <w:tcPr>
            <w:tcW w:w="1916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.62 %</w:t>
            </w:r>
          </w:p>
        </w:tc>
      </w:tr>
      <w:tr w:rsidR="00B14781" w:rsidTr="00B14781"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1.1369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1.1460</w:t>
            </w:r>
          </w:p>
        </w:tc>
        <w:tc>
          <w:tcPr>
            <w:tcW w:w="1916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.79 %</w:t>
            </w:r>
          </w:p>
        </w:tc>
      </w:tr>
      <w:tr w:rsidR="00B14781" w:rsidTr="00B14781"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.15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1.1204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1.1319</w:t>
            </w:r>
          </w:p>
        </w:tc>
        <w:tc>
          <w:tcPr>
            <w:tcW w:w="1916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1.01 %</w:t>
            </w:r>
          </w:p>
        </w:tc>
      </w:tr>
      <w:tr w:rsidR="00B14781" w:rsidTr="00B14781"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1.1628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1.1909</w:t>
            </w:r>
          </w:p>
        </w:tc>
        <w:tc>
          <w:tcPr>
            <w:tcW w:w="1916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2.35 %</w:t>
            </w:r>
          </w:p>
        </w:tc>
      </w:tr>
      <w:tr w:rsidR="00B14781" w:rsidTr="00B14781"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1.4123</w:t>
            </w:r>
          </w:p>
        </w:tc>
        <w:tc>
          <w:tcPr>
            <w:tcW w:w="1915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1.4941</w:t>
            </w:r>
          </w:p>
        </w:tc>
        <w:tc>
          <w:tcPr>
            <w:tcW w:w="1916" w:type="dxa"/>
          </w:tcPr>
          <w:p w:rsidR="00B14781" w:rsidRDefault="00B14781" w:rsidP="00543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5.47 %</w:t>
            </w:r>
          </w:p>
        </w:tc>
      </w:tr>
    </w:tbl>
    <w:p w:rsidR="00B14781" w:rsidRDefault="00B14781" w:rsidP="00543E05">
      <w:pPr>
        <w:rPr>
          <w:sz w:val="24"/>
          <w:szCs w:val="24"/>
        </w:rPr>
      </w:pPr>
    </w:p>
    <w:p w:rsidR="00543E05" w:rsidRDefault="00543E05" w:rsidP="00543E05">
      <w:pPr>
        <w:rPr>
          <w:sz w:val="24"/>
          <w:szCs w:val="24"/>
        </w:rPr>
      </w:pPr>
    </w:p>
    <w:p w:rsidR="00543E05" w:rsidRDefault="0000347E" w:rsidP="00543E05">
      <w:pPr>
        <w:rPr>
          <w:b/>
          <w:sz w:val="24"/>
          <w:szCs w:val="24"/>
        </w:rPr>
      </w:pPr>
      <w:r w:rsidRPr="0000347E">
        <w:rPr>
          <w:b/>
          <w:sz w:val="24"/>
          <w:szCs w:val="24"/>
        </w:rPr>
        <w:t>The dependence of distance and the period</w:t>
      </w:r>
      <w:r w:rsidR="008247CC">
        <w:rPr>
          <w:b/>
          <w:sz w:val="24"/>
          <w:szCs w:val="24"/>
        </w:rPr>
        <w:t>-</w:t>
      </w:r>
    </w:p>
    <w:p w:rsidR="008247CC" w:rsidRPr="008247CC" w:rsidRDefault="008247CC" w:rsidP="00543E05">
      <w:pPr>
        <w:rPr>
          <w:sz w:val="24"/>
          <w:szCs w:val="24"/>
        </w:rPr>
      </w:pPr>
      <w:r>
        <w:rPr>
          <w:sz w:val="24"/>
          <w:szCs w:val="24"/>
        </w:rPr>
        <w:t>The period of the pendulum (</w:t>
      </w:r>
      <w:r w:rsidRPr="00F320BB">
        <w:rPr>
          <w:b/>
          <w:sz w:val="24"/>
          <w:szCs w:val="24"/>
        </w:rPr>
        <w:t>T</w:t>
      </w:r>
      <w:r>
        <w:rPr>
          <w:sz w:val="24"/>
          <w:szCs w:val="24"/>
        </w:rPr>
        <w:t>) varies with distance (</w:t>
      </w:r>
      <w:r w:rsidRPr="00F320BB"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), where d is the distance from the center of mass. When the object at the center of mass, we get no oscillations. This </w:t>
      </w:r>
      <w:r w:rsidR="00C507AA">
        <w:rPr>
          <w:sz w:val="24"/>
          <w:szCs w:val="24"/>
        </w:rPr>
        <w:t>phenomenon</w:t>
      </w:r>
      <w:r>
        <w:rPr>
          <w:sz w:val="24"/>
          <w:szCs w:val="24"/>
        </w:rPr>
        <w:t xml:space="preserve"> is observed in the graph. The </w:t>
      </w:r>
      <w:r w:rsidR="00C507AA">
        <w:rPr>
          <w:sz w:val="24"/>
          <w:szCs w:val="24"/>
        </w:rPr>
        <w:t>line</w:t>
      </w:r>
      <w:r>
        <w:rPr>
          <w:sz w:val="24"/>
          <w:szCs w:val="24"/>
        </w:rPr>
        <w:t xml:space="preserve"> goes to infinity when the </w:t>
      </w:r>
      <w:r w:rsidRPr="00F320BB"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 is zero. As the d increases the curve decreases. </w:t>
      </w:r>
      <w:r w:rsidR="00C507AA">
        <w:rPr>
          <w:sz w:val="24"/>
          <w:szCs w:val="24"/>
        </w:rPr>
        <w:t>We see that the Period (</w:t>
      </w:r>
      <w:r w:rsidR="00C507AA" w:rsidRPr="00F320BB">
        <w:rPr>
          <w:b/>
          <w:sz w:val="24"/>
          <w:szCs w:val="24"/>
        </w:rPr>
        <w:t>T</w:t>
      </w:r>
      <w:r w:rsidR="00C507AA">
        <w:rPr>
          <w:sz w:val="24"/>
          <w:szCs w:val="24"/>
        </w:rPr>
        <w:t xml:space="preserve">) is inversely proportional to </w:t>
      </w:r>
      <w:proofErr w:type="spellStart"/>
      <w:r w:rsidR="00C507AA" w:rsidRPr="00F320BB">
        <w:rPr>
          <w:b/>
          <w:sz w:val="24"/>
          <w:szCs w:val="24"/>
        </w:rPr>
        <w:t>d</w:t>
      </w:r>
      <w:proofErr w:type="spellEnd"/>
      <w:r w:rsidR="00C507AA">
        <w:rPr>
          <w:sz w:val="24"/>
          <w:szCs w:val="24"/>
        </w:rPr>
        <w:t xml:space="preserve">. It is because the value of </w:t>
      </w:r>
      <w:r w:rsidR="00C507AA" w:rsidRPr="00F320BB">
        <w:rPr>
          <w:b/>
          <w:sz w:val="24"/>
          <w:szCs w:val="24"/>
        </w:rPr>
        <w:t xml:space="preserve">d </w:t>
      </w:r>
      <w:r w:rsidR="00C507AA">
        <w:rPr>
          <w:sz w:val="24"/>
          <w:szCs w:val="24"/>
        </w:rPr>
        <w:t xml:space="preserve">is too small to influence the period. But after certain point the line starts to </w:t>
      </w:r>
      <w:r w:rsidR="00F320BB">
        <w:rPr>
          <w:sz w:val="24"/>
          <w:szCs w:val="24"/>
        </w:rPr>
        <w:t>increase</w:t>
      </w:r>
      <w:r w:rsidR="00C507AA">
        <w:rPr>
          <w:sz w:val="24"/>
          <w:szCs w:val="24"/>
        </w:rPr>
        <w:t xml:space="preserve"> and now the period is directly proportional to </w:t>
      </w:r>
      <w:proofErr w:type="spellStart"/>
      <w:r w:rsidR="00C507AA" w:rsidRPr="00F320BB">
        <w:rPr>
          <w:b/>
          <w:sz w:val="24"/>
          <w:szCs w:val="24"/>
        </w:rPr>
        <w:t>d</w:t>
      </w:r>
      <w:proofErr w:type="spellEnd"/>
      <w:r w:rsidR="00C507AA">
        <w:rPr>
          <w:sz w:val="24"/>
          <w:szCs w:val="24"/>
        </w:rPr>
        <w:t xml:space="preserve">. It is because the value of d is large to influence the value of </w:t>
      </w:r>
      <w:r w:rsidR="00C507AA" w:rsidRPr="00F320BB">
        <w:rPr>
          <w:b/>
          <w:sz w:val="24"/>
          <w:szCs w:val="24"/>
        </w:rPr>
        <w:t>T</w:t>
      </w:r>
      <w:r w:rsidR="00C507AA">
        <w:rPr>
          <w:sz w:val="24"/>
          <w:szCs w:val="24"/>
        </w:rPr>
        <w:t>.</w:t>
      </w:r>
    </w:p>
    <w:p w:rsidR="00543E05" w:rsidRPr="00543E05" w:rsidRDefault="00543E05" w:rsidP="00543E05">
      <w:pPr>
        <w:rPr>
          <w:sz w:val="24"/>
          <w:szCs w:val="24"/>
        </w:rPr>
      </w:pPr>
    </w:p>
    <w:sectPr w:rsidR="00543E05" w:rsidRPr="0054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05"/>
    <w:rsid w:val="0000347E"/>
    <w:rsid w:val="001A5F50"/>
    <w:rsid w:val="00543E05"/>
    <w:rsid w:val="00594C05"/>
    <w:rsid w:val="008247CC"/>
    <w:rsid w:val="00860EF4"/>
    <w:rsid w:val="00B14781"/>
    <w:rsid w:val="00C507AA"/>
    <w:rsid w:val="00C71EC9"/>
    <w:rsid w:val="00F3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3E05"/>
    <w:rPr>
      <w:color w:val="808080"/>
    </w:rPr>
  </w:style>
  <w:style w:type="table" w:styleId="TableGrid">
    <w:name w:val="Table Grid"/>
    <w:basedOn w:val="TableNormal"/>
    <w:uiPriority w:val="59"/>
    <w:rsid w:val="00B14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3E05"/>
    <w:rPr>
      <w:color w:val="808080"/>
    </w:rPr>
  </w:style>
  <w:style w:type="table" w:styleId="TableGrid">
    <w:name w:val="Table Grid"/>
    <w:basedOn w:val="TableNormal"/>
    <w:uiPriority w:val="59"/>
    <w:rsid w:val="00B14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Camden County College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7</cp:revision>
  <cp:lastPrinted>2012-12-13T13:16:00Z</cp:lastPrinted>
  <dcterms:created xsi:type="dcterms:W3CDTF">2012-12-04T14:11:00Z</dcterms:created>
  <dcterms:modified xsi:type="dcterms:W3CDTF">2012-12-13T13:29:00Z</dcterms:modified>
</cp:coreProperties>
</file>