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Calibri" w:cs="Calibri" w:eastAsia="Calibri" w:hAnsi="Calibri"/>
          <w:b/>
          <w:bCs/>
          <w:color w:val="1F3864"/>
          <w:sz w:val="44"/>
          <w:szCs w:val="44"/>
        </w:rPr>
        <w:t xml:space="preserve">GST Revenue and Compliance Monitoring Dashboard</w:t>
      </w:r>
    </w:p>
    <w:p>
      <w:pPr>
        <w:spacing w:after="80"/>
        <w:jc w:val="center"/>
      </w:pPr>
      <w:r>
        <w:rPr>
          <w:rFonts w:ascii="Calibri" w:cs="Calibri" w:eastAsia="Calibri" w:hAnsi="Calibri"/>
          <w:color w:val="2E5597"/>
          <w:sz w:val="26"/>
          <w:szCs w:val="26"/>
        </w:rPr>
        <w:t xml:space="preserve">Week 3: Data Visualization and Dashboard Conceptualization</w:t>
      </w:r>
    </w:p>
    <w:p>
      <w:pPr>
        <w:pBdr>
          <w:bottom w:val="single" w:color="2E5597" w:sz="8" w:space="6"/>
        </w:pBdr>
        <w:spacing w:after="240"/>
        <w:jc w:val="center"/>
      </w:pPr>
      <w:r>
        <w:rPr>
          <w:rFonts w:ascii="Calibri" w:cs="Calibri" w:eastAsia="Calibri" w:hAnsi="Calibri"/>
          <w:i/>
          <w:iCs/>
          <w:sz w:val="22"/>
          <w:szCs w:val="22"/>
        </w:rPr>
        <w:t xml:space="preserve">Prepared by: Junior Business Analytics Specialist (GST Practitioner)</w:t>
      </w:r>
    </w:p>
    <w:p>
      <w:pPr>
        <w:pStyle w:val="Heading1"/>
        <w:spacing w:after="120" w:before="280"/>
      </w:pPr>
      <w:r>
        <w:rPr>
          <w:rFonts w:ascii="Calibri" w:cs="Calibri" w:eastAsia="Calibri" w:hAnsi="Calibri"/>
          <w:b/>
          <w:bCs/>
          <w:color w:val="1F3864"/>
          <w:sz w:val="30"/>
          <w:szCs w:val="30"/>
        </w:rPr>
        <w:t xml:space="preserve">1. Introduction and Objective</w:t>
      </w:r>
    </w:p>
    <w:p>
      <w:pPr>
        <w:spacing w:after="120" w:line="276"/>
      </w:pPr>
      <w:r>
        <w:rPr>
          <w:rFonts w:ascii="Calibri" w:cs="Calibri" w:eastAsia="Calibri" w:hAnsi="Calibri"/>
          <w:sz w:val="22"/>
          <w:szCs w:val="22"/>
        </w:rPr>
        <w:t xml:space="preserve">Goods and Services Tax (GST) generates large volumes of transactional and return data every month: outward supplies, input tax credit (ITC), tax payments, e-invoices, e-way bills and refunds. For a business, a tax practitioner or a revenue team, the difficulty is not a lack of data but a lack of clarity. Spreadsheets of GSTR-1, GSTR-3B and GSTR-2B figures rarely reveal mismatches, late filings or unusual ITC claims until a notice arrives.</w:t>
      </w:r>
    </w:p>
    <w:p>
      <w:pPr>
        <w:spacing w:after="120" w:line="276"/>
      </w:pPr>
      <w:r>
        <w:rPr>
          <w:rFonts w:ascii="Calibri" w:cs="Calibri" w:eastAsia="Calibri" w:hAnsi="Calibri"/>
          <w:sz w:val="22"/>
          <w:szCs w:val="22"/>
        </w:rPr>
        <w:t xml:space="preserve">This report presents a blueprint for an interactive GST dashboard that converts that data into visual insight. It aims to (a) monitor GST revenue and liability trends, (b) identify compliance gaps early, and (c) support timely, evidence-based decisions. The design is conceptual but practical, and can be built with widely available tools.</w:t>
      </w:r>
    </w:p>
    <w:p>
      <w:pPr>
        <w:pStyle w:val="Heading1"/>
        <w:spacing w:after="120" w:before="280"/>
      </w:pPr>
      <w:r>
        <w:rPr>
          <w:rFonts w:ascii="Calibri" w:cs="Calibri" w:eastAsia="Calibri" w:hAnsi="Calibri"/>
          <w:b/>
          <w:bCs/>
          <w:color w:val="1F3864"/>
          <w:sz w:val="30"/>
          <w:szCs w:val="30"/>
        </w:rPr>
        <w:t xml:space="preserve">2. Research Summary: Visualization Best Practices</w:t>
      </w:r>
    </w:p>
    <w:p>
      <w:pPr>
        <w:spacing w:after="120" w:line="276"/>
      </w:pPr>
      <w:r>
        <w:rPr>
          <w:rFonts w:ascii="Calibri" w:cs="Calibri" w:eastAsia="Calibri" w:hAnsi="Calibri"/>
          <w:sz w:val="22"/>
          <w:szCs w:val="22"/>
        </w:rPr>
        <w:t xml:space="preserve">The design draws on established principles from Stephen Few (dashboard design), Edward Tufte (data-ink ratio) and Cole Nussbaumer Knaflic (storytelling with data), adapted for financial and compliance settings:</w:t>
      </w:r>
    </w:p>
    <w:p>
      <w:pPr>
        <w:pStyle w:val="ListParagraph"/>
        <w:numPr>
          <w:ilvl w:val="0"/>
          <w:numId w:val="2"/>
        </w:numPr>
        <w:spacing w:after="70" w:line="276"/>
      </w:pPr>
      <w:r>
        <w:rPr>
          <w:rFonts w:ascii="Calibri" w:cs="Calibri" w:eastAsia="Calibri" w:hAnsi="Calibri"/>
          <w:b/>
          <w:bCs/>
          <w:sz w:val="22"/>
          <w:szCs w:val="22"/>
        </w:rPr>
        <w:t xml:space="preserve">Single-screen summary first. </w:t>
      </w:r>
      <w:r>
        <w:rPr>
          <w:rFonts w:ascii="Calibri" w:cs="Calibri" w:eastAsia="Calibri" w:hAnsi="Calibri"/>
          <w:sz w:val="22"/>
          <w:szCs w:val="22"/>
        </w:rPr>
        <w:t xml:space="preserve">A dashboard should answer the main question (are we compliant, and what is our tax position?) at a glance, with detail available on demand through drill-down.</w:t>
      </w:r>
    </w:p>
    <w:p>
      <w:pPr>
        <w:pStyle w:val="ListParagraph"/>
        <w:numPr>
          <w:ilvl w:val="0"/>
          <w:numId w:val="2"/>
        </w:numPr>
        <w:spacing w:after="70" w:line="276"/>
      </w:pPr>
      <w:r>
        <w:rPr>
          <w:rFonts w:ascii="Calibri" w:cs="Calibri" w:eastAsia="Calibri" w:hAnsi="Calibri"/>
          <w:b/>
          <w:bCs/>
          <w:sz w:val="22"/>
          <w:szCs w:val="22"/>
        </w:rPr>
        <w:t xml:space="preserve">Right chart for the question. </w:t>
      </w:r>
      <w:r>
        <w:rPr>
          <w:rFonts w:ascii="Calibri" w:cs="Calibri" w:eastAsia="Calibri" w:hAnsi="Calibri"/>
          <w:sz w:val="22"/>
          <w:szCs w:val="22"/>
        </w:rPr>
        <w:t xml:space="preserve">Line charts for trends over time, bar charts for comparisons, waterfall charts for reconciliations, heat maps for patterns across period and entity, and gauges or bullet charts only for targets.</w:t>
      </w:r>
    </w:p>
    <w:p>
      <w:pPr>
        <w:pStyle w:val="ListParagraph"/>
        <w:numPr>
          <w:ilvl w:val="0"/>
          <w:numId w:val="2"/>
        </w:numPr>
        <w:spacing w:after="70" w:line="276"/>
      </w:pPr>
      <w:r>
        <w:rPr>
          <w:rFonts w:ascii="Calibri" w:cs="Calibri" w:eastAsia="Calibri" w:hAnsi="Calibri"/>
          <w:b/>
          <w:bCs/>
          <w:sz w:val="22"/>
          <w:szCs w:val="22"/>
        </w:rPr>
        <w:t xml:space="preserve">Reduce clutter. </w:t>
      </w:r>
      <w:r>
        <w:rPr>
          <w:rFonts w:ascii="Calibri" w:cs="Calibri" w:eastAsia="Calibri" w:hAnsi="Calibri"/>
          <w:sz w:val="22"/>
          <w:szCs w:val="22"/>
        </w:rPr>
        <w:t xml:space="preserve">Avoid 3-D effects, decorative gradients and excess colour. Every element should carry information.</w:t>
      </w:r>
    </w:p>
    <w:p>
      <w:pPr>
        <w:pStyle w:val="ListParagraph"/>
        <w:numPr>
          <w:ilvl w:val="0"/>
          <w:numId w:val="2"/>
        </w:numPr>
        <w:spacing w:after="70" w:line="276"/>
      </w:pPr>
      <w:r>
        <w:rPr>
          <w:rFonts w:ascii="Calibri" w:cs="Calibri" w:eastAsia="Calibri" w:hAnsi="Calibri"/>
          <w:b/>
          <w:bCs/>
          <w:sz w:val="22"/>
          <w:szCs w:val="22"/>
        </w:rPr>
        <w:t xml:space="preserve">Meaningful, restrained colour. </w:t>
      </w:r>
      <w:r>
        <w:rPr>
          <w:rFonts w:ascii="Calibri" w:cs="Calibri" w:eastAsia="Calibri" w:hAnsi="Calibri"/>
          <w:sz w:val="22"/>
          <w:szCs w:val="22"/>
        </w:rPr>
        <w:t xml:space="preserve">Use red, amber and green (RAG) only for status, and add icons or labels so colour-blind users are not excluded. Neutral blues and greys carry the rest.</w:t>
      </w:r>
    </w:p>
    <w:p>
      <w:pPr>
        <w:pStyle w:val="ListParagraph"/>
        <w:numPr>
          <w:ilvl w:val="0"/>
          <w:numId w:val="2"/>
        </w:numPr>
        <w:spacing w:after="70" w:line="276"/>
      </w:pPr>
      <w:r>
        <w:rPr>
          <w:rFonts w:ascii="Calibri" w:cs="Calibri" w:eastAsia="Calibri" w:hAnsi="Calibri"/>
          <w:b/>
          <w:bCs/>
          <w:sz w:val="22"/>
          <w:szCs w:val="22"/>
        </w:rPr>
        <w:t xml:space="preserve">Context for every number. </w:t>
      </w:r>
      <w:r>
        <w:rPr>
          <w:rFonts w:ascii="Calibri" w:cs="Calibri" w:eastAsia="Calibri" w:hAnsi="Calibri"/>
          <w:sz w:val="22"/>
          <w:szCs w:val="22"/>
        </w:rPr>
        <w:t xml:space="preserve">A KPI card should show the value, comparison with the previous period or last year, and a trend sparkline.</w:t>
      </w:r>
    </w:p>
    <w:p>
      <w:pPr>
        <w:pStyle w:val="ListParagraph"/>
        <w:numPr>
          <w:ilvl w:val="0"/>
          <w:numId w:val="2"/>
        </w:numPr>
        <w:spacing w:after="70" w:line="276"/>
      </w:pPr>
      <w:r>
        <w:rPr>
          <w:rFonts w:ascii="Calibri" w:cs="Calibri" w:eastAsia="Calibri" w:hAnsi="Calibri"/>
          <w:b/>
          <w:bCs/>
          <w:sz w:val="22"/>
          <w:szCs w:val="22"/>
        </w:rPr>
        <w:t xml:space="preserve">Exception-driven design. </w:t>
      </w:r>
      <w:r>
        <w:rPr>
          <w:rFonts w:ascii="Calibri" w:cs="Calibri" w:eastAsia="Calibri" w:hAnsi="Calibri"/>
          <w:sz w:val="22"/>
          <w:szCs w:val="22"/>
        </w:rPr>
        <w:t xml:space="preserve">In compliance work, the user's attention should be drawn to what is wrong. Alerts and ranked exception lists matter more than totals.</w:t>
      </w:r>
    </w:p>
    <w:p>
      <w:pPr>
        <w:pStyle w:val="ListParagraph"/>
        <w:numPr>
          <w:ilvl w:val="0"/>
          <w:numId w:val="2"/>
        </w:numPr>
        <w:spacing w:after="70" w:line="276"/>
      </w:pPr>
      <w:r>
        <w:rPr>
          <w:rFonts w:ascii="Calibri" w:cs="Calibri" w:eastAsia="Calibri" w:hAnsi="Calibri"/>
          <w:b/>
          <w:bCs/>
          <w:sz w:val="22"/>
          <w:szCs w:val="22"/>
        </w:rPr>
        <w:t xml:space="preserve">Governance and trust. </w:t>
      </w:r>
      <w:r>
        <w:rPr>
          <w:rFonts w:ascii="Calibri" w:cs="Calibri" w:eastAsia="Calibri" w:hAnsi="Calibri"/>
          <w:sz w:val="22"/>
          <w:szCs w:val="22"/>
        </w:rPr>
        <w:t xml:space="preserve">Show the data refresh date, definitions of each KPI and the source return, so the numbers can be audited.</w:t>
      </w:r>
    </w:p>
    <w:p>
      <w:pPr>
        <w:pStyle w:val="Heading1"/>
        <w:spacing w:after="120" w:before="280"/>
      </w:pPr>
      <w:r>
        <w:rPr>
          <w:rFonts w:ascii="Calibri" w:cs="Calibri" w:eastAsia="Calibri" w:hAnsi="Calibri"/>
          <w:b/>
          <w:bCs/>
          <w:color w:val="1F3864"/>
          <w:sz w:val="30"/>
          <w:szCs w:val="30"/>
        </w:rPr>
        <w:t xml:space="preserve">3. Users and Business Questions</w:t>
      </w:r>
    </w:p>
    <w:p>
      <w:pPr>
        <w:spacing w:after="120" w:line="276"/>
      </w:pPr>
      <w:r>
        <w:rPr>
          <w:rFonts w:ascii="Calibri" w:cs="Calibri" w:eastAsia="Calibri" w:hAnsi="Calibri"/>
          <w:sz w:val="22"/>
          <w:szCs w:val="22"/>
        </w:rPr>
        <w:t xml:space="preserve">The dashboard serves three audiences, each with different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User</w:t>
            </w:r>
          </w:p>
        </w:tc>
        <w:tc>
          <w:tcPr>
            <w:tcW w:type="dxa" w:w="3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Key questions</w:t>
            </w:r>
          </w:p>
        </w:tc>
        <w:tc>
          <w:tcPr>
            <w:tcW w:type="dxa" w:w="35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Typical use</w:t>
            </w:r>
          </w:p>
        </w:tc>
      </w:tr>
      <w:tr>
        <w:trPr>
          <w:tblHeader w:val="false"/>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Finance head / CFO</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What is our monthly liability? Is cash tax rising? How much ITC is at risk?</w:t>
            </w:r>
          </w:p>
        </w:tc>
        <w:tc>
          <w:tcPr>
            <w:tcW w:type="dxa" w:w="35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Strategy, cash-flow planning</w:t>
            </w:r>
          </w:p>
        </w:tc>
      </w:tr>
      <w:tr>
        <w:trPr>
          <w:tblHeader w:val="false"/>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GST practitioner / tax team</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Which returns are pending? Which suppliers cause mismatches? What will the notice risk be?</w:t>
            </w:r>
          </w:p>
        </w:tc>
        <w:tc>
          <w:tcPr>
            <w:tcW w:type="dxa" w:w="35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Monthly filing, reconciliation</w:t>
            </w:r>
          </w:p>
        </w:tc>
      </w:tr>
      <w:tr>
        <w:trPr>
          <w:tblHeader w:val="false"/>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Revenue / audit officer</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Which taxpayers or sectors show unusual behaviour? How does collection compare with target?</w:t>
            </w:r>
          </w:p>
        </w:tc>
        <w:tc>
          <w:tcPr>
            <w:tcW w:type="dxa" w:w="35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Compliance review, risk-based scrutiny</w:t>
            </w:r>
          </w:p>
        </w:tc>
      </w:tr>
    </w:tbl>
    <w:p>
      <w:pPr>
        <w:spacing w:after="80"/>
      </w:pPr>
    </w:p>
    <w:p>
      <w:pPr>
        <w:pStyle w:val="Heading1"/>
        <w:spacing w:after="120" w:before="280"/>
      </w:pPr>
      <w:r>
        <w:rPr>
          <w:rFonts w:ascii="Calibri" w:cs="Calibri" w:eastAsia="Calibri" w:hAnsi="Calibri"/>
          <w:b/>
          <w:bCs/>
          <w:color w:val="1F3864"/>
          <w:sz w:val="30"/>
          <w:szCs w:val="30"/>
        </w:rPr>
        <w:t xml:space="preserve">4. Data Sources</w:t>
      </w:r>
    </w:p>
    <w:p>
      <w:pPr>
        <w:spacing w:after="120" w:line="276"/>
      </w:pPr>
      <w:r>
        <w:rPr>
          <w:rFonts w:ascii="Calibri" w:cs="Calibri" w:eastAsia="Calibri" w:hAnsi="Calibri"/>
          <w:sz w:val="22"/>
          <w:szCs w:val="22"/>
        </w:rPr>
        <w:t xml:space="preserve">A reliable dashboard depends on clean, reconciled data. The proposed sources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rPr>
          <w:tblHeader/>
        </w:trPr>
        <w:tc>
          <w:tcPr>
            <w:tcW w:type="dxa" w:w="2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Source</w:t>
            </w:r>
          </w:p>
        </w:tc>
        <w:tc>
          <w:tcPr>
            <w:tcW w:type="dxa" w:w="38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Data provided</w:t>
            </w:r>
          </w:p>
        </w:tc>
        <w:tc>
          <w:tcPr>
            <w:tcW w:type="dxa" w:w="3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Refresh frequency</w:t>
            </w:r>
          </w:p>
        </w:tc>
      </w:tr>
      <w:tr>
        <w:trPr>
          <w:tblHeader w:val="false"/>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GST portal returns (GSTR-1, GSTR-3B, GSTR-9)</w:t>
            </w:r>
          </w:p>
        </w:tc>
        <w:tc>
          <w:tcPr>
            <w:tcW w:type="dxa" w:w="38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Outward supplies, tax liability, tax paid, annual turnover</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Monthly / annually</w:t>
            </w:r>
          </w:p>
        </w:tc>
      </w:tr>
      <w:tr>
        <w:trPr>
          <w:tblHeader w:val="false"/>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GSTR-2B and GSTR-2A (auto-drafted ITC)</w:t>
            </w:r>
          </w:p>
        </w:tc>
        <w:tc>
          <w:tcPr>
            <w:tcW w:type="dxa" w:w="38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Supplier-reported inward supplies, eligible ITC</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Monthly</w:t>
            </w:r>
          </w:p>
        </w:tc>
      </w:tr>
      <w:tr>
        <w:trPr>
          <w:tblHeader w:val="false"/>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E-invoice (IRP) and e-way bill portals</w:t>
            </w:r>
          </w:p>
        </w:tc>
        <w:tc>
          <w:tcPr>
            <w:tcW w:type="dxa" w:w="38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Invoice-level B2B data, goods movement, value</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Daily / weekly</w:t>
            </w:r>
          </w:p>
        </w:tc>
      </w:tr>
      <w:tr>
        <w:trPr>
          <w:tblHeader w:val="false"/>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Company ERP or accounting software (Tally, SAP, Zoho Books)</w:t>
            </w:r>
          </w:p>
        </w:tc>
        <w:tc>
          <w:tcPr>
            <w:tcW w:type="dxa" w:w="38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Sales and purchase registers, ledgers, credit notes, books ITC</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Daily</w:t>
            </w:r>
          </w:p>
        </w:tc>
      </w:tr>
      <w:tr>
        <w:trPr>
          <w:tblHeader w:val="false"/>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Electronic ledgers (cash, credit, liability)</w:t>
            </w:r>
          </w:p>
        </w:tc>
        <w:tc>
          <w:tcPr>
            <w:tcW w:type="dxa" w:w="38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Balances, payments, utilisation of ITC</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Monthly</w:t>
            </w:r>
          </w:p>
        </w:tc>
      </w:tr>
      <w:tr>
        <w:trPr>
          <w:tblHeader w:val="false"/>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Refund and notice tracker</w:t>
            </w:r>
          </w:p>
        </w:tc>
        <w:tc>
          <w:tcPr>
            <w:tcW w:type="dxa" w:w="38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Refund claims, show-cause notices, replies and due dates</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As updated</w:t>
            </w:r>
          </w:p>
        </w:tc>
      </w:tr>
      <w:tr>
        <w:trPr>
          <w:tblHeader w:val="false"/>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External: HSN master, GSTIN validation, public GSTN data</w:t>
            </w:r>
          </w:p>
        </w:tc>
        <w:tc>
          <w:tcPr>
            <w:tcW w:type="dxa" w:w="38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Rate validation, supplier status (active, cancelled)</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Periodic</w:t>
            </w:r>
          </w:p>
        </w:tc>
      </w:tr>
    </w:tbl>
    <w:p>
      <w:pPr>
        <w:spacing w:after="80"/>
      </w:pPr>
    </w:p>
    <w:p>
      <w:pPr>
        <w:spacing w:after="120" w:line="276"/>
      </w:pPr>
      <w:r>
        <w:rPr>
          <w:rFonts w:ascii="Calibri" w:cs="Calibri" w:eastAsia="Calibri" w:hAnsi="Calibri"/>
          <w:sz w:val="22"/>
          <w:szCs w:val="22"/>
        </w:rPr>
        <w:t xml:space="preserve">Data from these sources would be extracted using exports or GST Suvidha Provider (GSP) APIs, loaded into a central database, cleaned (standardising GSTIN, invoice numbers, dates and tax-rate fields) and modelled into fact tables (invoices, returns, payments) and dimension tables (taxpayer, supplier, product, state, period).</w:t>
      </w:r>
    </w:p>
    <w:p>
      <w:pPr>
        <w:pStyle w:val="Heading1"/>
        <w:spacing w:after="120" w:before="280"/>
      </w:pPr>
      <w:r>
        <w:rPr>
          <w:rFonts w:ascii="Calibri" w:cs="Calibri" w:eastAsia="Calibri" w:hAnsi="Calibri"/>
          <w:b/>
          <w:bCs/>
          <w:color w:val="1F3864"/>
          <w:sz w:val="30"/>
          <w:szCs w:val="30"/>
        </w:rPr>
        <w:t xml:space="preserve">5. Core KPIs and Their Visualization</w:t>
      </w:r>
    </w:p>
    <w:p>
      <w:pPr>
        <w:spacing w:after="120" w:line="276"/>
      </w:pPr>
      <w:r>
        <w:rPr>
          <w:rFonts w:ascii="Calibri" w:cs="Calibri" w:eastAsia="Calibri" w:hAnsi="Calibri"/>
          <w:sz w:val="22"/>
          <w:szCs w:val="22"/>
        </w:rPr>
        <w:t xml:space="preserve">The KPIs are grouped by theme. Each is paired with a suitable visual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1960"/>
        <w:gridCol w:w="1800"/>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KPI</w:t>
            </w:r>
          </w:p>
        </w:tc>
        <w:tc>
          <w:tcPr>
            <w:tcW w:type="dxa" w:w="3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Definition / formula</w:t>
            </w:r>
          </w:p>
        </w:tc>
        <w:tc>
          <w:tcPr>
            <w:tcW w:type="dxa" w:w="19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Visual</w:t>
            </w:r>
          </w:p>
        </w:tc>
        <w:tc>
          <w:tcPr>
            <w:tcW w:type="dxa" w:w="1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Target signal</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Net GST liability</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Output tax minus eligible ITC (CGST, SGST, IGST, cess)</w:t>
            </w:r>
          </w:p>
        </w:tc>
        <w:tc>
          <w:tcPr>
            <w:tcW w:type="dxa" w:w="1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KPI card + monthly line chart</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Stable trend</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GST revenue growth</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(Current period minus prior period) / prior period</w:t>
            </w:r>
          </w:p>
        </w:tc>
        <w:tc>
          <w:tcPr>
            <w:tcW w:type="dxa" w:w="1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Bar chart, YoY comparison</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Meets target</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Cash vs credit payment ratio</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Tax paid in cash / total liability</w:t>
            </w:r>
          </w:p>
        </w:tc>
        <w:tc>
          <w:tcPr>
            <w:tcW w:type="dxa" w:w="1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100% stacked column</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Within expected range</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Effective tax rate</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Total tax / taxable turnover</w:t>
            </w:r>
          </w:p>
        </w:tc>
        <w:tc>
          <w:tcPr>
            <w:tcW w:type="dxa" w:w="1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Line chart by month</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Consistent with sector norm</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ITC utilisation rate</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ITC used / ITC available</w:t>
            </w:r>
          </w:p>
        </w:tc>
        <w:tc>
          <w:tcPr>
            <w:tcW w:type="dxa" w:w="1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Gauge or bullet chart</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Balanced</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ITC mismatch %</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(ITC claimed in 3B minus eligible in 2B) / ITC claimed</w:t>
            </w:r>
          </w:p>
        </w:tc>
        <w:tc>
          <w:tcPr>
            <w:tcW w:type="dxa" w:w="1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Waterfall + supplier table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Below 2%</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Sales mismatch %</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(GSTR-1 turnover minus GSTR-3B turnover) / GSTR-1 turnover</w:t>
            </w:r>
          </w:p>
        </w:tc>
        <w:tc>
          <w:tcPr>
            <w:tcW w:type="dxa" w:w="1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Variance bar chart</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Near 0%</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Filing timeliness</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Returns filed on time / total returns due</w:t>
            </w:r>
          </w:p>
        </w:tc>
        <w:tc>
          <w:tcPr>
            <w:tcW w:type="dxa" w:w="1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Calendar heat map, RAG status</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100% on time</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Late fee and interest</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Amount of fee and interest paid</w:t>
            </w:r>
          </w:p>
        </w:tc>
        <w:tc>
          <w:tcPr>
            <w:tcW w:type="dxa" w:w="1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Column chart</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Zero</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E-invoice and e-way bill compliance</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Invoices with IRN / invoices required; e-way bill gaps</w:t>
            </w:r>
          </w:p>
        </w:tc>
        <w:tc>
          <w:tcPr>
            <w:tcW w:type="dxa" w:w="1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Donut or bar chart</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Close to 100%</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Refund cycle</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Average days from claim to sanction; refunds pending</w:t>
            </w:r>
          </w:p>
        </w:tc>
        <w:tc>
          <w:tcPr>
            <w:tcW w:type="dxa" w:w="1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Funnel + bar chart</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Within statutory time</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Notice and demand exposure</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Open notices, amounts in dispute, response deadlines</w:t>
            </w:r>
          </w:p>
        </w:tc>
        <w:tc>
          <w:tcPr>
            <w:tcW w:type="dxa" w:w="1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Table with countdown</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No overdue replies</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Supplier risk score</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Composite of defaults, cancelled GSTINs, mismatch history</w:t>
            </w:r>
          </w:p>
        </w:tc>
        <w:tc>
          <w:tcPr>
            <w:tcW w:type="dxa" w:w="19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Ranked bar, bubble chart</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Low risk</w:t>
            </w:r>
          </w:p>
        </w:tc>
      </w:tr>
    </w:tbl>
    <w:p>
      <w:pPr>
        <w:spacing w:after="80"/>
      </w:pPr>
    </w:p>
    <w:p>
      <w:pPr>
        <w:pStyle w:val="Heading1"/>
        <w:spacing w:after="120" w:before="280"/>
      </w:pPr>
      <w:r>
        <w:rPr>
          <w:rFonts w:ascii="Calibri" w:cs="Calibri" w:eastAsia="Calibri" w:hAnsi="Calibri"/>
          <w:b/>
          <w:bCs/>
          <w:color w:val="1F3864"/>
          <w:sz w:val="30"/>
          <w:szCs w:val="30"/>
        </w:rPr>
        <w:t xml:space="preserve">6. Dashboard Layout and Structure</w:t>
      </w:r>
    </w:p>
    <w:p>
      <w:pPr>
        <w:spacing w:after="120" w:line="276"/>
      </w:pPr>
      <w:r>
        <w:rPr>
          <w:rFonts w:ascii="Calibri" w:cs="Calibri" w:eastAsia="Calibri" w:hAnsi="Calibri"/>
          <w:sz w:val="22"/>
          <w:szCs w:val="22"/>
        </w:rPr>
        <w:t xml:space="preserve">The dashboard follows a top-down structure: summary, then trends, then diagnostics, then action items. Global filters (financial year, month, GSTIN, state, branch, tax type) sit on the left or top so that every page responds to the same selection.</w:t>
      </w:r>
    </w:p>
    <w:p>
      <w:pPr>
        <w:pStyle w:val="Heading2"/>
        <w:spacing w:after="80" w:before="180"/>
      </w:pPr>
      <w:r>
        <w:rPr>
          <w:rFonts w:ascii="Calibri" w:cs="Calibri" w:eastAsia="Calibri" w:hAnsi="Calibri"/>
          <w:b/>
          <w:bCs/>
          <w:color w:val="2E5597"/>
          <w:sz w:val="25"/>
          <w:szCs w:val="25"/>
        </w:rPr>
        <w:t xml:space="preserve">Page 1: Executive Overview</w:t>
      </w:r>
    </w:p>
    <w:p>
      <w:pPr>
        <w:spacing w:after="120" w:line="276"/>
      </w:pPr>
      <w:r>
        <w:rPr>
          <w:rFonts w:ascii="Calibri" w:cs="Calibri" w:eastAsia="Calibri" w:hAnsi="Calibri"/>
          <w:sz w:val="22"/>
          <w:szCs w:val="22"/>
        </w:rPr>
        <w:t xml:space="preserve">A row of six KPI cards (net liability, revenue growth, ITC utilisation, mismatch %, on-time filing %, open notices) with sparklines. Below these, a line chart of monthly output tax and ITC, a stacked bar of CGST, SGST, IGST and cess, and a map of India showing state-wise tax contribution. A compliance score gauge (0 to 100) gives a one-number summary.</w:t>
      </w:r>
    </w:p>
    <w:p>
      <w:pPr>
        <w:pStyle w:val="Heading2"/>
        <w:spacing w:after="80" w:before="180"/>
      </w:pPr>
      <w:r>
        <w:rPr>
          <w:rFonts w:ascii="Calibri" w:cs="Calibri" w:eastAsia="Calibri" w:hAnsi="Calibri"/>
          <w:b/>
          <w:bCs/>
          <w:color w:val="2E5597"/>
          <w:sz w:val="25"/>
          <w:szCs w:val="25"/>
        </w:rPr>
        <w:t xml:space="preserve">Page 2: Revenue and Liability Analysis</w:t>
      </w:r>
    </w:p>
    <w:p>
      <w:pPr>
        <w:spacing w:after="120" w:line="276"/>
      </w:pPr>
      <w:r>
        <w:rPr>
          <w:rFonts w:ascii="Calibri" w:cs="Calibri" w:eastAsia="Calibri" w:hAnsi="Calibri"/>
          <w:sz w:val="22"/>
          <w:szCs w:val="22"/>
        </w:rPr>
        <w:t xml:space="preserve">Trend and seasonality charts, year-on-year comparison, rate-slab breakdown (5, 12, 18, 28 per cent), top products by HSN code, and a treemap of customers or sectors. A forecast line projects the next three months of liability.</w:t>
      </w:r>
    </w:p>
    <w:p>
      <w:pPr>
        <w:pStyle w:val="Heading2"/>
        <w:spacing w:after="80" w:before="180"/>
      </w:pPr>
      <w:r>
        <w:rPr>
          <w:rFonts w:ascii="Calibri" w:cs="Calibri" w:eastAsia="Calibri" w:hAnsi="Calibri"/>
          <w:b/>
          <w:bCs/>
          <w:color w:val="2E5597"/>
          <w:sz w:val="25"/>
          <w:szCs w:val="25"/>
        </w:rPr>
        <w:t xml:space="preserve">Page 3: ITC and Reconciliation</w:t>
      </w:r>
    </w:p>
    <w:p>
      <w:pPr>
        <w:spacing w:after="120" w:line="276"/>
      </w:pPr>
      <w:r>
        <w:rPr>
          <w:rFonts w:ascii="Calibri" w:cs="Calibri" w:eastAsia="Calibri" w:hAnsi="Calibri"/>
          <w:sz w:val="22"/>
          <w:szCs w:val="22"/>
        </w:rPr>
        <w:t xml:space="preserve">A waterfall chart bridging ITC per books, ITC in GSTR-2B and ITC claimed in GSTR-3B. A drill-down table lists suppliers with missing or mismatched invoices, ordered by value at risk. A separate panel highlights ineligible or blocked credits and ageing of unreconciled items.</w:t>
      </w:r>
    </w:p>
    <w:p>
      <w:pPr>
        <w:pStyle w:val="Heading2"/>
        <w:spacing w:after="80" w:before="180"/>
      </w:pPr>
      <w:r>
        <w:rPr>
          <w:rFonts w:ascii="Calibri" w:cs="Calibri" w:eastAsia="Calibri" w:hAnsi="Calibri"/>
          <w:b/>
          <w:bCs/>
          <w:color w:val="2E5597"/>
          <w:sz w:val="25"/>
          <w:szCs w:val="25"/>
        </w:rPr>
        <w:t xml:space="preserve">Page 4: Compliance Tracker</w:t>
      </w:r>
    </w:p>
    <w:p>
      <w:pPr>
        <w:spacing w:after="120" w:line="276"/>
      </w:pPr>
      <w:r>
        <w:rPr>
          <w:rFonts w:ascii="Calibri" w:cs="Calibri" w:eastAsia="Calibri" w:hAnsi="Calibri"/>
          <w:sz w:val="22"/>
          <w:szCs w:val="22"/>
        </w:rPr>
        <w:t xml:space="preserve">A calendar heat map of due dates and filing status per GSTIN, a RAG matrix of returns (GSTR-1, 3B, 9, 9C), late fee trends, and e-invoice and e-way bill coverage charts. A countdown list shows upcoming deadlines.</w:t>
      </w:r>
    </w:p>
    <w:p>
      <w:pPr>
        <w:pStyle w:val="Heading2"/>
        <w:spacing w:after="80" w:before="180"/>
      </w:pPr>
      <w:r>
        <w:rPr>
          <w:rFonts w:ascii="Calibri" w:cs="Calibri" w:eastAsia="Calibri" w:hAnsi="Calibri"/>
          <w:b/>
          <w:bCs/>
          <w:color w:val="2E5597"/>
          <w:sz w:val="25"/>
          <w:szCs w:val="25"/>
        </w:rPr>
        <w:t xml:space="preserve">Page 5: Risk, Alerts and Notices</w:t>
      </w:r>
    </w:p>
    <w:p>
      <w:pPr>
        <w:spacing w:after="120" w:line="276"/>
      </w:pPr>
      <w:r>
        <w:rPr>
          <w:rFonts w:ascii="Calibri" w:cs="Calibri" w:eastAsia="Calibri" w:hAnsi="Calibri"/>
          <w:sz w:val="22"/>
          <w:szCs w:val="22"/>
        </w:rPr>
        <w:t xml:space="preserve">An exception list generated by the analytical engine (described below), a risk heat map of branches against issue types, and a notice register with due dates, amounts, status and the officer assigned.</w:t>
      </w:r>
    </w:p>
    <w:p>
      <w:pPr>
        <w:pStyle w:val="Heading1"/>
        <w:spacing w:after="120" w:before="280"/>
      </w:pPr>
      <w:r>
        <w:rPr>
          <w:rFonts w:ascii="Calibri" w:cs="Calibri" w:eastAsia="Calibri" w:hAnsi="Calibri"/>
          <w:b/>
          <w:bCs/>
          <w:color w:val="1F3864"/>
          <w:sz w:val="30"/>
          <w:szCs w:val="30"/>
        </w:rPr>
        <w:t xml:space="preserve">7. Analytical Techniques and Algorithms</w:t>
      </w:r>
    </w:p>
    <w:p>
      <w:pPr>
        <w:spacing w:after="120" w:line="276"/>
      </w:pPr>
      <w:r>
        <w:rPr>
          <w:rFonts w:ascii="Calibri" w:cs="Calibri" w:eastAsia="Calibri" w:hAnsi="Calibri"/>
          <w:sz w:val="22"/>
          <w:szCs w:val="22"/>
        </w:rPr>
        <w:t xml:space="preserve">Analytics should turn the dashboard from a reporting screen into a monitoring system.</w:t>
      </w:r>
    </w:p>
    <w:p>
      <w:pPr>
        <w:pStyle w:val="ListParagraph"/>
        <w:numPr>
          <w:ilvl w:val="0"/>
          <w:numId w:val="2"/>
        </w:numPr>
        <w:spacing w:after="70" w:line="276"/>
      </w:pPr>
      <w:r>
        <w:rPr>
          <w:rFonts w:ascii="Calibri" w:cs="Calibri" w:eastAsia="Calibri" w:hAnsi="Calibri"/>
          <w:b/>
          <w:bCs/>
          <w:sz w:val="22"/>
          <w:szCs w:val="22"/>
        </w:rPr>
        <w:t xml:space="preserve">Automated reconciliation. </w:t>
      </w:r>
      <w:r>
        <w:rPr>
          <w:rFonts w:ascii="Calibri" w:cs="Calibri" w:eastAsia="Calibri" w:hAnsi="Calibri"/>
          <w:sz w:val="22"/>
          <w:szCs w:val="22"/>
        </w:rPr>
        <w:t xml:space="preserve">Fuzzy matching (for example, Levenshtein distance) on invoice numbers and supplier names, with tolerance rules on value and date, to match books against GSTR-2B and GSTR-1 against GSTR-3B.</w:t>
      </w:r>
    </w:p>
    <w:p>
      <w:pPr>
        <w:pStyle w:val="ListParagraph"/>
        <w:numPr>
          <w:ilvl w:val="0"/>
          <w:numId w:val="2"/>
        </w:numPr>
        <w:spacing w:after="70" w:line="276"/>
      </w:pPr>
      <w:r>
        <w:rPr>
          <w:rFonts w:ascii="Calibri" w:cs="Calibri" w:eastAsia="Calibri" w:hAnsi="Calibri"/>
          <w:b/>
          <w:bCs/>
          <w:sz w:val="22"/>
          <w:szCs w:val="22"/>
        </w:rPr>
        <w:t xml:space="preserve">Anomaly detection. </w:t>
      </w:r>
      <w:r>
        <w:rPr>
          <w:rFonts w:ascii="Calibri" w:cs="Calibri" w:eastAsia="Calibri" w:hAnsi="Calibri"/>
          <w:sz w:val="22"/>
          <w:szCs w:val="22"/>
        </w:rPr>
        <w:t xml:space="preserve">Isolation Forest or z-score and interquartile range rules to flag sudden spikes in ITC, unusual refunds or invoices of abnormal value.</w:t>
      </w:r>
    </w:p>
    <w:p>
      <w:pPr>
        <w:pStyle w:val="ListParagraph"/>
        <w:numPr>
          <w:ilvl w:val="0"/>
          <w:numId w:val="2"/>
        </w:numPr>
        <w:spacing w:after="70" w:line="276"/>
      </w:pPr>
      <w:r>
        <w:rPr>
          <w:rFonts w:ascii="Calibri" w:cs="Calibri" w:eastAsia="Calibri" w:hAnsi="Calibri"/>
          <w:b/>
          <w:bCs/>
          <w:sz w:val="22"/>
          <w:szCs w:val="22"/>
        </w:rPr>
        <w:t xml:space="preserve">Benford's Law tests. </w:t>
      </w:r>
      <w:r>
        <w:rPr>
          <w:rFonts w:ascii="Calibri" w:cs="Calibri" w:eastAsia="Calibri" w:hAnsi="Calibri"/>
          <w:sz w:val="22"/>
          <w:szCs w:val="22"/>
        </w:rPr>
        <w:t xml:space="preserve">Checks whether the first-digit distribution of invoice values deviates from the expected pattern, which can indicate manipulated entries.</w:t>
      </w:r>
    </w:p>
    <w:p>
      <w:pPr>
        <w:pStyle w:val="ListParagraph"/>
        <w:numPr>
          <w:ilvl w:val="0"/>
          <w:numId w:val="2"/>
        </w:numPr>
        <w:spacing w:after="70" w:line="276"/>
      </w:pPr>
      <w:r>
        <w:rPr>
          <w:rFonts w:ascii="Calibri" w:cs="Calibri" w:eastAsia="Calibri" w:hAnsi="Calibri"/>
          <w:b/>
          <w:bCs/>
          <w:sz w:val="22"/>
          <w:szCs w:val="22"/>
        </w:rPr>
        <w:t xml:space="preserve">Time-series forecasting. </w:t>
      </w:r>
      <w:r>
        <w:rPr>
          <w:rFonts w:ascii="Calibri" w:cs="Calibri" w:eastAsia="Calibri" w:hAnsi="Calibri"/>
          <w:sz w:val="22"/>
          <w:szCs w:val="22"/>
        </w:rPr>
        <w:t xml:space="preserve">ARIMA or Prophet models to forecast liability and revenue, helping with cash planning and with target-setting for revenue teams.</w:t>
      </w:r>
    </w:p>
    <w:p>
      <w:pPr>
        <w:pStyle w:val="ListParagraph"/>
        <w:numPr>
          <w:ilvl w:val="0"/>
          <w:numId w:val="2"/>
        </w:numPr>
        <w:spacing w:after="70" w:line="276"/>
      </w:pPr>
      <w:r>
        <w:rPr>
          <w:rFonts w:ascii="Calibri" w:cs="Calibri" w:eastAsia="Calibri" w:hAnsi="Calibri"/>
          <w:b/>
          <w:bCs/>
          <w:sz w:val="22"/>
          <w:szCs w:val="22"/>
        </w:rPr>
        <w:t xml:space="preserve">Risk scoring. </w:t>
      </w:r>
      <w:r>
        <w:rPr>
          <w:rFonts w:ascii="Calibri" w:cs="Calibri" w:eastAsia="Calibri" w:hAnsi="Calibri"/>
          <w:sz w:val="22"/>
          <w:szCs w:val="22"/>
        </w:rPr>
        <w:t xml:space="preserve">A logistic regression or gradient-boosted model, or a simple weighted scorecard, to rate suppliers and taxpayers on the likelihood of non-compliance.</w:t>
      </w:r>
    </w:p>
    <w:p>
      <w:pPr>
        <w:pStyle w:val="ListParagraph"/>
        <w:numPr>
          <w:ilvl w:val="0"/>
          <w:numId w:val="2"/>
        </w:numPr>
        <w:spacing w:after="70" w:line="276"/>
      </w:pPr>
      <w:r>
        <w:rPr>
          <w:rFonts w:ascii="Calibri" w:cs="Calibri" w:eastAsia="Calibri" w:hAnsi="Calibri"/>
          <w:b/>
          <w:bCs/>
          <w:sz w:val="22"/>
          <w:szCs w:val="22"/>
        </w:rPr>
        <w:t xml:space="preserve">Network analysis. </w:t>
      </w:r>
      <w:r>
        <w:rPr>
          <w:rFonts w:ascii="Calibri" w:cs="Calibri" w:eastAsia="Calibri" w:hAnsi="Calibri"/>
          <w:sz w:val="22"/>
          <w:szCs w:val="22"/>
        </w:rPr>
        <w:t xml:space="preserve">Graph analysis of supplier-buyer relationships to detect circular trading or clusters of non-filers, a common pattern in fake-invoice schemes.</w:t>
      </w:r>
    </w:p>
    <w:p>
      <w:pPr>
        <w:pStyle w:val="ListParagraph"/>
        <w:numPr>
          <w:ilvl w:val="0"/>
          <w:numId w:val="2"/>
        </w:numPr>
        <w:spacing w:after="70" w:line="276"/>
      </w:pPr>
      <w:r>
        <w:rPr>
          <w:rFonts w:ascii="Calibri" w:cs="Calibri" w:eastAsia="Calibri" w:hAnsi="Calibri"/>
          <w:b/>
          <w:bCs/>
          <w:sz w:val="22"/>
          <w:szCs w:val="22"/>
        </w:rPr>
        <w:t xml:space="preserve">Rule-based alerts. </w:t>
      </w:r>
      <w:r>
        <w:rPr>
          <w:rFonts w:ascii="Calibri" w:cs="Calibri" w:eastAsia="Calibri" w:hAnsi="Calibri"/>
          <w:sz w:val="22"/>
          <w:szCs w:val="22"/>
        </w:rPr>
        <w:t xml:space="preserve">Thresholds such as ITC mismatch above 5 per cent, filing delay beyond the due date, or ITC from cancelled suppliers, triggering e-mail or in-dashboard notifications.</w:t>
      </w:r>
    </w:p>
    <w:p>
      <w:pPr>
        <w:pStyle w:val="Heading1"/>
        <w:spacing w:after="120" w:before="280"/>
      </w:pPr>
      <w:r>
        <w:rPr>
          <w:rFonts w:ascii="Calibri" w:cs="Calibri" w:eastAsia="Calibri" w:hAnsi="Calibri"/>
          <w:b/>
          <w:bCs/>
          <w:color w:val="1F3864"/>
          <w:sz w:val="30"/>
          <w:szCs w:val="30"/>
        </w:rPr>
        <w:t xml:space="preserve">8. Tools and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360"/>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Layer</w:t>
            </w:r>
          </w:p>
        </w:tc>
        <w:tc>
          <w:tcPr>
            <w:tcW w:type="dxa" w:w="3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Recommended tools</w:t>
            </w:r>
          </w:p>
        </w:tc>
        <w:tc>
          <w:tcPr>
            <w:tcW w:type="dxa" w:w="33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Calibri" w:cs="Calibri" w:eastAsia="Calibri" w:hAnsi="Calibri"/>
                <w:b/>
                <w:bCs/>
                <w:color w:val="FFFFFF"/>
                <w:sz w:val="19"/>
                <w:szCs w:val="19"/>
              </w:rPr>
              <w:t xml:space="preserve">Purpose</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Data extraction</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GSP APIs, Python (requests, pandas), Excel/CSV exports, ERP connectors</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Pull returns and registers</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Storage and modelling</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PostgreSQL, SQL Server, or Google BigQuery; star schema</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Central, reconciled data</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ETL and cleaning</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Python, Power Query, Alteryx or Apache Airflow</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Standardisation, scheduling</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Analytics</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Python (scikit-learn, statsmodels, Prophet), R</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Matching, anomaly detection, forecasting</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Visualization</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Microsoft Power BI (primary); Tableau or Looker Studio (alternatives)</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Interactive dashboards</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bCs/>
                <w:color w:val="000000"/>
                <w:sz w:val="19"/>
                <w:szCs w:val="19"/>
              </w:rPr>
              <w:t xml:space="preserve">Delivery and security</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Power BI Service, row-level security, role-based access, scheduled refresh</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Sharing, confidentiality, audit trail</w:t>
            </w:r>
          </w:p>
        </w:tc>
      </w:tr>
    </w:tbl>
    <w:p>
      <w:pPr>
        <w:spacing w:after="80"/>
      </w:pPr>
    </w:p>
    <w:p>
      <w:pPr>
        <w:spacing w:after="120" w:line="276"/>
      </w:pPr>
      <w:r>
        <w:rPr>
          <w:rFonts w:ascii="Calibri" w:cs="Calibri" w:eastAsia="Calibri" w:hAnsi="Calibri"/>
          <w:sz w:val="22"/>
          <w:szCs w:val="22"/>
        </w:rPr>
        <w:t xml:space="preserve">Power BI is recommended for most practitioners because of its low cost, DAX measures, strong Excel integration, row-level security and scheduled refresh. Tableau offers richer custom visuals, while Looker Studio is suitable for small firms with Google data sources.</w:t>
      </w:r>
    </w:p>
    <w:p>
      <w:pPr>
        <w:pStyle w:val="Heading1"/>
        <w:spacing w:after="120" w:before="280"/>
      </w:pPr>
      <w:r>
        <w:rPr>
          <w:rFonts w:ascii="Calibri" w:cs="Calibri" w:eastAsia="Calibri" w:hAnsi="Calibri"/>
          <w:b/>
          <w:bCs/>
          <w:color w:val="1F3864"/>
          <w:sz w:val="30"/>
          <w:szCs w:val="30"/>
        </w:rPr>
        <w:t xml:space="preserve">9. Step-by-Step Planning Process</w:t>
      </w:r>
    </w:p>
    <w:p>
      <w:pPr>
        <w:pStyle w:val="ListParagraph"/>
        <w:numPr>
          <w:ilvl w:val="0"/>
          <w:numId w:val="2"/>
        </w:numPr>
        <w:spacing w:after="70" w:line="276"/>
      </w:pPr>
      <w:r>
        <w:rPr>
          <w:rFonts w:ascii="Calibri" w:cs="Calibri" w:eastAsia="Calibri" w:hAnsi="Calibri"/>
          <w:b/>
          <w:bCs/>
          <w:sz w:val="22"/>
          <w:szCs w:val="22"/>
        </w:rPr>
        <w:t xml:space="preserve">Step 1: Define objectives and users. </w:t>
      </w:r>
      <w:r>
        <w:rPr>
          <w:rFonts w:ascii="Calibri" w:cs="Calibri" w:eastAsia="Calibri" w:hAnsi="Calibri"/>
          <w:sz w:val="22"/>
          <w:szCs w:val="22"/>
        </w:rPr>
        <w:t xml:space="preserve">Hold stakeholder discussions to list decisions the dashboard must support and who will use it.</w:t>
      </w:r>
    </w:p>
    <w:p>
      <w:pPr>
        <w:pStyle w:val="ListParagraph"/>
        <w:numPr>
          <w:ilvl w:val="0"/>
          <w:numId w:val="2"/>
        </w:numPr>
        <w:spacing w:after="70" w:line="276"/>
      </w:pPr>
      <w:r>
        <w:rPr>
          <w:rFonts w:ascii="Calibri" w:cs="Calibri" w:eastAsia="Calibri" w:hAnsi="Calibri"/>
          <w:b/>
          <w:bCs/>
          <w:sz w:val="22"/>
          <w:szCs w:val="22"/>
        </w:rPr>
        <w:t xml:space="preserve">Step 2: Finalise KPIs and definitions. </w:t>
      </w:r>
      <w:r>
        <w:rPr>
          <w:rFonts w:ascii="Calibri" w:cs="Calibri" w:eastAsia="Calibri" w:hAnsi="Calibri"/>
          <w:sz w:val="22"/>
          <w:szCs w:val="22"/>
        </w:rPr>
        <w:t xml:space="preserve">Agree on formulas, thresholds and targets, and document them in a data dictionary.</w:t>
      </w:r>
    </w:p>
    <w:p>
      <w:pPr>
        <w:pStyle w:val="ListParagraph"/>
        <w:numPr>
          <w:ilvl w:val="0"/>
          <w:numId w:val="2"/>
        </w:numPr>
        <w:spacing w:after="70" w:line="276"/>
      </w:pPr>
      <w:r>
        <w:rPr>
          <w:rFonts w:ascii="Calibri" w:cs="Calibri" w:eastAsia="Calibri" w:hAnsi="Calibri"/>
          <w:b/>
          <w:bCs/>
          <w:sz w:val="22"/>
          <w:szCs w:val="22"/>
        </w:rPr>
        <w:t xml:space="preserve">Step 3: Identify and access data. </w:t>
      </w:r>
      <w:r>
        <w:rPr>
          <w:rFonts w:ascii="Calibri" w:cs="Calibri" w:eastAsia="Calibri" w:hAnsi="Calibri"/>
          <w:sz w:val="22"/>
          <w:szCs w:val="22"/>
        </w:rPr>
        <w:t xml:space="preserve">Map each KPI to its source, check data quality and arrange API or file access.</w:t>
      </w:r>
    </w:p>
    <w:p>
      <w:pPr>
        <w:pStyle w:val="ListParagraph"/>
        <w:numPr>
          <w:ilvl w:val="0"/>
          <w:numId w:val="2"/>
        </w:numPr>
        <w:spacing w:after="70" w:line="276"/>
      </w:pPr>
      <w:r>
        <w:rPr>
          <w:rFonts w:ascii="Calibri" w:cs="Calibri" w:eastAsia="Calibri" w:hAnsi="Calibri"/>
          <w:b/>
          <w:bCs/>
          <w:sz w:val="22"/>
          <w:szCs w:val="22"/>
        </w:rPr>
        <w:t xml:space="preserve">Step 4: Design the data model. </w:t>
      </w:r>
      <w:r>
        <w:rPr>
          <w:rFonts w:ascii="Calibri" w:cs="Calibri" w:eastAsia="Calibri" w:hAnsi="Calibri"/>
          <w:sz w:val="22"/>
          <w:szCs w:val="22"/>
        </w:rPr>
        <w:t xml:space="preserve">Build a star schema with fact and dimension tables and a common calendar table.</w:t>
      </w:r>
    </w:p>
    <w:p>
      <w:pPr>
        <w:pStyle w:val="ListParagraph"/>
        <w:numPr>
          <w:ilvl w:val="0"/>
          <w:numId w:val="2"/>
        </w:numPr>
        <w:spacing w:after="70" w:line="276"/>
      </w:pPr>
      <w:r>
        <w:rPr>
          <w:rFonts w:ascii="Calibri" w:cs="Calibri" w:eastAsia="Calibri" w:hAnsi="Calibri"/>
          <w:b/>
          <w:bCs/>
          <w:sz w:val="22"/>
          <w:szCs w:val="22"/>
        </w:rPr>
        <w:t xml:space="preserve">Step 5: Build ETL pipelines. </w:t>
      </w:r>
      <w:r>
        <w:rPr>
          <w:rFonts w:ascii="Calibri" w:cs="Calibri" w:eastAsia="Calibri" w:hAnsi="Calibri"/>
          <w:sz w:val="22"/>
          <w:szCs w:val="22"/>
        </w:rPr>
        <w:t xml:space="preserve">Extract, clean, validate and load data on a schedule, with error logs.</w:t>
      </w:r>
    </w:p>
    <w:p>
      <w:pPr>
        <w:pStyle w:val="ListParagraph"/>
        <w:numPr>
          <w:ilvl w:val="0"/>
          <w:numId w:val="2"/>
        </w:numPr>
        <w:spacing w:after="70" w:line="276"/>
      </w:pPr>
      <w:r>
        <w:rPr>
          <w:rFonts w:ascii="Calibri" w:cs="Calibri" w:eastAsia="Calibri" w:hAnsi="Calibri"/>
          <w:b/>
          <w:bCs/>
          <w:sz w:val="22"/>
          <w:szCs w:val="22"/>
        </w:rPr>
        <w:t xml:space="preserve">Step 6: Wireframe the dashboard. </w:t>
      </w:r>
      <w:r>
        <w:rPr>
          <w:rFonts w:ascii="Calibri" w:cs="Calibri" w:eastAsia="Calibri" w:hAnsi="Calibri"/>
          <w:sz w:val="22"/>
          <w:szCs w:val="22"/>
        </w:rPr>
        <w:t xml:space="preserve">Sketch pages on paper or in Figma or PowerPoint and review with users before building.</w:t>
      </w:r>
    </w:p>
    <w:p>
      <w:pPr>
        <w:pStyle w:val="ListParagraph"/>
        <w:numPr>
          <w:ilvl w:val="0"/>
          <w:numId w:val="2"/>
        </w:numPr>
        <w:spacing w:after="70" w:line="276"/>
      </w:pPr>
      <w:r>
        <w:rPr>
          <w:rFonts w:ascii="Calibri" w:cs="Calibri" w:eastAsia="Calibri" w:hAnsi="Calibri"/>
          <w:b/>
          <w:bCs/>
          <w:sz w:val="22"/>
          <w:szCs w:val="22"/>
        </w:rPr>
        <w:t xml:space="preserve">Step 7: Develop visuals and analytics. </w:t>
      </w:r>
      <w:r>
        <w:rPr>
          <w:rFonts w:ascii="Calibri" w:cs="Calibri" w:eastAsia="Calibri" w:hAnsi="Calibri"/>
          <w:sz w:val="22"/>
          <w:szCs w:val="22"/>
        </w:rPr>
        <w:t xml:space="preserve">Create measures, charts, drill-throughs and the anomaly and forecast modules.</w:t>
      </w:r>
    </w:p>
    <w:p>
      <w:pPr>
        <w:pStyle w:val="ListParagraph"/>
        <w:numPr>
          <w:ilvl w:val="0"/>
          <w:numId w:val="2"/>
        </w:numPr>
        <w:spacing w:after="70" w:line="276"/>
      </w:pPr>
      <w:r>
        <w:rPr>
          <w:rFonts w:ascii="Calibri" w:cs="Calibri" w:eastAsia="Calibri" w:hAnsi="Calibri"/>
          <w:b/>
          <w:bCs/>
          <w:sz w:val="22"/>
          <w:szCs w:val="22"/>
        </w:rPr>
        <w:t xml:space="preserve">Step 8: Test and validate. </w:t>
      </w:r>
      <w:r>
        <w:rPr>
          <w:rFonts w:ascii="Calibri" w:cs="Calibri" w:eastAsia="Calibri" w:hAnsi="Calibri"/>
          <w:sz w:val="22"/>
          <w:szCs w:val="22"/>
        </w:rPr>
        <w:t xml:space="preserve">Reconcile dashboard totals with filed returns and ledgers; run user acceptance testing.</w:t>
      </w:r>
    </w:p>
    <w:p>
      <w:pPr>
        <w:pStyle w:val="ListParagraph"/>
        <w:numPr>
          <w:ilvl w:val="0"/>
          <w:numId w:val="2"/>
        </w:numPr>
        <w:spacing w:after="70" w:line="276"/>
      </w:pPr>
      <w:r>
        <w:rPr>
          <w:rFonts w:ascii="Calibri" w:cs="Calibri" w:eastAsia="Calibri" w:hAnsi="Calibri"/>
          <w:b/>
          <w:bCs/>
          <w:sz w:val="22"/>
          <w:szCs w:val="22"/>
        </w:rPr>
        <w:t xml:space="preserve">Step 9: Deploy and train. </w:t>
      </w:r>
      <w:r>
        <w:rPr>
          <w:rFonts w:ascii="Calibri" w:cs="Calibri" w:eastAsia="Calibri" w:hAnsi="Calibri"/>
          <w:sz w:val="22"/>
          <w:szCs w:val="22"/>
        </w:rPr>
        <w:t xml:space="preserve">Publish with role-based access, schedule refreshes and train users.</w:t>
      </w:r>
    </w:p>
    <w:p>
      <w:pPr>
        <w:pStyle w:val="ListParagraph"/>
        <w:numPr>
          <w:ilvl w:val="0"/>
          <w:numId w:val="2"/>
        </w:numPr>
        <w:spacing w:after="70" w:line="276"/>
      </w:pPr>
      <w:r>
        <w:rPr>
          <w:rFonts w:ascii="Calibri" w:cs="Calibri" w:eastAsia="Calibri" w:hAnsi="Calibri"/>
          <w:b/>
          <w:bCs/>
          <w:sz w:val="22"/>
          <w:szCs w:val="22"/>
        </w:rPr>
        <w:t xml:space="preserve">Step 10: Monitor and improve. </w:t>
      </w:r>
      <w:r>
        <w:rPr>
          <w:rFonts w:ascii="Calibri" w:cs="Calibri" w:eastAsia="Calibri" w:hAnsi="Calibri"/>
          <w:sz w:val="22"/>
          <w:szCs w:val="22"/>
        </w:rPr>
        <w:t xml:space="preserve">Collect feedback, update for GST rule changes and add new indicators over time.</w:t>
      </w:r>
    </w:p>
    <w:p>
      <w:pPr>
        <w:pStyle w:val="Heading1"/>
        <w:spacing w:after="120" w:before="280"/>
      </w:pPr>
      <w:r>
        <w:rPr>
          <w:rFonts w:ascii="Calibri" w:cs="Calibri" w:eastAsia="Calibri" w:hAnsi="Calibri"/>
          <w:b/>
          <w:bCs/>
          <w:color w:val="1F3864"/>
          <w:sz w:val="30"/>
          <w:szCs w:val="30"/>
        </w:rPr>
        <w:t xml:space="preserve">10. Innovative Features</w:t>
      </w:r>
    </w:p>
    <w:p>
      <w:pPr>
        <w:pStyle w:val="ListParagraph"/>
        <w:numPr>
          <w:ilvl w:val="0"/>
          <w:numId w:val="2"/>
        </w:numPr>
        <w:spacing w:after="70" w:line="276"/>
      </w:pPr>
      <w:r>
        <w:rPr>
          <w:rFonts w:ascii="Calibri" w:cs="Calibri" w:eastAsia="Calibri" w:hAnsi="Calibri"/>
          <w:b/>
          <w:bCs/>
          <w:sz w:val="22"/>
          <w:szCs w:val="22"/>
        </w:rPr>
        <w:t xml:space="preserve">Compliance health score </w:t>
      </w:r>
      <w:r>
        <w:rPr>
          <w:rFonts w:ascii="Calibri" w:cs="Calibri" w:eastAsia="Calibri" w:hAnsi="Calibri"/>
          <w:sz w:val="22"/>
          <w:szCs w:val="22"/>
        </w:rPr>
        <w:t xml:space="preserve">combining timeliness, mismatch and notice metrics into a single 0 to 100 index.</w:t>
      </w:r>
    </w:p>
    <w:p>
      <w:pPr>
        <w:pStyle w:val="ListParagraph"/>
        <w:numPr>
          <w:ilvl w:val="0"/>
          <w:numId w:val="2"/>
        </w:numPr>
        <w:spacing w:after="70" w:line="276"/>
      </w:pPr>
      <w:r>
        <w:rPr>
          <w:rFonts w:ascii="Calibri" w:cs="Calibri" w:eastAsia="Calibri" w:hAnsi="Calibri"/>
          <w:b/>
          <w:bCs/>
          <w:sz w:val="22"/>
          <w:szCs w:val="22"/>
        </w:rPr>
        <w:t xml:space="preserve">What-if simulator </w:t>
      </w:r>
      <w:r>
        <w:rPr>
          <w:rFonts w:ascii="Calibri" w:cs="Calibri" w:eastAsia="Calibri" w:hAnsi="Calibri"/>
          <w:sz w:val="22"/>
          <w:szCs w:val="22"/>
        </w:rPr>
        <w:t xml:space="preserve">to show the effect of ITC reversal or a rate change on cash liability.</w:t>
      </w:r>
    </w:p>
    <w:p>
      <w:pPr>
        <w:pStyle w:val="ListParagraph"/>
        <w:numPr>
          <w:ilvl w:val="0"/>
          <w:numId w:val="2"/>
        </w:numPr>
        <w:spacing w:after="70" w:line="276"/>
      </w:pPr>
      <w:r>
        <w:rPr>
          <w:rFonts w:ascii="Calibri" w:cs="Calibri" w:eastAsia="Calibri" w:hAnsi="Calibri"/>
          <w:b/>
          <w:bCs/>
          <w:sz w:val="22"/>
          <w:szCs w:val="22"/>
        </w:rPr>
        <w:t xml:space="preserve">Automated monthly narrative </w:t>
      </w:r>
      <w:r>
        <w:rPr>
          <w:rFonts w:ascii="Calibri" w:cs="Calibri" w:eastAsia="Calibri" w:hAnsi="Calibri"/>
          <w:sz w:val="22"/>
          <w:szCs w:val="22"/>
        </w:rPr>
        <w:t xml:space="preserve">summarising key movements in plain language for management.</w:t>
      </w:r>
    </w:p>
    <w:p>
      <w:pPr>
        <w:pStyle w:val="ListParagraph"/>
        <w:numPr>
          <w:ilvl w:val="0"/>
          <w:numId w:val="2"/>
        </w:numPr>
        <w:spacing w:after="70" w:line="276"/>
      </w:pPr>
      <w:r>
        <w:rPr>
          <w:rFonts w:ascii="Calibri" w:cs="Calibri" w:eastAsia="Calibri" w:hAnsi="Calibri"/>
          <w:b/>
          <w:bCs/>
          <w:sz w:val="22"/>
          <w:szCs w:val="22"/>
        </w:rPr>
        <w:t xml:space="preserve">Mobile view and alerts </w:t>
      </w:r>
      <w:r>
        <w:rPr>
          <w:rFonts w:ascii="Calibri" w:cs="Calibri" w:eastAsia="Calibri" w:hAnsi="Calibri"/>
          <w:sz w:val="22"/>
          <w:szCs w:val="22"/>
        </w:rPr>
        <w:t xml:space="preserve">so that deadlines and high-risk exceptions reach decision-makers promptly.</w:t>
      </w:r>
    </w:p>
    <w:p>
      <w:pPr>
        <w:pStyle w:val="Heading1"/>
        <w:spacing w:after="120" w:before="280"/>
      </w:pPr>
      <w:r>
        <w:rPr>
          <w:rFonts w:ascii="Calibri" w:cs="Calibri" w:eastAsia="Calibri" w:hAnsi="Calibri"/>
          <w:b/>
          <w:bCs/>
          <w:color w:val="1F3864"/>
          <w:sz w:val="30"/>
          <w:szCs w:val="30"/>
        </w:rPr>
        <w:t xml:space="preserve">11. Risks and Limitations</w:t>
      </w:r>
    </w:p>
    <w:p>
      <w:pPr>
        <w:spacing w:after="120" w:line="276"/>
      </w:pPr>
      <w:r>
        <w:rPr>
          <w:rFonts w:ascii="Calibri" w:cs="Calibri" w:eastAsia="Calibri" w:hAnsi="Calibri"/>
          <w:sz w:val="22"/>
          <w:szCs w:val="22"/>
        </w:rPr>
        <w:t xml:space="preserve">Key risks include poor data quality, delays in portal data, changing GST rules and notifications, and data privacy. These are mitigated through validation checks, modular KPI definitions that are easy to update, encryption, access controls and clear data-retention policies. Predictive models give indications, not legal conclusions, and findings should always be verified by a qualified professional.</w:t>
      </w:r>
    </w:p>
    <w:p>
      <w:pPr>
        <w:pStyle w:val="Heading1"/>
        <w:spacing w:after="120" w:before="280"/>
      </w:pPr>
      <w:r>
        <w:rPr>
          <w:rFonts w:ascii="Calibri" w:cs="Calibri" w:eastAsia="Calibri" w:hAnsi="Calibri"/>
          <w:b/>
          <w:bCs/>
          <w:color w:val="1F3864"/>
          <w:sz w:val="30"/>
          <w:szCs w:val="30"/>
        </w:rPr>
        <w:t xml:space="preserve">12. Conclusion</w:t>
      </w:r>
    </w:p>
    <w:p>
      <w:pPr>
        <w:spacing w:after="120" w:line="276"/>
      </w:pPr>
      <w:r>
        <w:rPr>
          <w:rFonts w:ascii="Calibri" w:cs="Calibri" w:eastAsia="Calibri" w:hAnsi="Calibri"/>
          <w:sz w:val="22"/>
          <w:szCs w:val="22"/>
        </w:rPr>
        <w:t xml:space="preserve">The proposed dashboard combines sound visualization principles with GST-specific KPIs and analytics. By presenting liability, ITC, reconciliation and compliance status in one structured, drill-down view, it helps organisations move from reactive notice handling to proactive monitoring. Its phased development plan and use of accessible tools make it practical for firms of different sizes, and its modular design allows it to grow as GST reporting evolves.</w:t>
      </w:r>
    </w:p>
    <w:sectPr>
      <w:pgSz w:w="11906" w:h="16838" w:orient="portrait"/>
      <w:pgMar w:top="1200" w:right="1273" w:bottom="12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2026-10-20T13:05:44.557Z</dcterms:created>
  <dcterms:modified xsi:type="dcterms:W3CDTF">2026-10-20T13:05:44.568Z</dcterms:modified>
</cp:coreProperties>
</file>

<file path=docProps/custom.xml><?xml version="1.0" encoding="utf-8"?>
<Properties xmlns="http://schemas.openxmlformats.org/officeDocument/2006/custom-properties" xmlns:vt="http://schemas.openxmlformats.org/officeDocument/2006/docPropsVTypes"/>
</file>