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7365D"/>
          <w:sz w:val="50"/>
        </w:rPr>
        <w:t>PERFORMANCE EVALUATION</w:t>
        <w:br/>
        <w:t>AND CRITICAL REFLECTION</w:t>
        <w:br/>
        <w:t>IN GST PRACTICES</w:t>
      </w:r>
    </w:p>
    <w:p>
      <w:pPr>
        <w:jc w:val="center"/>
      </w:pPr>
      <w:r>
        <w:rPr>
          <w:i/>
          <w:color w:val="595959"/>
          <w:sz w:val="26"/>
        </w:rPr>
        <w:t>A Business Analytics-Based Evaluation of GST Compliance, Controls and Outcomes in India</w:t>
      </w:r>
    </w:p>
    <w:p>
      <w:r>
        <w:br/>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b/>
              </w:rPr>
              <w:t>Task</w:t>
            </w:r>
          </w:p>
        </w:tc>
        <w:tc>
          <w:tcPr>
            <w:tcW w:type="dxa" w:w="4896"/>
            <w:vAlign w:val="center"/>
          </w:tcPr>
          <w:p>
            <w:r>
              <w:t>Week 5 – Performance Evaluation and Critical Reflection in GST Practices</w:t>
            </w:r>
          </w:p>
        </w:tc>
      </w:tr>
      <w:tr>
        <w:tc>
          <w:tcPr>
            <w:tcW w:type="dxa" w:w="4896"/>
            <w:vAlign w:val="center"/>
          </w:tcPr>
          <w:p>
            <w:r>
              <w:rPr>
                <w:b/>
              </w:rPr>
              <w:t>Prepared by</w:t>
            </w:r>
          </w:p>
        </w:tc>
        <w:tc>
          <w:tcPr>
            <w:tcW w:type="dxa" w:w="4896"/>
            <w:vAlign w:val="center"/>
          </w:tcPr>
          <w:p>
            <w:r>
              <w:t>Student / Trainee</w:t>
            </w:r>
          </w:p>
        </w:tc>
      </w:tr>
      <w:tr>
        <w:tc>
          <w:tcPr>
            <w:tcW w:type="dxa" w:w="4896"/>
            <w:vAlign w:val="center"/>
          </w:tcPr>
          <w:p>
            <w:r>
              <w:rPr>
                <w:b/>
              </w:rPr>
              <w:t>Domain</w:t>
            </w:r>
          </w:p>
        </w:tc>
        <w:tc>
          <w:tcPr>
            <w:tcW w:type="dxa" w:w="4896"/>
            <w:vAlign w:val="center"/>
          </w:tcPr>
          <w:p>
            <w:r>
              <w:t>GST Compliance, Finance and Business Analytics</w:t>
            </w:r>
          </w:p>
        </w:tc>
      </w:tr>
      <w:tr>
        <w:tc>
          <w:tcPr>
            <w:tcW w:type="dxa" w:w="4896"/>
            <w:vAlign w:val="center"/>
          </w:tcPr>
          <w:p>
            <w:r>
              <w:rPr>
                <w:b/>
              </w:rPr>
              <w:t>Report date</w:t>
            </w:r>
          </w:p>
        </w:tc>
        <w:tc>
          <w:tcPr>
            <w:tcW w:type="dxa" w:w="4896"/>
            <w:vAlign w:val="center"/>
          </w:tcPr>
          <w:p>
            <w:r>
              <w:t>20 October 2026</w:t>
            </w:r>
          </w:p>
        </w:tc>
      </w:tr>
    </w:tbl>
    <w:p>
      <w:r>
        <w:br w:type="page"/>
      </w:r>
    </w:p>
    <w:p>
      <w:pPr>
        <w:pStyle w:val="Heading1"/>
      </w:pPr>
      <w:r>
        <w:t>Executive Summary</w:t>
      </w:r>
    </w:p>
    <w:p>
      <w:r>
        <w:t>This report evaluates the performance of Goods and Services Tax (GST) practices in India through a business analytics and compliance-management lens. It reviews the intended benefits of GST—greater tax-system integration, input tax credit (ITC), digital filing, improved transaction visibility and a broader audit trail—and compares those aims with implementation challenges faced by businesses. The evaluation uses a structured, desk-based approach: review of official guidance and audit material; identification of key performance indicators (KPIs); qualitative analysis of common implementation risks; and an illustrative small-business case to demonstrate how data analysis can support decisions. The illustrative figures are hypothetical and are not presented as observed company results.</w:t>
      </w:r>
    </w:p>
    <w:p>
      <w:r>
        <w:t>The central finding is that GST performance should not be measured only by tax paid or returns filed. A stronger evaluation combines timeliness, data accuracy, ITC reconciliation, exception resolution, working-capital impact, audit readiness, user effort and customer/supplier coordination. Digital systems such as online returns, e-invoicing where applicable, and e-way bills can improve traceability, but technology alone does not guarantee compliance. Inconsistent master data, late supplier reporting, unclear ownership, weak exception handling and frequent process updates can still create errors and delays. The report recommends a monthly GST control dashboard, risk-based reconciliations, documented responsibilities, staff training, version-controlled tax rules and continuous improvement based on root-cause analysis.</w:t>
      </w:r>
    </w:p>
    <w:p>
      <w:pPr>
        <w:pStyle w:val="Heading1"/>
      </w:pPr>
      <w:r>
        <w:t>1. Introduction</w:t>
      </w:r>
    </w:p>
    <w:p>
      <w:r>
        <w:t>GST is a destination-based indirect tax framework designed to bring multiple indirect taxes into a more integrated system. In India, its implementation changed the way many businesses classify supplies, issue invoices, account for tax, claim eligible ITC, file returns and maintain transaction records. For organizations, GST is not merely a tax calculation exercise: it is an end-to-end process spanning procurement, sales, inventory, accounting, logistics, technology and finance.</w:t>
      </w:r>
    </w:p>
    <w:p>
      <w:r>
        <w:t>The theoretical case for GST emphasizes reduced tax cascading, a more consistent national market, improved transparency and a digital trail that can support compliance. In practice, those benefits depend on accurate source data and coordination between taxpayers, suppliers, customers, software providers and tax authorities. The operational burden can be particularly significant for small and medium enterprises (SMEs), where one employee may perform several finance roles and formal data-governance practices may be limited.</w:t>
      </w:r>
    </w:p>
    <w:p>
      <w:r>
        <w:t>The purpose of this report is to evaluate GST practices rather than simply describe the law. It asks: (1) Which strategies are most effective for reliable GST compliance? (2) What do quantitative and qualitative indicators reveal about performance? (3) Where do theoretical expectations diverge from practical outcomes? (4) How can business analytics improve compliance, decision-making and organizational learning? The report is an academic evaluation based on secondary sources and an illustrative scenario; it does not claim access to confidential organizational records or direct field observations.</w:t>
      </w:r>
    </w:p>
    <w:p>
      <w:pPr>
        <w:pStyle w:val="Heading1"/>
      </w:pPr>
      <w:r>
        <w:t>2. Scope and Methodology of Evaluation</w:t>
      </w:r>
    </w:p>
    <w:p>
      <w:pPr>
        <w:pStyle w:val="Heading2"/>
      </w:pPr>
      <w:r>
        <w:t>2.1 Evaluation design</w:t>
      </w:r>
    </w:p>
    <w:p>
      <w:r>
        <w:t>A mixed-method, desk-based evaluation was used. The quantitative component defines measurable indicators that an organization can calculate from invoice registers, purchase and sales ledgers, return acknowledgements, payment records, ITC reconciliations and exception logs. The qualitative component examines process ownership, staff capability, supplier behaviour, system usability, change management and the quality of internal controls. This combination is necessary because a high filing rate can coexist with incorrect classifications, unsupported credits or unresolved reconciliation differences.</w:t>
      </w:r>
    </w:p>
    <w:p>
      <w:pPr>
        <w:pStyle w:val="Heading2"/>
      </w:pPr>
      <w:r>
        <w:t>2.2 Sources and evidence limitations</w:t>
      </w:r>
    </w:p>
    <w:p>
      <w:r>
        <w:t>The review draws on official material from the Central Board of Indirect Taxes and Customs (CBIC), the GST portal/GST Network ecosystem and the Comptroller and Auditor General of India (CAG). CAG audit publications are useful because they examine system controls, payment and return-filing oversight, e-way bill processes and other compliance issues. Official sources are preferred for legal and administrative context. The report does not treat every audit observation as representative of every taxpayer; audit findings identify risks and control weaknesses, not a universal failure rate.</w:t>
      </w:r>
    </w:p>
    <w:p>
      <w:r>
        <w:t>No company-specific transaction dataset was supplied for this assignment. Therefore, the report does not claim to have calculated actual compliance rates from an employer's records. The numerical example in Section 4 is explicitly hypothetical and is included to demonstrate the method. Before using this report as an organization-specific assessment, a trainee should replace the illustrative values with validated records, specify the period and entity scope, and obtain appropriate review.</w:t>
      </w:r>
    </w:p>
    <w:p>
      <w:pPr>
        <w:pStyle w:val="Heading2"/>
      </w:pPr>
      <w:r>
        <w:t>2.3 Evaluation criteria and KPIs</w:t>
      </w:r>
    </w:p>
    <w:p>
      <w:r>
        <w:t>The following KPIs provide a balanced measurement framework. Each metric should have a clear definition, denominator, owner, data source and review frequency:</w:t>
      </w:r>
    </w:p>
    <w:p>
      <w:pPr>
        <w:pStyle w:val="ListBullet"/>
      </w:pPr>
      <w:r>
        <w:t>On-time filing rate = returns filed by the due date ÷ returns due × 100.</w:t>
      </w:r>
    </w:p>
    <w:p>
      <w:pPr>
        <w:pStyle w:val="ListBullet"/>
      </w:pPr>
      <w:r>
        <w:t>Invoice data accuracy = sampled invoices passing defined checks ÷ invoices tested × 100.</w:t>
      </w:r>
    </w:p>
    <w:p>
      <w:pPr>
        <w:pStyle w:val="ListBullet"/>
      </w:pPr>
      <w:r>
        <w:t>ITC reconciliation rate = eligible purchase records matched to relevant supplier/portal data ÷ eligible purchase records tested × 100.</w:t>
      </w:r>
    </w:p>
    <w:p>
      <w:pPr>
        <w:pStyle w:val="ListBullet"/>
      </w:pPr>
      <w:r>
        <w:t>Exception ageing = average number of days that unresolved GST mismatches remain open.</w:t>
      </w:r>
    </w:p>
    <w:p>
      <w:pPr>
        <w:pStyle w:val="ListBullet"/>
      </w:pPr>
      <w:r>
        <w:t>Return amendment / correction rate = returns requiring correction or follow-up ÷ returns filed × 100, with the reason recorded.</w:t>
      </w:r>
    </w:p>
    <w:p>
      <w:pPr>
        <w:pStyle w:val="ListBullet"/>
      </w:pPr>
      <w:r>
        <w:t>Payment timeliness = tax liabilities discharged by the applicable due date ÷ liabilities due × 100.</w:t>
      </w:r>
    </w:p>
    <w:p>
      <w:pPr>
        <w:pStyle w:val="ListBullet"/>
      </w:pPr>
      <w:r>
        <w:t>Compliance cost per return = staff time, software and professional support cost allocated to return preparation ÷ returns processed.</w:t>
      </w:r>
    </w:p>
    <w:p>
      <w:pPr>
        <w:pStyle w:val="ListBullet"/>
      </w:pPr>
      <w:r>
        <w:t>Audit readiness = percentage of sampled transactions with a complete invoice, tax treatment, ledger entry, payment/receipt evidence and reconciliation trail.</w:t>
      </w:r>
    </w:p>
    <w:p>
      <w:pPr>
        <w:pStyle w:val="ListBullet"/>
      </w:pPr>
      <w:r>
        <w:t>Working-capital impact = value of delayed or disputed eligible ITC and related days outstanding, separately from permanently ineligible credit.</w:t>
      </w:r>
    </w:p>
    <w:p>
      <w:r>
        <w:t>These indicators should be interpreted together. For example, a high ITC matching rate is not proof that every credit is legally eligible; eligibility and documentation still require tax-rule checks. Likewise, a low amendment rate may indicate good data quality, but it may also reflect weak detection of errors. KPI design must therefore include quality assurance and periodic sampling.</w:t>
      </w:r>
    </w:p>
    <w:p>
      <w:pPr>
        <w:pStyle w:val="Heading1"/>
      </w:pPr>
      <w:r>
        <w:t>3. Review of GST Implementation Strategies</w:t>
      </w:r>
    </w:p>
    <w:p>
      <w:pPr>
        <w:pStyle w:val="Heading2"/>
      </w:pPr>
      <w:r>
        <w:t>3.1 Standardized digital accounting and return preparation</w:t>
      </w:r>
    </w:p>
    <w:p>
      <w:r>
        <w:t>A sound baseline strategy is to maintain standardized sales and purchase registers, consistent GSTIN and place-of-supply data, controlled tax codes, reconciled ledgers and a documented return-preparation calendar. Digital filing can reduce manual duplication and make records easier to trace. However, automating a flawed process can reproduce the same error at scale. Organizations should validate master data before automation and preserve review checkpoints for tax rate, classification, exemptions, reverse-charge treatment, place of supply and credit eligibility.</w:t>
      </w:r>
    </w:p>
    <w:p>
      <w:pPr>
        <w:pStyle w:val="Heading2"/>
      </w:pPr>
      <w:r>
        <w:t>3.2 Input tax credit reconciliation</w:t>
      </w:r>
    </w:p>
    <w:p>
      <w:r>
        <w:t>ITC reconciliation is one of the most important recurring controls. Purchase books should be compared with relevant supplier-reported information available through the GST system, while also checking invoice validity, receipt of goods or services, business purpose, statutory restrictions and other applicable conditions. Differences may arise because a supplier has not reported an invoice, the invoice number or GSTIN is incorrect, an invoice is duplicated, a credit note is missing, or the buyer has recorded a transaction in the wrong period.</w:t>
      </w:r>
    </w:p>
    <w:p>
      <w:r>
        <w:t>The practical lesson is to operate an exception workflow rather than rely on a single month-end comparison. Every difference should have a category, owner, value, age, next action and closure evidence. Material exceptions should be escalated before the return is finalized. A matched invoice is a useful control signal, not an automatic legal conclusion that ITC is claimable.</w:t>
      </w:r>
    </w:p>
    <w:p>
      <w:pPr>
        <w:pStyle w:val="Heading2"/>
      </w:pPr>
      <w:r>
        <w:t>3.3 E-invoicing and e-way bill controls</w:t>
      </w:r>
    </w:p>
    <w:p>
      <w:r>
        <w:t>Where e-invoicing requirements apply, invoice data can be validated and reported through the prescribed system, supporting standardization and traceability. E-way bills support monitoring of specified goods movements. These systems can reduce some manual errors and create linked records, but their value depends on accurate invoice details, correct transport information, integration between accounting and logistics systems, and disciplined handling of cancellations or changes. CAG's audit work on the e-way bill system and GST payment/return-filing oversight shows why system design and departmental monitoring remain relevant areas for scrutiny.</w:t>
      </w:r>
    </w:p>
    <w:p>
      <w:pPr>
        <w:pStyle w:val="Heading2"/>
      </w:pPr>
      <w:r>
        <w:t>3.4 Training, ownership and change management</w:t>
      </w:r>
    </w:p>
    <w:p>
      <w:r>
        <w:t>A sustainable compliance strategy assigns responsibility across sales, procurement, logistics, accounts and tax review. A tax team cannot correct every upstream error after a transaction has been completed. Staff should receive short, role-specific training and updates when tax rules, portal functionality or internal procedures change. A responsibility matrix, documented standard operating procedures (SOPs), monthly review meetings and an escalation path reduce dependency on one individual and improve continuity during staff turnover.</w:t>
      </w:r>
    </w:p>
    <w:p>
      <w:pPr>
        <w:pStyle w:val="Heading1"/>
      </w:pPr>
      <w:r>
        <w:t>4. Results Summary and Analytical Demonstration</w:t>
      </w:r>
    </w:p>
    <w:p>
      <w:r>
        <w:t>The evidence review suggests that GST controls are strongest when digital records, clear process ownership and exception resolution work together. Digital infrastructure improves the availability of transaction data, while reconciliation and review convert that data into decisions. The key weakness in a purely filing-focused model is that it measures completion rather than correctness, recoverability of eligible ITC, or the time required to resolve errors.</w:t>
      </w:r>
    </w:p>
    <w:p>
      <w:pPr>
        <w:pStyle w:val="Heading2"/>
      </w:pPr>
      <w:r>
        <w:t>4.1 Illustrative KPI comparison (hypothetical)</w:t>
      </w:r>
    </w:p>
    <w:p>
      <w:r>
        <w:t>The table below demonstrates how a hypothetical SME could evaluate performance across two quarters after introducing a monthly reconciliation dashboard and a named owner for each exception. These figures are illustrative only; they are not official statistics and are not findings from a real company.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rPr>
                <w:b/>
              </w:rPr>
              <w:t>KPI</w:t>
            </w:r>
          </w:p>
        </w:tc>
        <w:tc>
          <w:tcPr>
            <w:tcW w:type="dxa" w:w="2448"/>
          </w:tcPr>
          <w:p>
            <w:r>
              <w:rPr>
                <w:b/>
              </w:rPr>
              <w:t>Baseline quarter</w:t>
            </w:r>
          </w:p>
        </w:tc>
        <w:tc>
          <w:tcPr>
            <w:tcW w:type="dxa" w:w="2448"/>
          </w:tcPr>
          <w:p>
            <w:r>
              <w:rPr>
                <w:b/>
              </w:rPr>
              <w:t>Following quarter</w:t>
            </w:r>
          </w:p>
        </w:tc>
        <w:tc>
          <w:tcPr>
            <w:tcW w:type="dxa" w:w="2448"/>
          </w:tcPr>
          <w:p>
            <w:r>
              <w:rPr>
                <w:b/>
              </w:rPr>
              <w:t>Interpretation</w:t>
            </w:r>
          </w:p>
        </w:tc>
      </w:tr>
      <w:tr>
        <w:tc>
          <w:tcPr>
            <w:tcW w:type="dxa" w:w="2448"/>
            <w:vAlign w:val="center"/>
          </w:tcPr>
          <w:p>
            <w:r>
              <w:t>On-time filing rate</w:t>
            </w:r>
          </w:p>
        </w:tc>
        <w:tc>
          <w:tcPr>
            <w:tcW w:type="dxa" w:w="2448"/>
            <w:vAlign w:val="center"/>
          </w:tcPr>
          <w:p>
            <w:r>
              <w:t>90% (9/10)</w:t>
            </w:r>
          </w:p>
        </w:tc>
        <w:tc>
          <w:tcPr>
            <w:tcW w:type="dxa" w:w="2448"/>
            <w:vAlign w:val="center"/>
          </w:tcPr>
          <w:p>
            <w:r>
              <w:t>100% (10/10)</w:t>
            </w:r>
          </w:p>
        </w:tc>
        <w:tc>
          <w:tcPr>
            <w:tcW w:type="dxa" w:w="2448"/>
            <w:vAlign w:val="center"/>
          </w:tcPr>
          <w:p>
            <w:r>
              <w:t>Calendar and ownership improved timeliness.</w:t>
            </w:r>
          </w:p>
        </w:tc>
      </w:tr>
      <w:tr>
        <w:tc>
          <w:tcPr>
            <w:tcW w:type="dxa" w:w="2448"/>
            <w:vAlign w:val="center"/>
          </w:tcPr>
          <w:p>
            <w:r>
              <w:t>Invoice data accuracy</w:t>
            </w:r>
          </w:p>
        </w:tc>
        <w:tc>
          <w:tcPr>
            <w:tcW w:type="dxa" w:w="2448"/>
            <w:vAlign w:val="center"/>
          </w:tcPr>
          <w:p>
            <w:r>
              <w:t>92% (460/500)</w:t>
            </w:r>
          </w:p>
        </w:tc>
        <w:tc>
          <w:tcPr>
            <w:tcW w:type="dxa" w:w="2448"/>
            <w:vAlign w:val="center"/>
          </w:tcPr>
          <w:p>
            <w:r>
              <w:t>98% (490/500)</w:t>
            </w:r>
          </w:p>
        </w:tc>
        <w:tc>
          <w:tcPr>
            <w:tcW w:type="dxa" w:w="2448"/>
            <w:vAlign w:val="center"/>
          </w:tcPr>
          <w:p>
            <w:r>
              <w:t>Master-data checks reduced avoidable errors.</w:t>
            </w:r>
          </w:p>
        </w:tc>
      </w:tr>
      <w:tr>
        <w:tc>
          <w:tcPr>
            <w:tcW w:type="dxa" w:w="2448"/>
            <w:vAlign w:val="center"/>
          </w:tcPr>
          <w:p>
            <w:r>
              <w:t>ITC records matched</w:t>
            </w:r>
          </w:p>
        </w:tc>
        <w:tc>
          <w:tcPr>
            <w:tcW w:type="dxa" w:w="2448"/>
            <w:vAlign w:val="center"/>
          </w:tcPr>
          <w:p>
            <w:r>
              <w:t>85% (850/1,000)</w:t>
            </w:r>
          </w:p>
        </w:tc>
        <w:tc>
          <w:tcPr>
            <w:tcW w:type="dxa" w:w="2448"/>
            <w:vAlign w:val="center"/>
          </w:tcPr>
          <w:p>
            <w:r>
              <w:t>94% (940/1,000)</w:t>
            </w:r>
          </w:p>
        </w:tc>
        <w:tc>
          <w:tcPr>
            <w:tcW w:type="dxa" w:w="2448"/>
            <w:vAlign w:val="center"/>
          </w:tcPr>
          <w:p>
            <w:r>
              <w:t>Earlier supplier follow-up improved matching.</w:t>
            </w:r>
          </w:p>
        </w:tc>
      </w:tr>
      <w:tr>
        <w:tc>
          <w:tcPr>
            <w:tcW w:type="dxa" w:w="2448"/>
            <w:vAlign w:val="center"/>
          </w:tcPr>
          <w:p>
            <w:r>
              <w:t>Average exception age</w:t>
            </w:r>
          </w:p>
        </w:tc>
        <w:tc>
          <w:tcPr>
            <w:tcW w:type="dxa" w:w="2448"/>
            <w:vAlign w:val="center"/>
          </w:tcPr>
          <w:p>
            <w:r>
              <w:t>18 days</w:t>
            </w:r>
          </w:p>
        </w:tc>
        <w:tc>
          <w:tcPr>
            <w:tcW w:type="dxa" w:w="2448"/>
            <w:vAlign w:val="center"/>
          </w:tcPr>
          <w:p>
            <w:r>
              <w:t>8 days</w:t>
            </w:r>
          </w:p>
        </w:tc>
        <w:tc>
          <w:tcPr>
            <w:tcW w:type="dxa" w:w="2448"/>
            <w:vAlign w:val="center"/>
          </w:tcPr>
          <w:p>
            <w:r>
              <w:t>Named owners shortened resolution time.</w:t>
            </w:r>
          </w:p>
        </w:tc>
      </w:tr>
      <w:tr>
        <w:tc>
          <w:tcPr>
            <w:tcW w:type="dxa" w:w="2448"/>
            <w:vAlign w:val="center"/>
          </w:tcPr>
          <w:p>
            <w:r>
              <w:t>Audit-ready sample</w:t>
            </w:r>
          </w:p>
        </w:tc>
        <w:tc>
          <w:tcPr>
            <w:tcW w:type="dxa" w:w="2448"/>
            <w:vAlign w:val="center"/>
          </w:tcPr>
          <w:p>
            <w:r>
              <w:t>80% (40/50)</w:t>
            </w:r>
          </w:p>
        </w:tc>
        <w:tc>
          <w:tcPr>
            <w:tcW w:type="dxa" w:w="2448"/>
            <w:vAlign w:val="center"/>
          </w:tcPr>
          <w:p>
            <w:r>
              <w:t>94% (47/50)</w:t>
            </w:r>
          </w:p>
        </w:tc>
        <w:tc>
          <w:tcPr>
            <w:tcW w:type="dxa" w:w="2448"/>
            <w:vAlign w:val="center"/>
          </w:tcPr>
          <w:p>
            <w:r>
              <w:t>Evidence retention improved traceability.</w:t>
            </w:r>
          </w:p>
        </w:tc>
      </w:tr>
    </w:tbl>
    <w:p>
      <w:r>
        <w:t>In this hypothetical example, all five indicators improve. A critical evaluator would still test whether the improvement is sustainable, whether the sample is representative, whether definitions stayed consistent and whether the change caused any unintended burden. For example, a higher match rate might reflect better supplier reporting, but it could also result from excluding difficult transactions from the denominator. Controls should prevent such denominator changes from making results appear better than they are.</w:t>
      </w:r>
    </w:p>
    <w:p>
      <w:pPr>
        <w:pStyle w:val="Heading2"/>
      </w:pPr>
      <w:r>
        <w:t>4.2 Quantitative and qualitative findings</w:t>
      </w:r>
    </w:p>
    <w:p>
      <w:r>
        <w:t>Quantitative analysis is useful for identifying trends, outliers and material exceptions. A monthly trend line can show whether late filing or mismatches are recurring. Pareto analysis can rank error causes by count or value—for example, incorrect GSTINs, wrong tax codes, duplicate invoices or supplier delays. Ageing analysis can distinguish newly raised issues from old unresolved cases. Segmenting results by supplier, branch, business unit, transaction type and tax period helps locate the source of recurring problems.</w:t>
      </w:r>
    </w:p>
    <w:p>
      <w:r>
        <w:t>Qualitative analysis explains why the numbers move. Interviews or structured discussions with accounts staff may reveal unclear ownership, repetitive manual entry, inconsistent supplier communication, insufficient training or a portal/software integration issue. Process mapping can identify where data is entered, transformed, reviewed and approved. Combining both forms of evidence prevents management from treating every mismatch as an employee error when the underlying cause may be system design or an upstream business process.</w:t>
      </w:r>
    </w:p>
    <w:p>
      <w:pPr>
        <w:pStyle w:val="Heading2"/>
      </w:pPr>
      <w:r>
        <w:t>4.3 Dashboard design</w:t>
      </w:r>
    </w:p>
    <w:p>
      <w:r>
        <w:t>A practical GST dashboard should show: filing status by return and period; liability versus payment; ITC claimed, matched and under review; mismatch value and ageing; e-invoice/e-way bill exceptions where applicable; amendments; and audit-evidence completeness. Each visual should answer a decision question. Red/amber/green thresholds should be agreed in advance, not chosen after viewing the results. The dashboard should provide drill-down to transaction-level evidence and retain a dated snapshot so management can reconstruct what was known at the time of filing.</w:t>
      </w:r>
    </w:p>
    <w:p>
      <w:pPr>
        <w:pStyle w:val="Heading1"/>
      </w:pPr>
      <w:r>
        <w:t>5. Theoretical Approaches Compared with Practical Outcomes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b/>
              </w:rPr>
              <w:t>Theoretical expectation</w:t>
            </w:r>
          </w:p>
        </w:tc>
        <w:tc>
          <w:tcPr>
            <w:tcW w:type="dxa" w:w="3264"/>
          </w:tcPr>
          <w:p>
            <w:r>
              <w:rPr>
                <w:b/>
              </w:rPr>
              <w:t>Practical limitation or risk</w:t>
            </w:r>
          </w:p>
        </w:tc>
        <w:tc>
          <w:tcPr>
            <w:tcW w:type="dxa" w:w="3264"/>
          </w:tcPr>
          <w:p>
            <w:r>
              <w:rPr>
                <w:b/>
              </w:rPr>
              <w:t>Evaluation response</w:t>
            </w:r>
          </w:p>
        </w:tc>
      </w:tr>
      <w:tr>
        <w:tc>
          <w:tcPr>
            <w:tcW w:type="dxa" w:w="3264"/>
          </w:tcPr>
          <w:p>
            <w:r>
              <w:t>A common tax framework simplifies compliance.</w:t>
            </w:r>
          </w:p>
        </w:tc>
        <w:tc>
          <w:tcPr>
            <w:tcW w:type="dxa" w:w="3264"/>
          </w:tcPr>
          <w:p>
            <w:r>
              <w:t>Businesses still need to interpret tax treatment, place of supply, exceptions and changing procedures.</w:t>
            </w:r>
          </w:p>
        </w:tc>
        <w:tc>
          <w:tcPr>
            <w:tcW w:type="dxa" w:w="3264"/>
          </w:tcPr>
          <w:p>
            <w:r>
              <w:t>Maintain a reviewed tax decision matrix and escalation route.</w:t>
            </w:r>
          </w:p>
        </w:tc>
      </w:tr>
      <w:tr>
        <w:tc>
          <w:tcPr>
            <w:tcW w:type="dxa" w:w="3264"/>
          </w:tcPr>
          <w:p>
            <w:r>
              <w:t>Digital filing reduces manual effort.</w:t>
            </w:r>
          </w:p>
        </w:tc>
        <w:tc>
          <w:tcPr>
            <w:tcW w:type="dxa" w:w="3264"/>
          </w:tcPr>
          <w:p>
            <w:r>
              <w:t>Poor source data and weak integrations can shift errors downstream rather than remove them.</w:t>
            </w:r>
          </w:p>
        </w:tc>
        <w:tc>
          <w:tcPr>
            <w:tcW w:type="dxa" w:w="3264"/>
          </w:tcPr>
          <w:p>
            <w:r>
              <w:t>Validate data at entry and reconcile before filing.</w:t>
            </w:r>
          </w:p>
        </w:tc>
      </w:tr>
      <w:tr>
        <w:tc>
          <w:tcPr>
            <w:tcW w:type="dxa" w:w="3264"/>
          </w:tcPr>
          <w:p>
            <w:r>
              <w:t>ITC creates a credit chain and reduces cascading.</w:t>
            </w:r>
          </w:p>
        </w:tc>
        <w:tc>
          <w:tcPr>
            <w:tcW w:type="dxa" w:w="3264"/>
          </w:tcPr>
          <w:p>
            <w:r>
              <w:t>Supplier reporting gaps, ineligible credits and mismatches can delay or restrict credit.</w:t>
            </w:r>
          </w:p>
        </w:tc>
        <w:tc>
          <w:tcPr>
            <w:tcW w:type="dxa" w:w="3264"/>
          </w:tcPr>
          <w:p>
            <w:r>
              <w:t>Run risk-based matching and document eligibility separately.</w:t>
            </w:r>
          </w:p>
        </w:tc>
      </w:tr>
      <w:tr>
        <w:tc>
          <w:tcPr>
            <w:tcW w:type="dxa" w:w="3264"/>
          </w:tcPr>
          <w:p>
            <w:r>
              <w:t>Transaction-level data improves transparency.</w:t>
            </w:r>
          </w:p>
        </w:tc>
        <w:tc>
          <w:tcPr>
            <w:tcW w:type="dxa" w:w="3264"/>
          </w:tcPr>
          <w:p>
            <w:r>
              <w:t>High data volume can overwhelm small teams without prioritization.</w:t>
            </w:r>
          </w:p>
        </w:tc>
        <w:tc>
          <w:tcPr>
            <w:tcW w:type="dxa" w:w="3264"/>
          </w:tcPr>
          <w:p>
            <w:r>
              <w:t>Rank exceptions by value, risk and age; automate repeatable checks.</w:t>
            </w:r>
          </w:p>
        </w:tc>
      </w:tr>
      <w:tr>
        <w:tc>
          <w:tcPr>
            <w:tcW w:type="dxa" w:w="3264"/>
          </w:tcPr>
          <w:p>
            <w:r>
              <w:t>Standardized systems support auditability.</w:t>
            </w:r>
          </w:p>
        </w:tc>
        <w:tc>
          <w:tcPr>
            <w:tcW w:type="dxa" w:w="3264"/>
          </w:tcPr>
          <w:p>
            <w:r>
              <w:t>Evidence may remain fragmented across email, ERP, spreadsheets and transport records.</w:t>
            </w:r>
          </w:p>
        </w:tc>
        <w:tc>
          <w:tcPr>
            <w:tcW w:type="dxa" w:w="3264"/>
          </w:tcPr>
          <w:p>
            <w:r>
              <w:t>Use a controlled digital evidence folder and retention schedule.</w:t>
            </w:r>
          </w:p>
        </w:tc>
      </w:tr>
    </w:tbl>
    <w:p>
      <w:r>
        <w:t>The comparison shows that theoretical benefits are conditional. Digitalization is an enabler, not a substitute for governance. The most effective model combines preventive controls at transaction entry, detective controls through reconciliation, and corrective controls through assigned follow-up and documented closure.</w:t>
      </w:r>
    </w:p>
    <w:p>
      <w:pPr>
        <w:pStyle w:val="Heading1"/>
      </w:pPr>
      <w:r>
        <w:t>6. Challenges, Risks and Root-Cause Analysis</w:t>
      </w:r>
    </w:p>
    <w:p>
      <w:r>
        <w:t>The recurring challenges can be grouped into five categories. First, data-quality risk includes incorrect GSTINs, duplicate invoices, invalid tax codes and incomplete vendor records. Second, coordination risk arises when suppliers report late or different teams use inconsistent transaction dates and identifiers. Third, interpretation risk appears when staff do not understand the applicable treatment or when an internal tax matrix is outdated. Fourth, technology risk includes failed integrations, spreadsheet version conflicts, access-control weaknesses and incomplete audit logs. Fifth, governance risk occurs when responsibility is unclear, review is rushed, or the organization measures filing completion but not accuracy.</w:t>
      </w:r>
    </w:p>
    <w:p>
      <w:r>
        <w:t>A useful root-cause method is to categorize each error, quantify its count and value, identify the stage at which it originated, and distinguish the immediate cause from the process cause. For example, a mismatch caused by an incorrect vendor GSTIN should not be closed merely by correcting one invoice. The organization should assess why the master record passed validation, whether the vendor onboarding checklist was followed and whether a preventive system rule can block the same error. Corrective action should include an owner, due date and evidence of effectiveness.</w:t>
      </w:r>
    </w:p>
    <w:p>
      <w:pPr>
        <w:pStyle w:val="Heading1"/>
      </w:pPr>
      <w:r>
        <w:t>7. Critical Reflection on Learning and Analytical Experience</w:t>
      </w:r>
    </w:p>
    <w:p>
      <w:r>
        <w:t>This assignment has reinforced the difference between describing a compliance process and evaluating its performance. A process may appear successful because returns were submitted on time, but a more rigorous assessment asks whether the data was accurate, the tax treatment was supportable, eligible ITC was handled correctly and exceptions were resolved before they became recurring issues. The evaluation framework encourages a shift from task completion to measurable control effectiveness.</w:t>
      </w:r>
    </w:p>
    <w:p>
      <w:r>
        <w:t>A key learning is the importance of defining metrics before analysing data. If the definition of an exception, the denominator for a match rate or the meaning of 'resolved' changes between periods, a dashboard can create a misleading impression of improvement. Data quality, completeness and consistent definitions are therefore prerequisites for credible analysis. Another learning is that quantitative measures need context: a spike in mismatches may reflect a new control that detects previously hidden issues rather than a genuine decline in compliance.</w:t>
      </w:r>
    </w:p>
    <w:p>
      <w:r>
        <w:t>The work also highlights the value of triangulation. Official guidance explains the intended process, audit reports identify control weaknesses, and operational data would show how a particular organization performs. None of these sources alone gives a complete picture. In a real workplace project, I would improve the evaluation by obtaining a clearly scoped dataset, validating it against source documents, interviewing relevant staff, recording assumptions and asking a reviewer to challenge the interpretation. I would also distinguish legal conclusions, which require current rule-based review, from analytical observations about trends.</w:t>
      </w:r>
    </w:p>
    <w:p>
      <w:r>
        <w:t>An area for further development is practical use of analytics tools. Spreadsheet pivot tables and lookup functions can support initial reconciliation; SQL can combine larger transaction tables; and a dashboard tool such as Power BI can communicate trends and exception ageing. These tools should be used with access controls, version management and reproducible calculations. Automation should focus first on high-volume, rule-based checks, while judgement-heavy tax issues should be escalated for human review. The main professional lesson is that analytical sophistication is valuable only when the underlying data, assumptions and process ownership are reliable.</w:t>
      </w:r>
    </w:p>
    <w:p>
      <w:pPr>
        <w:pStyle w:val="Heading1"/>
      </w:pPr>
      <w:r>
        <w:t>8. Recommendations for Future GST Implementation and Compliance</w:t>
      </w:r>
    </w:p>
    <w:p>
      <w:pPr>
        <w:pStyle w:val="ListBullet"/>
      </w:pPr>
      <w:r>
        <w:t>Adopt a monthly GST close calendar with internal deadlines earlier than statutory due dates, named owners and a final reviewer.</w:t>
      </w:r>
    </w:p>
    <w:p>
      <w:pPr>
        <w:pStyle w:val="ListBullet"/>
      </w:pPr>
      <w:r>
        <w:t>Create a single, controlled source for customer/vendor GSTINs, tax codes, place-of-supply rules and transaction classifications; review master-data changes periodically.</w:t>
      </w:r>
    </w:p>
    <w:p>
      <w:pPr>
        <w:pStyle w:val="ListBullet"/>
      </w:pPr>
      <w:r>
        <w:t>Reconcile sales, purchase, tax liability, payment and relevant portal data every month. Track differences in an exception register with value, age, cause, owner and closure evidence.</w:t>
      </w:r>
    </w:p>
    <w:p>
      <w:pPr>
        <w:pStyle w:val="ListBullet"/>
      </w:pPr>
      <w:r>
        <w:t>Use risk-based prioritization: resolve high-value, high-age and potentially ineligible-credit items first, while retaining a documented process for low-value differences.</w:t>
      </w:r>
    </w:p>
    <w:p>
      <w:pPr>
        <w:pStyle w:val="ListBullet"/>
      </w:pPr>
      <w:r>
        <w:t>Separate 'matched' from 'eligible'. Require an eligibility check and supporting documents before claiming or retaining ITC where the applicable rules require them.</w:t>
      </w:r>
    </w:p>
    <w:p>
      <w:pPr>
        <w:pStyle w:val="ListBullet"/>
      </w:pPr>
      <w:r>
        <w:t>Use a GST dashboard with stable KPI definitions, period-on-period comparisons, drill-down capability and management-approved thresholds.</w:t>
      </w:r>
    </w:p>
    <w:p>
      <w:pPr>
        <w:pStyle w:val="ListBullet"/>
      </w:pPr>
      <w:r>
        <w:t>Conduct quarterly root-cause reviews and record preventive actions. Verify whether actions reduced recurrence instead of closing issues administratively.</w:t>
      </w:r>
    </w:p>
    <w:p>
      <w:pPr>
        <w:pStyle w:val="ListBullet"/>
      </w:pPr>
      <w:r>
        <w:t>Provide role-specific training for procurement, sales, logistics and finance teams, with a brief change log whenever tax rules or system processes are updated.</w:t>
      </w:r>
    </w:p>
    <w:p>
      <w:pPr>
        <w:pStyle w:val="ListBullet"/>
      </w:pPr>
      <w:r>
        <w:t>Strengthen technology governance through access controls, maker-checker approval, backups, version control and an auditable record of manual overrides.</w:t>
      </w:r>
    </w:p>
    <w:p>
      <w:pPr>
        <w:pStyle w:val="ListBullet"/>
      </w:pPr>
      <w:r>
        <w:t>Prepare an audit-evidence checklist linking invoices, ledgers, tax calculations, payment evidence, reconciliation and relevant transport records.</w:t>
      </w:r>
    </w:p>
    <w:p>
      <w:pPr>
        <w:pStyle w:val="ListBullet"/>
      </w:pPr>
      <w:r>
        <w:t>Benchmark performance only against comparable periods and clearly explain changes in transaction volumes, business mix, law or system requirements.</w:t>
      </w:r>
    </w:p>
    <w:p>
      <w:pPr>
        <w:pStyle w:val="ListBullet"/>
      </w:pPr>
      <w:r>
        <w:t>Review the current official notifications and guidance before applying any legal threshold, due date or tax treatment; do not rely solely on old templates or informal summaries.</w:t>
      </w:r>
    </w:p>
    <w:p>
      <w:pPr>
        <w:pStyle w:val="Heading1"/>
      </w:pPr>
      <w:r>
        <w:t>9. Implementation Roadmap</w:t>
      </w:r>
    </w:p>
    <w:p>
      <w:r>
        <w:t>A practical 90-day improvement plan can turn these recommendations into a controlled programme. During days 1–30, map the GST process, identify data sources, agree KPI definitions, review master data and establish a baseline. During days 31–60, implement the exception register, assign owners, pilot the dashboard and train staff on the highest-frequency error categories. During days 61–90, review KPI trends, sample transactions for audit readiness, test whether corrective actions work and present findings to management. The roadmap should be adjusted to the organization's size, transaction complexity and applicable compliance obligations.</w:t>
      </w:r>
    </w:p>
    <w:p>
      <w:pPr>
        <w:pStyle w:val="Heading1"/>
      </w:pPr>
      <w:r>
        <w:t>10. Conclusion</w:t>
      </w:r>
    </w:p>
    <w:p>
      <w:r>
        <w:t>GST implementation performance should be judged through a balanced view of compliance timeliness, data accuracy, ITC controls, exception resolution, audit readiness, working-capital effects and staff capability. Digital filing and transaction systems provide a foundation for visibility, but reliable outcomes require accurate data, clear accountability, reconciliations and continuous learning. The comparison of theoretical aims with practical risks demonstrates that technology alone cannot eliminate compliance problems; it must be supported by sound process design and human review.</w:t>
      </w:r>
    </w:p>
    <w:p>
      <w:r>
        <w:t>Business analytics strengthens GST management when it converts transaction data into prioritized action. Stable KPIs reveal trends, segmentation identifies where issues originate, and root-cause analysis helps prevent recurrence. The most important reflection from this evaluation is that a credible report must be transparent about its evidence. The illustrative figures in this document demonstrate a method rather than claim actual organizational results. A real implementation review should replace them with validated records and document its scope, assumptions and limitations. With these safeguards, GST compliance can become more accurate, predictable and auditable while supporting better financial decisions.</w:t>
      </w:r>
    </w:p>
    <w:p>
      <w:pPr>
        <w:pStyle w:val="Heading1"/>
      </w:pPr>
      <w:r>
        <w:t>References</w:t>
      </w:r>
    </w:p>
    <w:p>
      <w:pPr>
        <w:pStyle w:val="ListNumber"/>
      </w:pPr>
      <w:r>
        <w:t xml:space="preserve">Central Board of Indirect Taxes and Customs (CBIC). GST – Goods and Services Tax resources and updates. </w:t>
      </w:r>
      <w:r>
        <w:rPr>
          <w:color w:val="0563C1"/>
          <w:u w:val="single"/>
        </w:rPr>
        <w:t>https://www.cbic.gov.in/</w:t>
      </w:r>
    </w:p>
    <w:p>
      <w:pPr>
        <w:pStyle w:val="ListNumber"/>
      </w:pPr>
      <w:r>
        <w:t xml:space="preserve">Goods and Services Tax Portal. Official GST portal for taxpayer services, returns and system guidance. </w:t>
      </w:r>
      <w:r>
        <w:rPr>
          <w:color w:val="0563C1"/>
          <w:u w:val="single"/>
        </w:rPr>
        <w:t>https://www.gst.gov.in/</w:t>
      </w:r>
    </w:p>
    <w:p>
      <w:pPr>
        <w:pStyle w:val="ListNumber"/>
      </w:pPr>
      <w:r>
        <w:t xml:space="preserve">Comptroller and Auditor General of India (CAG). Audit reports and publications relating to GST implementation, compliance, payment/return filing and e-way bill systems. </w:t>
      </w:r>
      <w:r>
        <w:rPr>
          <w:color w:val="0563C1"/>
          <w:u w:val="single"/>
        </w:rPr>
        <w:t>https://cag.gov.in/en/audit-report?title=gst</w:t>
      </w:r>
    </w:p>
    <w:p>
      <w:pPr>
        <w:pStyle w:val="ListNumber"/>
      </w:pPr>
      <w:r>
        <w:t xml:space="preserve">CAG. Report on GST implementation and audit findings, including discussion of GSTN modules, return filing, IGST settlement and compliance areas. </w:t>
      </w:r>
      <w:r>
        <w:rPr>
          <w:color w:val="0563C1"/>
          <w:u w:val="single"/>
        </w:rPr>
        <w:t>https://cag.gov.in/en/audit-report/details/52307</w:t>
      </w:r>
    </w:p>
    <w:p>
      <w:pPr>
        <w:pStyle w:val="ListNumber"/>
      </w:pPr>
      <w:r>
        <w:t xml:space="preserve">CAG. Press release concerning Compliance Audit Report No. 25 of 2025 on Goods and Services Tax, presented in Parliament on 18 December 2025. </w:t>
      </w:r>
      <w:r>
        <w:rPr>
          <w:color w:val="0563C1"/>
          <w:u w:val="single"/>
        </w:rPr>
        <w:t>https://cag.gov.in/uploads/PressRelease/PR-Press-Brief-25-of-2025-English-GST-Revised-06944e2fe083749-12309552.pdf</w:t>
      </w:r>
    </w:p>
    <w:p>
      <w:r>
        <w:t>Note: This is an academic, desk-based evaluation. The hypothetical KPI table is for demonstration only. Confirm current legal requirements, notifications and due dates from official sources before applying the report to live compliance decisions.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Academic Report • GST Compliance and Business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5 | GST PRACTICES PERFORMANCE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and Critical Reflection in GST Practices</dc:title>
  <dc:subject>Week 5 GST Practices and Business Analytics Evaluation</dc:subject>
  <dc:creator>Student / Trainee</dc:creator>
  <cp:keywords>GST, compliance, business analytics, ITC, performance evaluation</cp:keywords>
  <dc:description>generated by python-docx</dc:description>
  <cp:lastModifiedBy/>
  <cp:revision>1</cp:revision>
  <dcterms:created xsi:type="dcterms:W3CDTF">2013-12-23T23:15:00Z</dcterms:created>
  <dcterms:modified xsi:type="dcterms:W3CDTF">2013-12-23T23:15:00Z</dcterms:modified>
  <cp:category/>
</cp:coreProperties>
</file>