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1F3864"/>
          <w:sz w:val="44"/>
          <w:szCs w:val="44"/>
        </w:rPr>
        <w:t xml:space="preserve">Strategic Plan for Implementing GST Reforms</w:t>
      </w:r>
    </w:p>
    <w:p>
      <w:pPr>
        <w:spacing w:after="80"/>
        <w:jc w:val="center"/>
      </w:pPr>
      <w:r>
        <w:rPr>
          <w:rFonts w:ascii="Calibri" w:cs="Calibri" w:eastAsia="Calibri" w:hAnsi="Calibri"/>
          <w:color w:val="2E5597"/>
          <w:sz w:val="26"/>
          <w:szCs w:val="26"/>
        </w:rPr>
        <w:t xml:space="preserve">Week 4: A Business Analytics Approach to Policy Change</w:t>
      </w:r>
    </w:p>
    <w:p>
      <w:pPr>
        <w:pBdr>
          <w:bottom w:val="single" w:color="2E5597" w:sz="8" w:space="6"/>
        </w:pBdr>
        <w:spacing w:after="240"/>
        <w:jc w:val="center"/>
      </w:pPr>
      <w:r>
        <w:rPr>
          <w:rFonts w:ascii="Calibri" w:cs="Calibri" w:eastAsia="Calibri" w:hAnsi="Calibri"/>
          <w:i/>
          <w:iCs/>
          <w:sz w:val="22"/>
          <w:szCs w:val="22"/>
        </w:rPr>
        <w:t xml:space="preserve">Prepared by: Junior Business Analytics Specialist (GST Practitioner) | October 2026</w:t>
      </w:r>
    </w:p>
    <w:p>
      <w:pPr>
        <w:pStyle w:val="Heading1"/>
        <w:spacing w:after="120" w:before="280"/>
      </w:pPr>
      <w:r>
        <w:rPr>
          <w:rFonts w:ascii="Calibri" w:cs="Calibri" w:eastAsia="Calibri" w:hAnsi="Calibri"/>
          <w:b/>
          <w:bCs/>
          <w:color w:val="1F3864"/>
          <w:sz w:val="30"/>
          <w:szCs w:val="30"/>
        </w:rPr>
        <w:t xml:space="preserve">1. Executive Summary</w:t>
      </w:r>
    </w:p>
    <w:p>
      <w:pPr>
        <w:spacing w:after="120" w:line="276"/>
      </w:pPr>
      <w:r>
        <w:rPr>
          <w:rFonts w:ascii="Calibri" w:cs="Calibri" w:eastAsia="Calibri" w:hAnsi="Calibri"/>
          <w:sz w:val="22"/>
          <w:szCs w:val="22"/>
        </w:rPr>
        <w:t xml:space="preserve">India's GST regime is changing on two fronts. The September 2025 "GST 2.0" reforms rationalised rates into mainly 5% and 18% slabs, with a 40% rate for luxury and sin goods. Since then, attention has moved to compliance technology, stricter input tax credit (ITC) matching and procedural simplification, with further recommendations from the GST Council in October 2026 on registration, refunds, returns and penalties.</w:t>
      </w:r>
    </w:p>
    <w:p>
      <w:pPr>
        <w:spacing w:after="120" w:line="276"/>
      </w:pPr>
      <w:r>
        <w:rPr>
          <w:rFonts w:ascii="Calibri" w:cs="Calibri" w:eastAsia="Calibri" w:hAnsi="Calibri"/>
          <w:sz w:val="22"/>
          <w:szCs w:val="22"/>
        </w:rPr>
        <w:t xml:space="preserve">This plan is written for a representative mid-sized Indian company that manufactures and trades goods, has multiple GST registrations and sources inputs from many suppliers. It explains how the company can adapt its pricing, systems, processes and people to the reforms, limit financial and legal risk, and capture the benefits. The plan has three strategic objectives: (1) zero compliance failures during the transition, (2) protected margins and working capital, and (3) a permanent, analytics-driven GST control environment. It sets out short-term (0 to 90 days), medium-term (3 to 12 months) and long-term (1 to 3 years) actions, supported by KPIs.</w:t>
      </w:r>
    </w:p>
    <w:p>
      <w:pPr>
        <w:spacing w:after="120" w:line="276"/>
      </w:pPr>
      <w:r>
        <w:rPr>
          <w:rFonts w:ascii="Calibri" w:cs="Calibri" w:eastAsia="Calibri" w:hAnsi="Calibri"/>
          <w:sz w:val="22"/>
          <w:szCs w:val="22"/>
        </w:rPr>
        <w:t xml:space="preserve">Note: some October 2026 items are Council recommendations, not yet law. Each should be confirmed against the relevant notification, amendment and effective date before implementation.</w:t>
      </w:r>
    </w:p>
    <w:p>
      <w:pPr>
        <w:pStyle w:val="Heading1"/>
        <w:spacing w:after="120" w:before="280"/>
      </w:pPr>
      <w:r>
        <w:rPr>
          <w:rFonts w:ascii="Calibri" w:cs="Calibri" w:eastAsia="Calibri" w:hAnsi="Calibri"/>
          <w:b/>
          <w:bCs/>
          <w:color w:val="1F3864"/>
          <w:sz w:val="30"/>
          <w:szCs w:val="30"/>
        </w:rPr>
        <w:t xml:space="preserve">2. Reform Landscape and Forecast Challenges</w:t>
      </w:r>
    </w:p>
    <w:p>
      <w:pPr>
        <w:pStyle w:val="Heading2"/>
        <w:spacing w:after="80" w:before="180"/>
      </w:pPr>
      <w:r>
        <w:rPr>
          <w:rFonts w:ascii="Calibri" w:cs="Calibri" w:eastAsia="Calibri" w:hAnsi="Calibri"/>
          <w:b/>
          <w:bCs/>
          <w:color w:val="2E5597"/>
          <w:sz w:val="25"/>
          <w:szCs w:val="25"/>
        </w:rPr>
        <w:t xml:space="preserve">2.1 Current reform trends</w:t>
      </w:r>
    </w:p>
    <w:p>
      <w:pPr>
        <w:pStyle w:val="ListParagraph"/>
        <w:numPr>
          <w:ilvl w:val="0"/>
          <w:numId w:val="2"/>
        </w:numPr>
        <w:spacing w:after="70" w:line="276"/>
      </w:pPr>
      <w:r>
        <w:rPr>
          <w:rFonts w:ascii="Calibri" w:cs="Calibri" w:eastAsia="Calibri" w:hAnsi="Calibri"/>
          <w:b/>
          <w:bCs/>
          <w:sz w:val="22"/>
          <w:szCs w:val="22"/>
        </w:rPr>
        <w:t xml:space="preserve">Rate rationalisation. </w:t>
      </w:r>
      <w:r>
        <w:rPr>
          <w:rFonts w:ascii="Calibri" w:cs="Calibri" w:eastAsia="Calibri" w:hAnsi="Calibri"/>
          <w:sz w:val="22"/>
          <w:szCs w:val="22"/>
        </w:rPr>
        <w:t xml:space="preserve">The earlier 12% and 28% slabs were largely removed in September 2025, and the compensation cess has been phased out for most items. Many products moved slabs, so invoicing, contracts and inventory valuation were affected.</w:t>
      </w:r>
    </w:p>
    <w:p>
      <w:pPr>
        <w:pStyle w:val="ListParagraph"/>
        <w:numPr>
          <w:ilvl w:val="0"/>
          <w:numId w:val="2"/>
        </w:numPr>
        <w:spacing w:after="70" w:line="276"/>
      </w:pPr>
      <w:r>
        <w:rPr>
          <w:rFonts w:ascii="Calibri" w:cs="Calibri" w:eastAsia="Calibri" w:hAnsi="Calibri"/>
          <w:b/>
          <w:bCs/>
          <w:sz w:val="22"/>
          <w:szCs w:val="22"/>
        </w:rPr>
        <w:t xml:space="preserve">Compliance enforcement through technology. </w:t>
      </w:r>
      <w:r>
        <w:rPr>
          <w:rFonts w:ascii="Calibri" w:cs="Calibri" w:eastAsia="Calibri" w:hAnsi="Calibri"/>
          <w:sz w:val="22"/>
          <w:szCs w:val="22"/>
        </w:rPr>
        <w:t xml:space="preserve">The GST portal now applies stricter validations, including checks that can block GSTR-3B filing where ITC claims do not match auto-drafted data. E-invoicing and e-way bill coverage continue to widen.</w:t>
      </w:r>
    </w:p>
    <w:p>
      <w:pPr>
        <w:pStyle w:val="ListParagraph"/>
        <w:numPr>
          <w:ilvl w:val="0"/>
          <w:numId w:val="2"/>
        </w:numPr>
        <w:spacing w:after="70" w:line="276"/>
      </w:pPr>
      <w:r>
        <w:rPr>
          <w:rFonts w:ascii="Calibri" w:cs="Calibri" w:eastAsia="Calibri" w:hAnsi="Calibri"/>
          <w:b/>
          <w:bCs/>
          <w:sz w:val="22"/>
          <w:szCs w:val="22"/>
        </w:rPr>
        <w:t xml:space="preserve">Procedural simplification. </w:t>
      </w:r>
      <w:r>
        <w:rPr>
          <w:rFonts w:ascii="Calibri" w:cs="Calibri" w:eastAsia="Calibri" w:hAnsi="Calibri"/>
          <w:sz w:val="22"/>
          <w:szCs w:val="22"/>
        </w:rPr>
        <w:t xml:space="preserve">The October 2026 Council recommendations point towards simpler registration and amendments, better matching between GSTR-1, GSTR-3B and ITC claims, faster refund processing, and softer penalty and prosecution provisions.</w:t>
      </w:r>
    </w:p>
    <w:p>
      <w:pPr>
        <w:pStyle w:val="ListParagraph"/>
        <w:numPr>
          <w:ilvl w:val="0"/>
          <w:numId w:val="2"/>
        </w:numPr>
        <w:spacing w:after="70" w:line="276"/>
      </w:pPr>
      <w:r>
        <w:rPr>
          <w:rFonts w:ascii="Calibri" w:cs="Calibri" w:eastAsia="Calibri" w:hAnsi="Calibri"/>
          <w:b/>
          <w:bCs/>
          <w:sz w:val="22"/>
          <w:szCs w:val="22"/>
        </w:rPr>
        <w:t xml:space="preserve">Export treatment. </w:t>
      </w:r>
      <w:r>
        <w:rPr>
          <w:rFonts w:ascii="Calibri" w:cs="Calibri" w:eastAsia="Calibri" w:hAnsi="Calibri"/>
          <w:sz w:val="22"/>
          <w:szCs w:val="22"/>
        </w:rPr>
        <w:t xml:space="preserve">Changes concerning intermediary services and export refunds aim to improve cash flow for exporters.</w:t>
      </w:r>
    </w:p>
    <w:p>
      <w:pPr>
        <w:pStyle w:val="Heading2"/>
        <w:spacing w:after="80" w:before="180"/>
      </w:pPr>
      <w:r>
        <w:rPr>
          <w:rFonts w:ascii="Calibri" w:cs="Calibri" w:eastAsia="Calibri" w:hAnsi="Calibri"/>
          <w:b/>
          <w:bCs/>
          <w:color w:val="2E5597"/>
          <w:sz w:val="25"/>
          <w:szCs w:val="25"/>
        </w:rPr>
        <w:t xml:space="preserve">2.2 Forecast challenges</w:t>
      </w:r>
    </w:p>
    <w:p>
      <w:pPr>
        <w:spacing w:after="120" w:line="276"/>
      </w:pPr>
      <w:r>
        <w:rPr>
          <w:rFonts w:ascii="Calibri" w:cs="Calibri" w:eastAsia="Calibri" w:hAnsi="Calibri"/>
          <w:sz w:val="22"/>
          <w:szCs w:val="22"/>
        </w:rPr>
        <w:t xml:space="preserve">Businesses are likely to face repricing pressure as rate changes pass through to customers, inverted duty structures where input rates exceed output rates, ITC blockages caused by supplier errors, system and ERP rate-master errors, litigation over classification, and a heavier workload for finance teams during each transition.</w:t>
      </w:r>
    </w:p>
    <w:p>
      <w:pPr>
        <w:pStyle w:val="Heading1"/>
        <w:spacing w:after="120" w:before="280"/>
      </w:pPr>
      <w:r>
        <w:rPr>
          <w:rFonts w:ascii="Calibri" w:cs="Calibri" w:eastAsia="Calibri" w:hAnsi="Calibri"/>
          <w:b/>
          <w:bCs/>
          <w:color w:val="1F3864"/>
          <w:sz w:val="30"/>
          <w:szCs w:val="30"/>
        </w:rPr>
        <w:t xml:space="preserve">3. Risk and Benefit Analysis</w:t>
      </w:r>
    </w:p>
    <w:p>
      <w:pPr>
        <w:pStyle w:val="Heading2"/>
        <w:spacing w:after="80" w:before="180"/>
      </w:pPr>
      <w:r>
        <w:rPr>
          <w:rFonts w:ascii="Calibri" w:cs="Calibri" w:eastAsia="Calibri" w:hAnsi="Calibri"/>
          <w:b/>
          <w:bCs/>
          <w:color w:val="2E5597"/>
          <w:sz w:val="25"/>
          <w:szCs w:val="25"/>
        </w:rPr>
        <w:t xml:space="preserve">3.1 Risk register</w:t>
      </w:r>
    </w:p>
    <w:p>
      <w:pPr>
        <w:spacing w:after="120" w:line="276"/>
      </w:pPr>
      <w:r>
        <w:rPr>
          <w:rFonts w:ascii="Calibri" w:cs="Calibri" w:eastAsia="Calibri" w:hAnsi="Calibri"/>
          <w:sz w:val="22"/>
          <w:szCs w:val="22"/>
        </w:rPr>
        <w:t xml:space="preserve">Risks are scored from 1 (low) to 5 (high) for likelihood and impact. The score is likelihood multiplied by impact; the ratings below are illustrative, based on a typical company profile, and should be recalibrated with the company's actual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000"/>
        <w:gridCol w:w="900"/>
        <w:gridCol w:w="4160"/>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Risk</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Likelihood</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Impact</w:t>
            </w:r>
          </w:p>
        </w:tc>
        <w:tc>
          <w:tcPr>
            <w:tcW w:type="dxa" w:w="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Score</w:t>
            </w:r>
          </w:p>
        </w:tc>
        <w:tc>
          <w:tcPr>
            <w:tcW w:type="dxa" w:w="41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Mitigation</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ITC mismatch blocking GSTR-3B</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Monthly GSTR-2B reconciliation, supplier scorecards, payment holds</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Wrong tax rate or HSN in ERP</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15</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Rate-master audit, automated validation before invoice posting</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Margin erosion from pricing changes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16</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Elasticity analysis, contract clauses, phased repricing</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Inverted duty and blocked refunds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12</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Refund tracking, input sourcing review, timely claims</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Working capital pressure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12</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Cash-tax forecasting, ITC utilisation planning</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Penalties and notices from errors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12</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Early-warning alerts, documented replies, notice register</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Staff skill gaps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Role-based training, updated SOPs</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Data and vendor-system failure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Backups, API monitoring, vendor SLAs</w:t>
            </w:r>
          </w:p>
        </w:tc>
      </w:tr>
    </w:tbl>
    <w:p>
      <w:pPr>
        <w:spacing w:after="80"/>
      </w:pPr>
    </w:p>
    <w:p>
      <w:pPr>
        <w:pStyle w:val="Heading2"/>
        <w:spacing w:after="80" w:before="180"/>
      </w:pPr>
      <w:r>
        <w:rPr>
          <w:rFonts w:ascii="Calibri" w:cs="Calibri" w:eastAsia="Calibri" w:hAnsi="Calibri"/>
          <w:b/>
          <w:bCs/>
          <w:color w:val="2E5597"/>
          <w:sz w:val="25"/>
          <w:szCs w:val="25"/>
        </w:rPr>
        <w:t xml:space="preserve">3.2 Expected benefits</w:t>
      </w:r>
    </w:p>
    <w:p>
      <w:pPr>
        <w:pStyle w:val="ListParagraph"/>
        <w:numPr>
          <w:ilvl w:val="0"/>
          <w:numId w:val="2"/>
        </w:numPr>
        <w:spacing w:after="70" w:line="276"/>
      </w:pPr>
      <w:r>
        <w:rPr>
          <w:rFonts w:ascii="Calibri" w:cs="Calibri" w:eastAsia="Calibri" w:hAnsi="Calibri"/>
          <w:b/>
          <w:bCs/>
          <w:sz w:val="22"/>
          <w:szCs w:val="22"/>
        </w:rPr>
        <w:t xml:space="preserve">Simpler structure: </w:t>
      </w:r>
      <w:r>
        <w:rPr>
          <w:rFonts w:ascii="Calibri" w:cs="Calibri" w:eastAsia="Calibri" w:hAnsi="Calibri"/>
          <w:sz w:val="22"/>
          <w:szCs w:val="22"/>
        </w:rPr>
        <w:t xml:space="preserve">fewer rate slabs reduce classification disputes and invoicing errors.</w:t>
      </w:r>
    </w:p>
    <w:p>
      <w:pPr>
        <w:pStyle w:val="ListParagraph"/>
        <w:numPr>
          <w:ilvl w:val="0"/>
          <w:numId w:val="2"/>
        </w:numPr>
        <w:spacing w:after="70" w:line="276"/>
      </w:pPr>
      <w:r>
        <w:rPr>
          <w:rFonts w:ascii="Calibri" w:cs="Calibri" w:eastAsia="Calibri" w:hAnsi="Calibri"/>
          <w:b/>
          <w:bCs/>
          <w:sz w:val="22"/>
          <w:szCs w:val="22"/>
        </w:rPr>
        <w:t xml:space="preserve">Better cash flow: </w:t>
      </w:r>
      <w:r>
        <w:rPr>
          <w:rFonts w:ascii="Calibri" w:cs="Calibri" w:eastAsia="Calibri" w:hAnsi="Calibri"/>
          <w:sz w:val="22"/>
          <w:szCs w:val="22"/>
        </w:rPr>
        <w:t xml:space="preserve">faster refunds, export-friendly rules and lower rates on some inputs release working capital.</w:t>
      </w:r>
    </w:p>
    <w:p>
      <w:pPr>
        <w:pStyle w:val="ListParagraph"/>
        <w:numPr>
          <w:ilvl w:val="0"/>
          <w:numId w:val="2"/>
        </w:numPr>
        <w:spacing w:after="70" w:line="276"/>
      </w:pPr>
      <w:r>
        <w:rPr>
          <w:rFonts w:ascii="Calibri" w:cs="Calibri" w:eastAsia="Calibri" w:hAnsi="Calibri"/>
          <w:b/>
          <w:bCs/>
          <w:sz w:val="22"/>
          <w:szCs w:val="22"/>
        </w:rPr>
        <w:t xml:space="preserve">Demand support: </w:t>
      </w:r>
      <w:r>
        <w:rPr>
          <w:rFonts w:ascii="Calibri" w:cs="Calibri" w:eastAsia="Calibri" w:hAnsi="Calibri"/>
          <w:sz w:val="22"/>
          <w:szCs w:val="22"/>
        </w:rPr>
        <w:t xml:space="preserve">lower prices on certain goods may raise volumes, which helps fixed-cost absorption.</w:t>
      </w:r>
    </w:p>
    <w:p>
      <w:pPr>
        <w:pStyle w:val="ListParagraph"/>
        <w:numPr>
          <w:ilvl w:val="0"/>
          <w:numId w:val="2"/>
        </w:numPr>
        <w:spacing w:after="70" w:line="276"/>
      </w:pPr>
      <w:r>
        <w:rPr>
          <w:rFonts w:ascii="Calibri" w:cs="Calibri" w:eastAsia="Calibri" w:hAnsi="Calibri"/>
          <w:b/>
          <w:bCs/>
          <w:sz w:val="22"/>
          <w:szCs w:val="22"/>
        </w:rPr>
        <w:t xml:space="preserve">Lower compliance friction: </w:t>
      </w:r>
      <w:r>
        <w:rPr>
          <w:rFonts w:ascii="Calibri" w:cs="Calibri" w:eastAsia="Calibri" w:hAnsi="Calibri"/>
          <w:sz w:val="22"/>
          <w:szCs w:val="22"/>
        </w:rPr>
        <w:t xml:space="preserve">simpler registration changes and clearer penalty rules reduce administrative time and dispute risk.</w:t>
      </w:r>
    </w:p>
    <w:p>
      <w:pPr>
        <w:pStyle w:val="Heading1"/>
        <w:spacing w:after="120" w:before="280"/>
      </w:pPr>
      <w:r>
        <w:rPr>
          <w:rFonts w:ascii="Calibri" w:cs="Calibri" w:eastAsia="Calibri" w:hAnsi="Calibri"/>
          <w:b/>
          <w:bCs/>
          <w:color w:val="1F3864"/>
          <w:sz w:val="30"/>
          <w:szCs w:val="30"/>
        </w:rPr>
        <w:t xml:space="preserve">4. Strategic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5260"/>
      </w:tblGrid>
      <w:tr>
        <w:trPr>
          <w:tblHeader/>
        </w:trPr>
        <w:tc>
          <w:tcPr>
            <w:tcW w:type="dxa" w:w="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No.</w:t>
            </w:r>
          </w:p>
        </w:tc>
        <w:tc>
          <w:tcPr>
            <w:tcW w:type="dxa" w:w="3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Objective</w:t>
            </w:r>
          </w:p>
        </w:tc>
        <w:tc>
          <w:tcPr>
            <w:tcW w:type="dxa" w:w="52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Success definition</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1</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Seamless compliance during transition</w:t>
            </w:r>
          </w:p>
        </w:tc>
        <w:tc>
          <w:tcPr>
            <w:tcW w:type="dxa" w:w="52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on-time returns; ITC mismatch below 2% of claimed ITC</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2</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Margin and cash-flow protection</w:t>
            </w:r>
          </w:p>
        </w:tc>
        <w:tc>
          <w:tcPr>
            <w:tcW w:type="dxa" w:w="52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Gross margin held within 0.5 percentage points of plan; refund cycle reduced</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3</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Data-driven GST control</w:t>
            </w:r>
          </w:p>
        </w:tc>
        <w:tc>
          <w:tcPr>
            <w:tcW w:type="dxa" w:w="52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Dashboard live across all GSTINs; automated alerts and reconciliations</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4</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Capable, informed organisation</w:t>
            </w:r>
          </w:p>
        </w:tc>
        <w:tc>
          <w:tcPr>
            <w:tcW w:type="dxa" w:w="52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All finance, sales and procurement staff trained; SOPs updated</w:t>
            </w:r>
          </w:p>
        </w:tc>
      </w:tr>
    </w:tbl>
    <w:p>
      <w:pPr>
        <w:spacing w:after="80"/>
      </w:pPr>
    </w:p>
    <w:p>
      <w:pPr>
        <w:pStyle w:val="Heading1"/>
        <w:spacing w:after="120" w:before="280"/>
      </w:pPr>
      <w:r>
        <w:rPr>
          <w:rFonts w:ascii="Calibri" w:cs="Calibri" w:eastAsia="Calibri" w:hAnsi="Calibri"/>
          <w:b/>
          <w:bCs/>
          <w:color w:val="1F3864"/>
          <w:sz w:val="30"/>
          <w:szCs w:val="30"/>
        </w:rPr>
        <w:t xml:space="preserve">5. Action Plans</w:t>
      </w:r>
    </w:p>
    <w:p>
      <w:pPr>
        <w:pStyle w:val="Heading2"/>
        <w:spacing w:after="80" w:before="180"/>
      </w:pPr>
      <w:r>
        <w:rPr>
          <w:rFonts w:ascii="Calibri" w:cs="Calibri" w:eastAsia="Calibri" w:hAnsi="Calibri"/>
          <w:b/>
          <w:bCs/>
          <w:color w:val="2E5597"/>
          <w:sz w:val="25"/>
          <w:szCs w:val="25"/>
        </w:rPr>
        <w:t xml:space="preserve">5.1 Short term (0 to 90 days): stabilise</w:t>
      </w:r>
    </w:p>
    <w:p>
      <w:pPr>
        <w:pStyle w:val="ListParagraph"/>
        <w:numPr>
          <w:ilvl w:val="0"/>
          <w:numId w:val="2"/>
        </w:numPr>
        <w:spacing w:after="70" w:line="276"/>
      </w:pPr>
      <w:r>
        <w:rPr>
          <w:rFonts w:ascii="Calibri" w:cs="Calibri" w:eastAsia="Calibri" w:hAnsi="Calibri"/>
          <w:b/>
          <w:bCs/>
          <w:sz w:val="22"/>
          <w:szCs w:val="22"/>
        </w:rPr>
        <w:t xml:space="preserve">Impact assessment. </w:t>
      </w:r>
      <w:r>
        <w:rPr>
          <w:rFonts w:ascii="Calibri" w:cs="Calibri" w:eastAsia="Calibri" w:hAnsi="Calibri"/>
          <w:sz w:val="22"/>
          <w:szCs w:val="22"/>
        </w:rPr>
        <w:t xml:space="preserve">Map every SKU and service to its new HSN/SAC and rate; quantify the effect on output tax, ITC and margin by product line using sales and purchase history.</w:t>
      </w:r>
    </w:p>
    <w:p>
      <w:pPr>
        <w:pStyle w:val="ListParagraph"/>
        <w:numPr>
          <w:ilvl w:val="0"/>
          <w:numId w:val="2"/>
        </w:numPr>
        <w:spacing w:after="70" w:line="276"/>
      </w:pPr>
      <w:r>
        <w:rPr>
          <w:rFonts w:ascii="Calibri" w:cs="Calibri" w:eastAsia="Calibri" w:hAnsi="Calibri"/>
          <w:b/>
          <w:bCs/>
          <w:sz w:val="22"/>
          <w:szCs w:val="22"/>
        </w:rPr>
        <w:t xml:space="preserve">ERP and system updates. </w:t>
      </w:r>
      <w:r>
        <w:rPr>
          <w:rFonts w:ascii="Calibri" w:cs="Calibri" w:eastAsia="Calibri" w:hAnsi="Calibri"/>
          <w:sz w:val="22"/>
          <w:szCs w:val="22"/>
        </w:rPr>
        <w:t xml:space="preserve">Correct rate masters, tax codes, e-invoice and e-way bill settings; run test invoices before go-live.</w:t>
      </w:r>
    </w:p>
    <w:p>
      <w:pPr>
        <w:pStyle w:val="ListParagraph"/>
        <w:numPr>
          <w:ilvl w:val="0"/>
          <w:numId w:val="2"/>
        </w:numPr>
        <w:spacing w:after="70" w:line="276"/>
      </w:pPr>
      <w:r>
        <w:rPr>
          <w:rFonts w:ascii="Calibri" w:cs="Calibri" w:eastAsia="Calibri" w:hAnsi="Calibri"/>
          <w:b/>
          <w:bCs/>
          <w:sz w:val="22"/>
          <w:szCs w:val="22"/>
        </w:rPr>
        <w:t xml:space="preserve">ITC clean-up. </w:t>
      </w:r>
      <w:r>
        <w:rPr>
          <w:rFonts w:ascii="Calibri" w:cs="Calibri" w:eastAsia="Calibri" w:hAnsi="Calibri"/>
          <w:sz w:val="22"/>
          <w:szCs w:val="22"/>
        </w:rPr>
        <w:t xml:space="preserve">Reconcile books to GSTR-2B for the last 12 months, follow up on missing supplier invoices and reverse ineligible credit voluntarily where required.</w:t>
      </w:r>
    </w:p>
    <w:p>
      <w:pPr>
        <w:pStyle w:val="ListParagraph"/>
        <w:numPr>
          <w:ilvl w:val="0"/>
          <w:numId w:val="2"/>
        </w:numPr>
        <w:spacing w:after="70" w:line="276"/>
      </w:pPr>
      <w:r>
        <w:rPr>
          <w:rFonts w:ascii="Calibri" w:cs="Calibri" w:eastAsia="Calibri" w:hAnsi="Calibri"/>
          <w:b/>
          <w:bCs/>
          <w:sz w:val="22"/>
          <w:szCs w:val="22"/>
        </w:rPr>
        <w:t xml:space="preserve">Pricing and contract review. </w:t>
      </w:r>
      <w:r>
        <w:rPr>
          <w:rFonts w:ascii="Calibri" w:cs="Calibri" w:eastAsia="Calibri" w:hAnsi="Calibri"/>
          <w:sz w:val="22"/>
          <w:szCs w:val="22"/>
        </w:rPr>
        <w:t xml:space="preserve">Identify contracts with fixed prices or tax-inclusive clauses; renegotiate or add tax-change clauses.</w:t>
      </w:r>
    </w:p>
    <w:p>
      <w:pPr>
        <w:pStyle w:val="ListParagraph"/>
        <w:numPr>
          <w:ilvl w:val="0"/>
          <w:numId w:val="2"/>
        </w:numPr>
        <w:spacing w:after="70" w:line="276"/>
      </w:pPr>
      <w:r>
        <w:rPr>
          <w:rFonts w:ascii="Calibri" w:cs="Calibri" w:eastAsia="Calibri" w:hAnsi="Calibri"/>
          <w:b/>
          <w:bCs/>
          <w:sz w:val="22"/>
          <w:szCs w:val="22"/>
        </w:rPr>
        <w:t xml:space="preserve">Governance. </w:t>
      </w:r>
      <w:r>
        <w:rPr>
          <w:rFonts w:ascii="Calibri" w:cs="Calibri" w:eastAsia="Calibri" w:hAnsi="Calibri"/>
          <w:sz w:val="22"/>
          <w:szCs w:val="22"/>
        </w:rPr>
        <w:t xml:space="preserve">Form a GST reform steering group (finance, tax, IT, sales, procurement) with weekly meetings and a named owner for each risk.</w:t>
      </w:r>
    </w:p>
    <w:p>
      <w:pPr>
        <w:pStyle w:val="Heading2"/>
        <w:spacing w:after="80" w:before="180"/>
      </w:pPr>
      <w:r>
        <w:rPr>
          <w:rFonts w:ascii="Calibri" w:cs="Calibri" w:eastAsia="Calibri" w:hAnsi="Calibri"/>
          <w:b/>
          <w:bCs/>
          <w:color w:val="2E5597"/>
          <w:sz w:val="25"/>
          <w:szCs w:val="25"/>
        </w:rPr>
        <w:t xml:space="preserve">5.2 Medium term (3 to 12 months): optimise</w:t>
      </w:r>
    </w:p>
    <w:p>
      <w:pPr>
        <w:pStyle w:val="ListParagraph"/>
        <w:numPr>
          <w:ilvl w:val="0"/>
          <w:numId w:val="2"/>
        </w:numPr>
        <w:spacing w:after="70" w:line="276"/>
      </w:pPr>
      <w:r>
        <w:rPr>
          <w:rFonts w:ascii="Calibri" w:cs="Calibri" w:eastAsia="Calibri" w:hAnsi="Calibri"/>
          <w:b/>
          <w:bCs/>
          <w:sz w:val="22"/>
          <w:szCs w:val="22"/>
        </w:rPr>
        <w:t xml:space="preserve">Reconciliation automation. </w:t>
      </w:r>
      <w:r>
        <w:rPr>
          <w:rFonts w:ascii="Calibri" w:cs="Calibri" w:eastAsia="Calibri" w:hAnsi="Calibri"/>
          <w:sz w:val="22"/>
          <w:szCs w:val="22"/>
        </w:rPr>
        <w:t xml:space="preserve">Deploy automated three-way matching of books, GSTR-1/3B and GSTR-2B with tolerance rules.</w:t>
      </w:r>
    </w:p>
    <w:p>
      <w:pPr>
        <w:pStyle w:val="ListParagraph"/>
        <w:numPr>
          <w:ilvl w:val="0"/>
          <w:numId w:val="2"/>
        </w:numPr>
        <w:spacing w:after="70" w:line="276"/>
      </w:pPr>
      <w:r>
        <w:rPr>
          <w:rFonts w:ascii="Calibri" w:cs="Calibri" w:eastAsia="Calibri" w:hAnsi="Calibri"/>
          <w:b/>
          <w:bCs/>
          <w:sz w:val="22"/>
          <w:szCs w:val="22"/>
        </w:rPr>
        <w:t xml:space="preserve">Supplier risk programme. </w:t>
      </w:r>
      <w:r>
        <w:rPr>
          <w:rFonts w:ascii="Calibri" w:cs="Calibri" w:eastAsia="Calibri" w:hAnsi="Calibri"/>
          <w:sz w:val="22"/>
          <w:szCs w:val="22"/>
        </w:rPr>
        <w:t xml:space="preserve">Score vendors on filing behaviour and mismatch history; prefer compliant suppliers and tie payments to portal reflection of invoices.</w:t>
      </w:r>
    </w:p>
    <w:p>
      <w:pPr>
        <w:pStyle w:val="ListParagraph"/>
        <w:numPr>
          <w:ilvl w:val="0"/>
          <w:numId w:val="2"/>
        </w:numPr>
        <w:spacing w:after="70" w:line="276"/>
      </w:pPr>
      <w:r>
        <w:rPr>
          <w:rFonts w:ascii="Calibri" w:cs="Calibri" w:eastAsia="Calibri" w:hAnsi="Calibri"/>
          <w:b/>
          <w:bCs/>
          <w:sz w:val="22"/>
          <w:szCs w:val="22"/>
        </w:rPr>
        <w:t xml:space="preserve">Working-capital optimisation. </w:t>
      </w:r>
      <w:r>
        <w:rPr>
          <w:rFonts w:ascii="Calibri" w:cs="Calibri" w:eastAsia="Calibri" w:hAnsi="Calibri"/>
          <w:sz w:val="22"/>
          <w:szCs w:val="22"/>
        </w:rPr>
        <w:t xml:space="preserve">Forecast monthly cash and credit utilisation; time purchases and payments to minimise cash tax outflow.</w:t>
      </w:r>
    </w:p>
    <w:p>
      <w:pPr>
        <w:pStyle w:val="ListParagraph"/>
        <w:numPr>
          <w:ilvl w:val="0"/>
          <w:numId w:val="2"/>
        </w:numPr>
        <w:spacing w:after="70" w:line="276"/>
      </w:pPr>
      <w:r>
        <w:rPr>
          <w:rFonts w:ascii="Calibri" w:cs="Calibri" w:eastAsia="Calibri" w:hAnsi="Calibri"/>
          <w:b/>
          <w:bCs/>
          <w:sz w:val="22"/>
          <w:szCs w:val="22"/>
        </w:rPr>
        <w:t xml:space="preserve">Refund management. </w:t>
      </w:r>
      <w:r>
        <w:rPr>
          <w:rFonts w:ascii="Calibri" w:cs="Calibri" w:eastAsia="Calibri" w:hAnsi="Calibri"/>
          <w:sz w:val="22"/>
          <w:szCs w:val="22"/>
        </w:rPr>
        <w:t xml:space="preserve">Track every refund claim from filing to sanction and escalate overdue items.</w:t>
      </w:r>
    </w:p>
    <w:p>
      <w:pPr>
        <w:pStyle w:val="ListParagraph"/>
        <w:numPr>
          <w:ilvl w:val="0"/>
          <w:numId w:val="2"/>
        </w:numPr>
        <w:spacing w:after="70" w:line="276"/>
      </w:pPr>
      <w:r>
        <w:rPr>
          <w:rFonts w:ascii="Calibri" w:cs="Calibri" w:eastAsia="Calibri" w:hAnsi="Calibri"/>
          <w:b/>
          <w:bCs/>
          <w:sz w:val="22"/>
          <w:szCs w:val="22"/>
        </w:rPr>
        <w:t xml:space="preserve">Training. </w:t>
      </w:r>
      <w:r>
        <w:rPr>
          <w:rFonts w:ascii="Calibri" w:cs="Calibri" w:eastAsia="Calibri" w:hAnsi="Calibri"/>
          <w:sz w:val="22"/>
          <w:szCs w:val="22"/>
        </w:rPr>
        <w:t xml:space="preserve">Run role-based sessions and publish updated SOPs and checklists.</w:t>
      </w:r>
    </w:p>
    <w:p>
      <w:pPr>
        <w:pStyle w:val="Heading2"/>
        <w:spacing w:after="80" w:before="180"/>
      </w:pPr>
      <w:r>
        <w:rPr>
          <w:rFonts w:ascii="Calibri" w:cs="Calibri" w:eastAsia="Calibri" w:hAnsi="Calibri"/>
          <w:b/>
          <w:bCs/>
          <w:color w:val="2E5597"/>
          <w:sz w:val="25"/>
          <w:szCs w:val="25"/>
        </w:rPr>
        <w:t xml:space="preserve">5.3 Long term (1 to 3 years): institutionalise</w:t>
      </w:r>
    </w:p>
    <w:p>
      <w:pPr>
        <w:pStyle w:val="ListParagraph"/>
        <w:numPr>
          <w:ilvl w:val="0"/>
          <w:numId w:val="2"/>
        </w:numPr>
        <w:spacing w:after="70" w:line="276"/>
      </w:pPr>
      <w:r>
        <w:rPr>
          <w:rFonts w:ascii="Calibri" w:cs="Calibri" w:eastAsia="Calibri" w:hAnsi="Calibri"/>
          <w:b/>
          <w:bCs/>
          <w:sz w:val="22"/>
          <w:szCs w:val="22"/>
        </w:rPr>
        <w:t xml:space="preserve">Integrated GST analytics platform. </w:t>
      </w:r>
      <w:r>
        <w:rPr>
          <w:rFonts w:ascii="Calibri" w:cs="Calibri" w:eastAsia="Calibri" w:hAnsi="Calibri"/>
          <w:sz w:val="22"/>
          <w:szCs w:val="22"/>
        </w:rPr>
        <w:t xml:space="preserve">Extend the monitoring dashboard from Week 3 with predictive risk scoring and scenario simulation.</w:t>
      </w:r>
    </w:p>
    <w:p>
      <w:pPr>
        <w:pStyle w:val="ListParagraph"/>
        <w:numPr>
          <w:ilvl w:val="0"/>
          <w:numId w:val="2"/>
        </w:numPr>
        <w:spacing w:after="70" w:line="276"/>
      </w:pPr>
      <w:r>
        <w:rPr>
          <w:rFonts w:ascii="Calibri" w:cs="Calibri" w:eastAsia="Calibri" w:hAnsi="Calibri"/>
          <w:b/>
          <w:bCs/>
          <w:sz w:val="22"/>
          <w:szCs w:val="22"/>
        </w:rPr>
        <w:t xml:space="preserve">Supply-chain and sourcing redesign. </w:t>
      </w:r>
      <w:r>
        <w:rPr>
          <w:rFonts w:ascii="Calibri" w:cs="Calibri" w:eastAsia="Calibri" w:hAnsi="Calibri"/>
          <w:sz w:val="22"/>
          <w:szCs w:val="22"/>
        </w:rPr>
        <w:t xml:space="preserve">Use landed-cost models including GST effects to choose suppliers, locations and warehouse networks.</w:t>
      </w:r>
    </w:p>
    <w:p>
      <w:pPr>
        <w:pStyle w:val="ListParagraph"/>
        <w:numPr>
          <w:ilvl w:val="0"/>
          <w:numId w:val="2"/>
        </w:numPr>
        <w:spacing w:after="70" w:line="276"/>
      </w:pPr>
      <w:r>
        <w:rPr>
          <w:rFonts w:ascii="Calibri" w:cs="Calibri" w:eastAsia="Calibri" w:hAnsi="Calibri"/>
          <w:b/>
          <w:bCs/>
          <w:sz w:val="22"/>
          <w:szCs w:val="22"/>
        </w:rPr>
        <w:t xml:space="preserve">Continuous policy-watch process. </w:t>
      </w:r>
      <w:r>
        <w:rPr>
          <w:rFonts w:ascii="Calibri" w:cs="Calibri" w:eastAsia="Calibri" w:hAnsi="Calibri"/>
          <w:sz w:val="22"/>
          <w:szCs w:val="22"/>
        </w:rPr>
        <w:t xml:space="preserve">Maintain a regulatory change log, impact templates and a quarterly review with external advisers.</w:t>
      </w:r>
    </w:p>
    <w:p>
      <w:pPr>
        <w:pStyle w:val="ListParagraph"/>
        <w:numPr>
          <w:ilvl w:val="0"/>
          <w:numId w:val="2"/>
        </w:numPr>
        <w:spacing w:after="70" w:line="276"/>
      </w:pPr>
      <w:r>
        <w:rPr>
          <w:rFonts w:ascii="Calibri" w:cs="Calibri" w:eastAsia="Calibri" w:hAnsi="Calibri"/>
          <w:b/>
          <w:bCs/>
          <w:sz w:val="22"/>
          <w:szCs w:val="22"/>
        </w:rPr>
        <w:t xml:space="preserve">Culture of compliance. </w:t>
      </w:r>
      <w:r>
        <w:rPr>
          <w:rFonts w:ascii="Calibri" w:cs="Calibri" w:eastAsia="Calibri" w:hAnsi="Calibri"/>
          <w:sz w:val="22"/>
          <w:szCs w:val="22"/>
        </w:rPr>
        <w:t xml:space="preserve">Link compliance KPIs to team performance reviews.</w:t>
      </w:r>
    </w:p>
    <w:p>
      <w:pPr>
        <w:pStyle w:val="Heading1"/>
        <w:spacing w:after="120" w:before="280"/>
      </w:pPr>
      <w:r>
        <w:rPr>
          <w:rFonts w:ascii="Calibri" w:cs="Calibri" w:eastAsia="Calibri" w:hAnsi="Calibri"/>
          <w:b/>
          <w:bCs/>
          <w:color w:val="1F3864"/>
          <w:sz w:val="30"/>
          <w:szCs w:val="30"/>
        </w:rPr>
        <w:t xml:space="preserve">6. Analytical Approaches Behind the Plan</w:t>
      </w:r>
    </w:p>
    <w:p>
      <w:pPr>
        <w:pStyle w:val="ListParagraph"/>
        <w:numPr>
          <w:ilvl w:val="0"/>
          <w:numId w:val="2"/>
        </w:numPr>
        <w:spacing w:after="70" w:line="276"/>
      </w:pPr>
      <w:r>
        <w:rPr>
          <w:rFonts w:ascii="Calibri" w:cs="Calibri" w:eastAsia="Calibri" w:hAnsi="Calibri"/>
          <w:b/>
          <w:bCs/>
          <w:sz w:val="22"/>
          <w:szCs w:val="22"/>
        </w:rPr>
        <w:t xml:space="preserve">Impact modelling. </w:t>
      </w:r>
      <w:r>
        <w:rPr>
          <w:rFonts w:ascii="Calibri" w:cs="Calibri" w:eastAsia="Calibri" w:hAnsi="Calibri"/>
          <w:sz w:val="22"/>
          <w:szCs w:val="22"/>
        </w:rPr>
        <w:t xml:space="preserve">Compute, per product, new tax cost minus old tax cost, then combine with price elasticity estimates (regression on historical price and volume) to project revenue and margin.</w:t>
      </w:r>
    </w:p>
    <w:p>
      <w:pPr>
        <w:pStyle w:val="ListParagraph"/>
        <w:numPr>
          <w:ilvl w:val="0"/>
          <w:numId w:val="2"/>
        </w:numPr>
        <w:spacing w:after="70" w:line="276"/>
      </w:pPr>
      <w:r>
        <w:rPr>
          <w:rFonts w:ascii="Calibri" w:cs="Calibri" w:eastAsia="Calibri" w:hAnsi="Calibri"/>
          <w:b/>
          <w:bCs/>
          <w:sz w:val="22"/>
          <w:szCs w:val="22"/>
        </w:rPr>
        <w:t xml:space="preserve">Scenario and sensitivity analysis. </w:t>
      </w:r>
      <w:r>
        <w:rPr>
          <w:rFonts w:ascii="Calibri" w:cs="Calibri" w:eastAsia="Calibri" w:hAnsi="Calibri"/>
          <w:sz w:val="22"/>
          <w:szCs w:val="22"/>
        </w:rPr>
        <w:t xml:space="preserve">Build best, base and worst cases for demand, pass-through percentage and refund delay; Monte Carlo simulation for cash liability ranges.</w:t>
      </w:r>
    </w:p>
    <w:p>
      <w:pPr>
        <w:pStyle w:val="ListParagraph"/>
        <w:numPr>
          <w:ilvl w:val="0"/>
          <w:numId w:val="2"/>
        </w:numPr>
        <w:spacing w:after="70" w:line="276"/>
      </w:pPr>
      <w:r>
        <w:rPr>
          <w:rFonts w:ascii="Calibri" w:cs="Calibri" w:eastAsia="Calibri" w:hAnsi="Calibri"/>
          <w:b/>
          <w:bCs/>
          <w:sz w:val="22"/>
          <w:szCs w:val="22"/>
        </w:rPr>
        <w:t xml:space="preserve">Time-series forecasting. </w:t>
      </w:r>
      <w:r>
        <w:rPr>
          <w:rFonts w:ascii="Calibri" w:cs="Calibri" w:eastAsia="Calibri" w:hAnsi="Calibri"/>
          <w:sz w:val="22"/>
          <w:szCs w:val="22"/>
        </w:rPr>
        <w:t xml:space="preserve">ARIMA or Prophet on monthly liability and ITC to anticipate cash needs.</w:t>
      </w:r>
    </w:p>
    <w:p>
      <w:pPr>
        <w:pStyle w:val="ListParagraph"/>
        <w:numPr>
          <w:ilvl w:val="0"/>
          <w:numId w:val="2"/>
        </w:numPr>
        <w:spacing w:after="70" w:line="276"/>
      </w:pPr>
      <w:r>
        <w:rPr>
          <w:rFonts w:ascii="Calibri" w:cs="Calibri" w:eastAsia="Calibri" w:hAnsi="Calibri"/>
          <w:b/>
          <w:bCs/>
          <w:sz w:val="22"/>
          <w:szCs w:val="22"/>
        </w:rPr>
        <w:t xml:space="preserve">Anomaly detection. </w:t>
      </w:r>
      <w:r>
        <w:rPr>
          <w:rFonts w:ascii="Calibri" w:cs="Calibri" w:eastAsia="Calibri" w:hAnsi="Calibri"/>
          <w:sz w:val="22"/>
          <w:szCs w:val="22"/>
        </w:rPr>
        <w:t xml:space="preserve">Isolation Forest or z-scores to flag unusual ITC claims, invoice values or rate mismatches before filing.</w:t>
      </w:r>
    </w:p>
    <w:p>
      <w:pPr>
        <w:pStyle w:val="ListParagraph"/>
        <w:numPr>
          <w:ilvl w:val="0"/>
          <w:numId w:val="2"/>
        </w:numPr>
        <w:spacing w:after="70" w:line="276"/>
      </w:pPr>
      <w:r>
        <w:rPr>
          <w:rFonts w:ascii="Calibri" w:cs="Calibri" w:eastAsia="Calibri" w:hAnsi="Calibri"/>
          <w:b/>
          <w:bCs/>
          <w:sz w:val="22"/>
          <w:szCs w:val="22"/>
        </w:rPr>
        <w:t xml:space="preserve">Supplier segmentation. </w:t>
      </w:r>
      <w:r>
        <w:rPr>
          <w:rFonts w:ascii="Calibri" w:cs="Calibri" w:eastAsia="Calibri" w:hAnsi="Calibri"/>
          <w:sz w:val="22"/>
          <w:szCs w:val="22"/>
        </w:rPr>
        <w:t xml:space="preserve">Clustering and weighted scorecards to separate reliable from high-risk suppliers.</w:t>
      </w:r>
    </w:p>
    <w:p>
      <w:pPr>
        <w:pStyle w:val="ListParagraph"/>
        <w:numPr>
          <w:ilvl w:val="0"/>
          <w:numId w:val="2"/>
        </w:numPr>
        <w:spacing w:after="70" w:line="276"/>
      </w:pPr>
      <w:r>
        <w:rPr>
          <w:rFonts w:ascii="Calibri" w:cs="Calibri" w:eastAsia="Calibri" w:hAnsi="Calibri"/>
          <w:b/>
          <w:bCs/>
          <w:sz w:val="22"/>
          <w:szCs w:val="22"/>
        </w:rPr>
        <w:t xml:space="preserve">Pareto analysis. </w:t>
      </w:r>
      <w:r>
        <w:rPr>
          <w:rFonts w:ascii="Calibri" w:cs="Calibri" w:eastAsia="Calibri" w:hAnsi="Calibri"/>
          <w:sz w:val="22"/>
          <w:szCs w:val="22"/>
        </w:rPr>
        <w:t xml:space="preserve">Focus effort on the few SKUs and suppliers that account for most of the exposure.</w:t>
      </w:r>
    </w:p>
    <w:p>
      <w:pPr>
        <w:pStyle w:val="Heading1"/>
        <w:spacing w:after="120" w:before="280"/>
      </w:pPr>
      <w:r>
        <w:rPr>
          <w:rFonts w:ascii="Calibri" w:cs="Calibri" w:eastAsia="Calibri" w:hAnsi="Calibri"/>
          <w:b/>
          <w:bCs/>
          <w:color w:val="1F3864"/>
          <w:sz w:val="30"/>
          <w:szCs w:val="30"/>
        </w:rPr>
        <w:t xml:space="preserve">7. Performance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800"/>
        <w:gridCol w:w="1760"/>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KPI</w:t>
            </w:r>
          </w:p>
        </w:tc>
        <w:tc>
          <w:tcPr>
            <w:tcW w:type="dxa" w:w="3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Measure</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Target (illustrative)</w:t>
            </w:r>
          </w:p>
        </w:tc>
        <w:tc>
          <w:tcPr>
            <w:tcW w:type="dxa" w:w="17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Frequency</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On-time filing rate</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Returns filed by due date / returns due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w:t>
            </w:r>
          </w:p>
        </w:tc>
        <w:tc>
          <w:tcPr>
            <w:tcW w:type="dxa" w:w="1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Monthly</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ITC mismatch %</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(ITC claimed minus eligible per GSTR-2B) / ITC claimed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Below 2%</w:t>
            </w:r>
          </w:p>
        </w:tc>
        <w:tc>
          <w:tcPr>
            <w:tcW w:type="dxa" w:w="1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Monthly</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Invoice error rate</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Invoices with wrong rate/HSN / total invoices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Below 0.5%</w:t>
            </w:r>
          </w:p>
        </w:tc>
        <w:tc>
          <w:tcPr>
            <w:tcW w:type="dxa" w:w="1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Monthly</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Gross margin variance</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Actual margin minus planned margin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Within 0.5 pp</w:t>
            </w:r>
          </w:p>
        </w:tc>
        <w:tc>
          <w:tcPr>
            <w:tcW w:type="dxa" w:w="1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Monthly</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Net cash tax ratio</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Cash tax paid / total liability</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Planned level</w:t>
            </w:r>
          </w:p>
        </w:tc>
        <w:tc>
          <w:tcPr>
            <w:tcW w:type="dxa" w:w="1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Monthly</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Refund cycle time</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Average days from claim to credit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Within statutory period</w:t>
            </w:r>
          </w:p>
        </w:tc>
        <w:tc>
          <w:tcPr>
            <w:tcW w:type="dxa" w:w="1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Quarterly</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Notices and penalties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Count and value of notices, interest, late fees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Zero late fees</w:t>
            </w:r>
          </w:p>
        </w:tc>
        <w:tc>
          <w:tcPr>
            <w:tcW w:type="dxa" w:w="1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Monthly</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Supplier compliance score</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Share of spend with suppliers filing on time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Above 90%</w:t>
            </w:r>
          </w:p>
        </w:tc>
        <w:tc>
          <w:tcPr>
            <w:tcW w:type="dxa" w:w="1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Quarterly</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Training coverage</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Staff trained / staff in scope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w:t>
            </w:r>
          </w:p>
        </w:tc>
        <w:tc>
          <w:tcPr>
            <w:tcW w:type="dxa" w:w="1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Quarterly</w:t>
            </w:r>
          </w:p>
        </w:tc>
      </w:tr>
    </w:tbl>
    <w:p>
      <w:pPr>
        <w:spacing w:after="80"/>
      </w:pPr>
    </w:p>
    <w:p>
      <w:pPr>
        <w:spacing w:after="120" w:line="276"/>
      </w:pPr>
      <w:r>
        <w:rPr>
          <w:rFonts w:ascii="Calibri" w:cs="Calibri" w:eastAsia="Calibri" w:hAnsi="Calibri"/>
          <w:sz w:val="22"/>
          <w:szCs w:val="22"/>
        </w:rPr>
        <w:t xml:space="preserve">Results will be reported on the GST dashboard with red, amber and green status. Any red KPI for two consecutive months triggers a root-cause review by the steering group.</w:t>
      </w:r>
    </w:p>
    <w:p>
      <w:pPr>
        <w:pStyle w:val="Heading1"/>
        <w:spacing w:after="120" w:before="280"/>
      </w:pPr>
      <w:r>
        <w:rPr>
          <w:rFonts w:ascii="Calibri" w:cs="Calibri" w:eastAsia="Calibri" w:hAnsi="Calibri"/>
          <w:b/>
          <w:bCs/>
          <w:color w:val="1F3864"/>
          <w:sz w:val="30"/>
          <w:szCs w:val="30"/>
        </w:rPr>
        <w:t xml:space="preserve">8. Implementation Governance and Review</w:t>
      </w:r>
    </w:p>
    <w:p>
      <w:pPr>
        <w:spacing w:after="120" w:line="276"/>
      </w:pPr>
      <w:r>
        <w:rPr>
          <w:rFonts w:ascii="Calibri" w:cs="Calibri" w:eastAsia="Calibri" w:hAnsi="Calibri"/>
          <w:sz w:val="22"/>
          <w:szCs w:val="22"/>
        </w:rPr>
        <w:t xml:space="preserve">The steering group owns the plan, with the CFO as sponsor and the head of tax as programme lead. Progress is reviewed weekly during the first 90 days, then monthly. After each review, assumptions on pass-through, supplier behaviour and cost are updated with actual data, and the risk register is re-scored. A formal post-implementation review at month 6 and month 12 will compare actual results with the targets in this plan and capture lessons for the next policy change.</w:t>
      </w:r>
    </w:p>
    <w:p>
      <w:pPr>
        <w:spacing w:after="120" w:line="276"/>
      </w:pPr>
      <w:r>
        <w:rPr>
          <w:rFonts w:ascii="Calibri" w:cs="Calibri" w:eastAsia="Calibri" w:hAnsi="Calibri"/>
          <w:sz w:val="22"/>
          <w:szCs w:val="22"/>
        </w:rPr>
        <w:t xml:space="preserve">Resource needs are modest: one analyst for reconciliation and modelling, ERP support time, a BI tool licence such as Power BI, and training hours. Budget should be approved against expected savings from avoided penalties, protected ITC and faster refunds.</w:t>
      </w:r>
    </w:p>
    <w:p>
      <w:pPr>
        <w:pStyle w:val="Heading1"/>
        <w:spacing w:after="120" w:before="280"/>
      </w:pPr>
      <w:r>
        <w:rPr>
          <w:rFonts w:ascii="Calibri" w:cs="Calibri" w:eastAsia="Calibri" w:hAnsi="Calibri"/>
          <w:b/>
          <w:bCs/>
          <w:color w:val="1F3864"/>
          <w:sz w:val="30"/>
          <w:szCs w:val="30"/>
        </w:rPr>
        <w:t xml:space="preserve">9. Conclusion</w:t>
      </w:r>
    </w:p>
    <w:p>
      <w:pPr>
        <w:spacing w:after="120" w:line="276"/>
      </w:pPr>
      <w:r>
        <w:rPr>
          <w:rFonts w:ascii="Calibri" w:cs="Calibri" w:eastAsia="Calibri" w:hAnsi="Calibri"/>
          <w:sz w:val="22"/>
          <w:szCs w:val="22"/>
        </w:rPr>
        <w:t xml:space="preserve">GST reforms are moving from rate changes towards simpler procedures with stricter, technology-led enforcement. Companies that treat this as a one-time update risk errors, blocked credit and lost margin. This plan treats it as a managed programme: assess the impact with data, fix systems and ITC first, optimise cash and suppliers next, and build lasting analytics and governance. Measured through clear KPIs and reviewed regularly, it allows the company to remain compliant, protect profitability and respond quickly to the next change.</w:t>
      </w:r>
    </w:p>
    <w:sectPr>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2026-10-20T13:22:59.184Z</dcterms:created>
  <dcterms:modified xsi:type="dcterms:W3CDTF">2026-10-20T13:22:59.194Z</dcterms:modified>
</cp:coreProperties>
</file>

<file path=docProps/custom.xml><?xml version="1.0" encoding="utf-8"?>
<Properties xmlns="http://schemas.openxmlformats.org/officeDocument/2006/custom-properties" xmlns:vt="http://schemas.openxmlformats.org/officeDocument/2006/docPropsVTypes"/>
</file>