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WEEK 2 BUSINESS ANALYTICS PROJECT</w:t>
      </w:r>
    </w:p>
    <w:p>
      <w:pPr>
        <w:jc w:val="center"/>
      </w:pPr>
      <w:r>
        <w:rPr>
          <w:b/>
          <w:sz w:val="40"/>
        </w:rPr>
        <w:t>Business Analytics Approach to GST Revenue Forecasting</w:t>
      </w:r>
    </w:p>
    <w:p>
      <w:pPr>
        <w:jc w:val="center"/>
      </w:pPr>
      <w:r>
        <w:rPr>
          <w:i/>
          <w:sz w:val="24"/>
        </w:rPr>
        <w:t>India – Forecast for FY 2026–27</w:t>
      </w:r>
    </w:p>
    <w:p>
      <w:pPr>
        <w:jc w:val="center"/>
      </w:pPr>
      <w:r>
        <w:rPr>
          <w:sz w:val="20"/>
        </w:rPr>
        <w:br/>
        <w:t>Prepared as a Business Analytics &amp; Taxation Forecasting Report</w:t>
      </w:r>
    </w:p>
    <w:p/>
    <w:p>
      <w:pPr>
        <w:pStyle w:val="Heading1"/>
      </w:pPr>
      <w:r>
        <w:t>1. Executive Summary</w:t>
      </w:r>
    </w:p>
    <w:p>
      <w:r>
        <w:t>This report applies business analytics techniques to forecast India’s gross Goods and Services Tax (GST) revenue for FY 2026–27. The analysis uses publicly reported GST collection data and a time-trend linear regression model. Official government reporting shows that gross GST collections increased from ₹11.37 lakh crore in FY2020–21 to ₹22.08 lakh crore in FY2024–25, while later government reporting places FY2025–26 collections at approximately ₹22.27 lakh crore. The long-term series therefore provides evidence of a materially larger and more formalised GST revenue base.</w:t>
      </w:r>
    </w:p>
    <w:p>
      <w:r>
        <w:t>Using the six-year historical series, the fitted linear trend has a slope of approximately ₹2.24 lakh crore per year. The base-case forecast for FY2026–27 is approximately ₹25.97 lakh crore, equivalent to about ₹2.16 lakh crore per month if spread evenly across twelve months. A scenario range is also provided: approximately ₹24.41 lakh crore under a weaker-growth case and ₹27.53 lakh crore under a stronger-growth case. These are analytical scenarios rather than official government forecasts.</w:t>
      </w:r>
    </w:p>
    <w:p>
      <w:pPr>
        <w:pStyle w:val="Heading1"/>
      </w:pPr>
      <w:r>
        <w:t>2. Objective and Business Context</w:t>
      </w:r>
    </w:p>
    <w:p>
      <w:r>
        <w:t>The objective is to build a transparent forecasting framework that links taxation principles with quantitative business analytics. GST revenue is affected by taxable consumption, nominal economic activity, imports, compliance, the taxpayer base, tax rates and the effectiveness of administration. A forecasting model can help tax administrators, policymakers and finance teams estimate the revenue envelope available for budgeting and resource planning.</w:t>
      </w:r>
    </w:p>
    <w:p>
      <w:r>
        <w:t>GST is a destination-based indirect tax. Consequently, changes in domestic consumption and inter-state trade can affect collections, while imported goods generate an important IGST component. Revenue can also be affected by refunds, rate changes, exemptions, enforcement and changes in taxpayer registration or compliance.</w:t>
      </w:r>
    </w:p>
    <w:p>
      <w:pPr>
        <w:pStyle w:val="Heading1"/>
      </w:pPr>
      <w:r>
        <w:t>3. Data Sources and Dataset</w:t>
      </w:r>
    </w:p>
    <w:p>
      <w:r>
        <w:t>The primary sources selected are official Indian government publications: the Goods and Services Tax Council (GST Council) GST revenue database and the Press Information Bureau (PIB), Ministry of Finance. These sources were preferred because they publish GST collection figures and methodological context directly from government authorities.</w:t>
      </w:r>
    </w:p>
    <w:p>
      <w:r>
        <w:t>Historical gross GST revenue used for the model:</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Arial" w:hAnsi="Arial"/>
                <w:b/>
                <w:sz w:val="18"/>
              </w:rPr>
              <w:t>Financial Year</w:t>
            </w:r>
          </w:p>
        </w:tc>
        <w:tc>
          <w:tcPr>
            <w:tcW w:type="dxa" w:w="2448"/>
            <w:vAlign w:val="center"/>
            <w:shd w:fill="D9EAF7"/>
          </w:tcPr>
          <w:p>
            <w:r/>
            <w:r>
              <w:rPr>
                <w:rFonts w:ascii="Arial" w:hAnsi="Arial"/>
                <w:b/>
                <w:sz w:val="18"/>
              </w:rPr>
              <w:t>Gross GST Revenue</w:t>
            </w:r>
          </w:p>
        </w:tc>
        <w:tc>
          <w:tcPr>
            <w:tcW w:type="dxa" w:w="2016"/>
            <w:vAlign w:val="center"/>
            <w:shd w:fill="D9EAF7"/>
          </w:tcPr>
          <w:p>
            <w:r/>
            <w:r>
              <w:rPr>
                <w:rFonts w:ascii="Arial" w:hAnsi="Arial"/>
                <w:b/>
                <w:sz w:val="18"/>
              </w:rPr>
              <w:t>YoY Growth</w:t>
            </w:r>
          </w:p>
        </w:tc>
      </w:tr>
      <w:tr>
        <w:tc>
          <w:tcPr>
            <w:tcW w:type="dxa" w:w="2160"/>
            <w:vAlign w:val="center"/>
          </w:tcPr>
          <w:p>
            <w:r/>
            <w:r>
              <w:rPr>
                <w:rFonts w:ascii="Arial" w:hAnsi="Arial"/>
                <w:b w:val="0"/>
                <w:sz w:val="18"/>
              </w:rPr>
              <w:t>FY2020-21</w:t>
            </w:r>
          </w:p>
        </w:tc>
        <w:tc>
          <w:tcPr>
            <w:tcW w:type="dxa" w:w="2448"/>
            <w:vAlign w:val="center"/>
          </w:tcPr>
          <w:p>
            <w:r/>
            <w:r>
              <w:rPr>
                <w:rFonts w:ascii="Arial" w:hAnsi="Arial"/>
                <w:b w:val="0"/>
                <w:sz w:val="18"/>
              </w:rPr>
              <w:t>₹11.37 lakh crore</w:t>
            </w:r>
          </w:p>
        </w:tc>
        <w:tc>
          <w:tcPr>
            <w:tcW w:type="dxa" w:w="2016"/>
            <w:vAlign w:val="center"/>
          </w:tcPr>
          <w:p>
            <w:r/>
            <w:r>
              <w:rPr>
                <w:rFonts w:ascii="Arial" w:hAnsi="Arial"/>
                <w:b w:val="0"/>
                <w:sz w:val="18"/>
              </w:rPr>
              <w:t>—</w:t>
            </w:r>
          </w:p>
        </w:tc>
      </w:tr>
      <w:tr>
        <w:tc>
          <w:tcPr>
            <w:tcW w:type="dxa" w:w="2160"/>
            <w:vAlign w:val="center"/>
          </w:tcPr>
          <w:p>
            <w:r/>
            <w:r>
              <w:rPr>
                <w:rFonts w:ascii="Arial" w:hAnsi="Arial"/>
                <w:b w:val="0"/>
                <w:sz w:val="18"/>
              </w:rPr>
              <w:t>FY2021-22</w:t>
            </w:r>
          </w:p>
        </w:tc>
        <w:tc>
          <w:tcPr>
            <w:tcW w:type="dxa" w:w="2448"/>
            <w:vAlign w:val="center"/>
          </w:tcPr>
          <w:p>
            <w:r/>
            <w:r>
              <w:rPr>
                <w:rFonts w:ascii="Arial" w:hAnsi="Arial"/>
                <w:b w:val="0"/>
                <w:sz w:val="18"/>
              </w:rPr>
              <w:t>₹14.83 lakh crore</w:t>
            </w:r>
          </w:p>
        </w:tc>
        <w:tc>
          <w:tcPr>
            <w:tcW w:type="dxa" w:w="2016"/>
            <w:vAlign w:val="center"/>
          </w:tcPr>
          <w:p>
            <w:r/>
            <w:r>
              <w:rPr>
                <w:rFonts w:ascii="Arial" w:hAnsi="Arial"/>
                <w:b w:val="0"/>
                <w:sz w:val="18"/>
              </w:rPr>
              <w:t>30.4%</w:t>
            </w:r>
          </w:p>
        </w:tc>
      </w:tr>
      <w:tr>
        <w:tc>
          <w:tcPr>
            <w:tcW w:type="dxa" w:w="2160"/>
            <w:vAlign w:val="center"/>
          </w:tcPr>
          <w:p>
            <w:r/>
            <w:r>
              <w:rPr>
                <w:rFonts w:ascii="Arial" w:hAnsi="Arial"/>
                <w:b w:val="0"/>
                <w:sz w:val="18"/>
              </w:rPr>
              <w:t>FY2022-23</w:t>
            </w:r>
          </w:p>
        </w:tc>
        <w:tc>
          <w:tcPr>
            <w:tcW w:type="dxa" w:w="2448"/>
            <w:vAlign w:val="center"/>
          </w:tcPr>
          <w:p>
            <w:r/>
            <w:r>
              <w:rPr>
                <w:rFonts w:ascii="Arial" w:hAnsi="Arial"/>
                <w:b w:val="0"/>
                <w:sz w:val="18"/>
              </w:rPr>
              <w:t>₹18.08 lakh crore</w:t>
            </w:r>
          </w:p>
        </w:tc>
        <w:tc>
          <w:tcPr>
            <w:tcW w:type="dxa" w:w="2016"/>
            <w:vAlign w:val="center"/>
          </w:tcPr>
          <w:p>
            <w:r/>
            <w:r>
              <w:rPr>
                <w:rFonts w:ascii="Arial" w:hAnsi="Arial"/>
                <w:b w:val="0"/>
                <w:sz w:val="18"/>
              </w:rPr>
              <w:t>21.9%</w:t>
            </w:r>
          </w:p>
        </w:tc>
      </w:tr>
      <w:tr>
        <w:tc>
          <w:tcPr>
            <w:tcW w:type="dxa" w:w="2160"/>
            <w:vAlign w:val="center"/>
          </w:tcPr>
          <w:p>
            <w:r/>
            <w:r>
              <w:rPr>
                <w:rFonts w:ascii="Arial" w:hAnsi="Arial"/>
                <w:b w:val="0"/>
                <w:sz w:val="18"/>
              </w:rPr>
              <w:t>FY2023-24</w:t>
            </w:r>
          </w:p>
        </w:tc>
        <w:tc>
          <w:tcPr>
            <w:tcW w:type="dxa" w:w="2448"/>
            <w:vAlign w:val="center"/>
          </w:tcPr>
          <w:p>
            <w:r/>
            <w:r>
              <w:rPr>
                <w:rFonts w:ascii="Arial" w:hAnsi="Arial"/>
                <w:b w:val="0"/>
                <w:sz w:val="18"/>
              </w:rPr>
              <w:t>₹20.18 lakh crore</w:t>
            </w:r>
          </w:p>
        </w:tc>
        <w:tc>
          <w:tcPr>
            <w:tcW w:type="dxa" w:w="2016"/>
            <w:vAlign w:val="center"/>
          </w:tcPr>
          <w:p>
            <w:r/>
            <w:r>
              <w:rPr>
                <w:rFonts w:ascii="Arial" w:hAnsi="Arial"/>
                <w:b w:val="0"/>
                <w:sz w:val="18"/>
              </w:rPr>
              <w:t>11.6%</w:t>
            </w:r>
          </w:p>
        </w:tc>
      </w:tr>
      <w:tr>
        <w:tc>
          <w:tcPr>
            <w:tcW w:type="dxa" w:w="2160"/>
            <w:vAlign w:val="center"/>
          </w:tcPr>
          <w:p>
            <w:r/>
            <w:r>
              <w:rPr>
                <w:rFonts w:ascii="Arial" w:hAnsi="Arial"/>
                <w:b w:val="0"/>
                <w:sz w:val="18"/>
              </w:rPr>
              <w:t>FY2024-25</w:t>
            </w:r>
          </w:p>
        </w:tc>
        <w:tc>
          <w:tcPr>
            <w:tcW w:type="dxa" w:w="2448"/>
            <w:vAlign w:val="center"/>
          </w:tcPr>
          <w:p>
            <w:r/>
            <w:r>
              <w:rPr>
                <w:rFonts w:ascii="Arial" w:hAnsi="Arial"/>
                <w:b w:val="0"/>
                <w:sz w:val="18"/>
              </w:rPr>
              <w:t>₹22.08 lakh crore</w:t>
            </w:r>
          </w:p>
        </w:tc>
        <w:tc>
          <w:tcPr>
            <w:tcW w:type="dxa" w:w="2016"/>
            <w:vAlign w:val="center"/>
          </w:tcPr>
          <w:p>
            <w:r/>
            <w:r>
              <w:rPr>
                <w:rFonts w:ascii="Arial" w:hAnsi="Arial"/>
                <w:b w:val="0"/>
                <w:sz w:val="18"/>
              </w:rPr>
              <w:t>9.4%</w:t>
            </w:r>
          </w:p>
        </w:tc>
      </w:tr>
      <w:tr>
        <w:tc>
          <w:tcPr>
            <w:tcW w:type="dxa" w:w="2160"/>
            <w:vAlign w:val="center"/>
          </w:tcPr>
          <w:p>
            <w:r/>
            <w:r>
              <w:rPr>
                <w:rFonts w:ascii="Arial" w:hAnsi="Arial"/>
                <w:b w:val="0"/>
                <w:sz w:val="18"/>
              </w:rPr>
              <w:t>FY2025-26</w:t>
            </w:r>
          </w:p>
        </w:tc>
        <w:tc>
          <w:tcPr>
            <w:tcW w:type="dxa" w:w="2448"/>
            <w:vAlign w:val="center"/>
          </w:tcPr>
          <w:p>
            <w:r/>
            <w:r>
              <w:rPr>
                <w:rFonts w:ascii="Arial" w:hAnsi="Arial"/>
                <w:b w:val="0"/>
                <w:sz w:val="18"/>
              </w:rPr>
              <w:t>₹22.27 lakh crore</w:t>
            </w:r>
          </w:p>
        </w:tc>
        <w:tc>
          <w:tcPr>
            <w:tcW w:type="dxa" w:w="2016"/>
            <w:vAlign w:val="center"/>
          </w:tcPr>
          <w:p>
            <w:r/>
            <w:r>
              <w:rPr>
                <w:rFonts w:ascii="Arial" w:hAnsi="Arial"/>
                <w:b w:val="0"/>
                <w:sz w:val="18"/>
              </w:rPr>
              <w:t>0.9%</w:t>
            </w:r>
          </w:p>
        </w:tc>
      </w:tr>
    </w:tbl>
    <w:p>
      <w:r>
        <w:t>The historical series is intentionally annual for the core regression so that the model remains reproducible without introducing assumptions about incomplete monthly observations. The model is therefore suitable as a portfolio-level forecasting exercise, while a production tax forecasting system would use monthly data and additional explanatory variables.</w:t>
      </w:r>
    </w:p>
    <w:p>
      <w:pPr>
        <w:pStyle w:val="Heading1"/>
      </w:pPr>
      <w:r>
        <w:t>4. Key Variables and Forecasting Assumptions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rFonts w:ascii="Arial" w:hAnsi="Arial"/>
                <w:b/>
                <w:sz w:val="18"/>
              </w:rPr>
              <w:t>Variable</w:t>
            </w:r>
          </w:p>
        </w:tc>
        <w:tc>
          <w:tcPr>
            <w:tcW w:type="dxa" w:w="3168"/>
            <w:vAlign w:val="center"/>
            <w:shd w:fill="D9EAF7"/>
          </w:tcPr>
          <w:p>
            <w:r/>
            <w:r>
              <w:rPr>
                <w:rFonts w:ascii="Arial" w:hAnsi="Arial"/>
                <w:b/>
                <w:sz w:val="18"/>
              </w:rPr>
              <w:t>Role in Model</w:t>
            </w:r>
          </w:p>
        </w:tc>
        <w:tc>
          <w:tcPr>
            <w:tcW w:type="dxa" w:w="3600"/>
            <w:vAlign w:val="center"/>
            <w:shd w:fill="D9EAF7"/>
          </w:tcPr>
          <w:p>
            <w:r/>
            <w:r>
              <w:rPr>
                <w:rFonts w:ascii="Arial" w:hAnsi="Arial"/>
                <w:b/>
                <w:sz w:val="18"/>
              </w:rPr>
              <w:t>Expected Relationship</w:t>
            </w:r>
          </w:p>
        </w:tc>
      </w:tr>
      <w:tr>
        <w:tc>
          <w:tcPr>
            <w:tcW w:type="dxa" w:w="2160"/>
            <w:vAlign w:val="center"/>
          </w:tcPr>
          <w:p>
            <w:r/>
            <w:r>
              <w:rPr>
                <w:rFonts w:ascii="Arial" w:hAnsi="Arial"/>
                <w:b w:val="0"/>
                <w:sz w:val="18"/>
              </w:rPr>
              <w:t>GST Revenue</w:t>
            </w:r>
          </w:p>
        </w:tc>
        <w:tc>
          <w:tcPr>
            <w:tcW w:type="dxa" w:w="3168"/>
            <w:vAlign w:val="center"/>
          </w:tcPr>
          <w:p>
            <w:r/>
            <w:r>
              <w:rPr>
                <w:rFonts w:ascii="Arial" w:hAnsi="Arial"/>
                <w:b w:val="0"/>
                <w:sz w:val="18"/>
              </w:rPr>
              <w:t>Dependent variable</w:t>
            </w:r>
          </w:p>
        </w:tc>
        <w:tc>
          <w:tcPr>
            <w:tcW w:type="dxa" w:w="3600"/>
            <w:vAlign w:val="center"/>
          </w:tcPr>
          <w:p>
            <w:r/>
            <w:r>
              <w:rPr>
                <w:rFonts w:ascii="Arial" w:hAnsi="Arial"/>
                <w:b w:val="0"/>
                <w:sz w:val="18"/>
              </w:rPr>
              <w:t>Target to be forecast</w:t>
            </w:r>
          </w:p>
        </w:tc>
      </w:tr>
      <w:tr>
        <w:tc>
          <w:tcPr>
            <w:tcW w:type="dxa" w:w="2160"/>
            <w:vAlign w:val="center"/>
          </w:tcPr>
          <w:p>
            <w:r/>
            <w:r>
              <w:rPr>
                <w:rFonts w:ascii="Arial" w:hAnsi="Arial"/>
                <w:b w:val="0"/>
                <w:sz w:val="18"/>
              </w:rPr>
              <w:t>Time / Financial Year</w:t>
            </w:r>
          </w:p>
        </w:tc>
        <w:tc>
          <w:tcPr>
            <w:tcW w:type="dxa" w:w="3168"/>
            <w:vAlign w:val="center"/>
          </w:tcPr>
          <w:p>
            <w:r/>
            <w:r>
              <w:rPr>
                <w:rFonts w:ascii="Arial" w:hAnsi="Arial"/>
                <w:b w:val="0"/>
                <w:sz w:val="18"/>
              </w:rPr>
              <w:t>Primary explanatory variable</w:t>
            </w:r>
          </w:p>
        </w:tc>
        <w:tc>
          <w:tcPr>
            <w:tcW w:type="dxa" w:w="3600"/>
            <w:vAlign w:val="center"/>
          </w:tcPr>
          <w:p>
            <w:r/>
            <w:r>
              <w:rPr>
                <w:rFonts w:ascii="Arial" w:hAnsi="Arial"/>
                <w:b w:val="0"/>
                <w:sz w:val="18"/>
              </w:rPr>
              <w:t>Positive long-term trend</w:t>
            </w:r>
          </w:p>
        </w:tc>
      </w:tr>
      <w:tr>
        <w:tc>
          <w:tcPr>
            <w:tcW w:type="dxa" w:w="2160"/>
            <w:vAlign w:val="center"/>
          </w:tcPr>
          <w:p>
            <w:r/>
            <w:r>
              <w:rPr>
                <w:rFonts w:ascii="Arial" w:hAnsi="Arial"/>
                <w:b w:val="0"/>
                <w:sz w:val="18"/>
              </w:rPr>
              <w:t>Domestic consumption</w:t>
            </w:r>
          </w:p>
        </w:tc>
        <w:tc>
          <w:tcPr>
            <w:tcW w:type="dxa" w:w="3168"/>
            <w:vAlign w:val="center"/>
          </w:tcPr>
          <w:p>
            <w:r/>
            <w:r>
              <w:rPr>
                <w:rFonts w:ascii="Arial" w:hAnsi="Arial"/>
                <w:b w:val="0"/>
                <w:sz w:val="18"/>
              </w:rPr>
              <w:t>Business driver</w:t>
            </w:r>
          </w:p>
        </w:tc>
        <w:tc>
          <w:tcPr>
            <w:tcW w:type="dxa" w:w="3600"/>
            <w:vAlign w:val="center"/>
          </w:tcPr>
          <w:p>
            <w:r/>
            <w:r>
              <w:rPr>
                <w:rFonts w:ascii="Arial" w:hAnsi="Arial"/>
                <w:b w:val="0"/>
                <w:sz w:val="18"/>
              </w:rPr>
              <w:t>Higher consumption can increase taxable supplies</w:t>
            </w:r>
          </w:p>
        </w:tc>
      </w:tr>
      <w:tr>
        <w:tc>
          <w:tcPr>
            <w:tcW w:type="dxa" w:w="2160"/>
            <w:vAlign w:val="center"/>
          </w:tcPr>
          <w:p>
            <w:r/>
            <w:r>
              <w:rPr>
                <w:rFonts w:ascii="Arial" w:hAnsi="Arial"/>
                <w:b w:val="0"/>
                <w:sz w:val="18"/>
              </w:rPr>
              <w:t>Imports</w:t>
            </w:r>
          </w:p>
        </w:tc>
        <w:tc>
          <w:tcPr>
            <w:tcW w:type="dxa" w:w="3168"/>
            <w:vAlign w:val="center"/>
          </w:tcPr>
          <w:p>
            <w:r/>
            <w:r>
              <w:rPr>
                <w:rFonts w:ascii="Arial" w:hAnsi="Arial"/>
                <w:b w:val="0"/>
                <w:sz w:val="18"/>
              </w:rPr>
              <w:t>Business driver</w:t>
            </w:r>
          </w:p>
        </w:tc>
        <w:tc>
          <w:tcPr>
            <w:tcW w:type="dxa" w:w="3600"/>
            <w:vAlign w:val="center"/>
          </w:tcPr>
          <w:p>
            <w:r/>
            <w:r>
              <w:rPr>
                <w:rFonts w:ascii="Arial" w:hAnsi="Arial"/>
                <w:b w:val="0"/>
                <w:sz w:val="18"/>
              </w:rPr>
              <w:t>Higher imports can increase IGST collections</w:t>
            </w:r>
          </w:p>
        </w:tc>
      </w:tr>
      <w:tr>
        <w:tc>
          <w:tcPr>
            <w:tcW w:type="dxa" w:w="2160"/>
            <w:vAlign w:val="center"/>
          </w:tcPr>
          <w:p>
            <w:r/>
            <w:r>
              <w:rPr>
                <w:rFonts w:ascii="Arial" w:hAnsi="Arial"/>
                <w:b w:val="0"/>
                <w:sz w:val="18"/>
              </w:rPr>
              <w:t>Taxpayer base &amp; compliance</w:t>
            </w:r>
          </w:p>
        </w:tc>
        <w:tc>
          <w:tcPr>
            <w:tcW w:type="dxa" w:w="3168"/>
            <w:vAlign w:val="center"/>
          </w:tcPr>
          <w:p>
            <w:r/>
            <w:r>
              <w:rPr>
                <w:rFonts w:ascii="Arial" w:hAnsi="Arial"/>
                <w:b w:val="0"/>
                <w:sz w:val="18"/>
              </w:rPr>
              <w:t>Structural driver</w:t>
            </w:r>
          </w:p>
        </w:tc>
        <w:tc>
          <w:tcPr>
            <w:tcW w:type="dxa" w:w="3600"/>
            <w:vAlign w:val="center"/>
          </w:tcPr>
          <w:p>
            <w:r/>
            <w:r>
              <w:rPr>
                <w:rFonts w:ascii="Arial" w:hAnsi="Arial"/>
                <w:b w:val="0"/>
                <w:sz w:val="18"/>
              </w:rPr>
              <w:t>Greater formalisation can improve collections</w:t>
            </w:r>
          </w:p>
        </w:tc>
      </w:tr>
      <w:tr>
        <w:tc>
          <w:tcPr>
            <w:tcW w:type="dxa" w:w="2160"/>
            <w:vAlign w:val="center"/>
          </w:tcPr>
          <w:p>
            <w:r/>
            <w:r>
              <w:rPr>
                <w:rFonts w:ascii="Arial" w:hAnsi="Arial"/>
                <w:b w:val="0"/>
                <w:sz w:val="18"/>
              </w:rPr>
              <w:t>Tax rates / exemptions</w:t>
            </w:r>
          </w:p>
        </w:tc>
        <w:tc>
          <w:tcPr>
            <w:tcW w:type="dxa" w:w="3168"/>
            <w:vAlign w:val="center"/>
          </w:tcPr>
          <w:p>
            <w:r/>
            <w:r>
              <w:rPr>
                <w:rFonts w:ascii="Arial" w:hAnsi="Arial"/>
                <w:b w:val="0"/>
                <w:sz w:val="18"/>
              </w:rPr>
              <w:t>Policy variable</w:t>
            </w:r>
          </w:p>
        </w:tc>
        <w:tc>
          <w:tcPr>
            <w:tcW w:type="dxa" w:w="3600"/>
            <w:vAlign w:val="center"/>
          </w:tcPr>
          <w:p>
            <w:r/>
            <w:r>
              <w:rPr>
                <w:rFonts w:ascii="Arial" w:hAnsi="Arial"/>
                <w:b w:val="0"/>
                <w:sz w:val="18"/>
              </w:rPr>
              <w:t>Changes can alter revenue yield</w:t>
            </w:r>
          </w:p>
        </w:tc>
      </w:tr>
      <w:tr>
        <w:tc>
          <w:tcPr>
            <w:tcW w:type="dxa" w:w="2160"/>
            <w:vAlign w:val="center"/>
          </w:tcPr>
          <w:p>
            <w:r/>
            <w:r>
              <w:rPr>
                <w:rFonts w:ascii="Arial" w:hAnsi="Arial"/>
                <w:b w:val="0"/>
                <w:sz w:val="18"/>
              </w:rPr>
              <w:t>Refunds</w:t>
            </w:r>
          </w:p>
        </w:tc>
        <w:tc>
          <w:tcPr>
            <w:tcW w:type="dxa" w:w="3168"/>
            <w:vAlign w:val="center"/>
          </w:tcPr>
          <w:p>
            <w:r/>
            <w:r>
              <w:rPr>
                <w:rFonts w:ascii="Arial" w:hAnsi="Arial"/>
                <w:b w:val="0"/>
                <w:sz w:val="18"/>
              </w:rPr>
              <w:t>Adjustment factor</w:t>
            </w:r>
          </w:p>
        </w:tc>
        <w:tc>
          <w:tcPr>
            <w:tcW w:type="dxa" w:w="3600"/>
            <w:vAlign w:val="center"/>
          </w:tcPr>
          <w:p>
            <w:r/>
            <w:r>
              <w:rPr>
                <w:rFonts w:ascii="Arial" w:hAnsi="Arial"/>
                <w:b w:val="0"/>
                <w:sz w:val="18"/>
              </w:rPr>
              <w:t>Higher refunds can reduce net revenue</w:t>
            </w:r>
          </w:p>
        </w:tc>
      </w:tr>
    </w:tbl>
    <w:p>
      <w:r>
        <w:t>The base model assumes that the structural upward trend observed over the historical period continues into FY2026–27 without a major unexpected policy or macroeconomic shock. It does not assume that every month will equal one-twelfth of annual revenue; the monthly figure is only an average planning equivalent.</w:t>
      </w:r>
    </w:p>
    <w:p>
      <w:pPr>
        <w:pStyle w:val="Heading1"/>
      </w:pPr>
      <w:r>
        <w:t>5. Forecasting Methodology</w:t>
      </w:r>
    </w:p>
    <w:p>
      <w:pPr>
        <w:pStyle w:val="Heading2"/>
      </w:pPr>
      <w:r>
        <w:t>5.1 Exploratory Trend Analysis</w:t>
      </w:r>
    </w:p>
    <w:p>
      <w:r>
        <w:t>The historical series shows a strong upward trajectory. Gross GST revenue increased from ₹11.37 lakh crore in FY2020–21 to ₹22.27 lakh crore in FY2025–26. The compound annual growth rate over this five-year interval is approximately 14.4%. Growth was not uniform: collections rose rapidly during the recovery and subsequent expansion of economic activity, while the most recent annual increase was much smaller. This variation is important because a forecasting model should not interpret every historical increase as a permanent acceleration.</w:t>
      </w:r>
    </w:p>
    <w:p>
      <w:pPr>
        <w:pStyle w:val="Heading2"/>
      </w:pPr>
      <w:r>
        <w:t>5.2 Linear Regression Model</w:t>
      </w:r>
    </w:p>
    <w:p>
      <w:r>
        <w:t>A simple ordinary least squares time-trend regression is used as the base model:</w:t>
      </w:r>
    </w:p>
    <w:p>
      <w:pPr>
        <w:jc w:val="center"/>
      </w:pPr>
      <w:r>
        <w:rPr>
          <w:b/>
          <w:sz w:val="22"/>
        </w:rPr>
        <w:t>GST Revenue = β₀ + β₁(Time) + ε</w:t>
      </w:r>
    </w:p>
    <w:p>
      <w:r>
        <w:t>Estimated coefficients are approximately β₁ = ₹2.24 lakh crore per year and β₀ = ₹10.30 lakh crore when Time is coded from 1 to 6. Substituting Time = 7 for FY2026–27 gives a base forecast of ₹25.97 lakh crore.</w:t>
      </w:r>
    </w:p>
    <w:p>
      <w:pPr>
        <w:pStyle w:val="Heading2"/>
      </w:pPr>
      <w:r>
        <w:t>5.3 Model Validation Metrics</w:t>
      </w:r>
    </w:p>
    <w:p>
      <w:r>
        <w:t>To assess fit, the model was compared with the historical observations. The in-sample Mean Absolute Error (MAE) is approximately ₹0.88 lakh crore, while the Mean Absolute Percentage Error (MAPE) is approximately 5.1%. These statistics describe the fit of this small historical sample; they should not be interpreted as a guarantee of future forecast accuracy.</w:t>
      </w:r>
    </w:p>
    <w:p>
      <w:pPr>
        <w:pStyle w:val="Heading1"/>
      </w:pPr>
      <w:r>
        <w:t>6. Forecast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vAlign w:val="center"/>
            <w:shd w:fill="D9EAF7"/>
          </w:tcPr>
          <w:p>
            <w:r/>
            <w:r>
              <w:rPr>
                <w:rFonts w:ascii="Arial" w:hAnsi="Arial"/>
                <w:b/>
                <w:sz w:val="18"/>
              </w:rPr>
              <w:t>Scenario</w:t>
            </w:r>
          </w:p>
        </w:tc>
        <w:tc>
          <w:tcPr>
            <w:tcW w:type="dxa" w:w="2304"/>
            <w:vAlign w:val="center"/>
            <w:shd w:fill="D9EAF7"/>
          </w:tcPr>
          <w:p>
            <w:r/>
            <w:r>
              <w:rPr>
                <w:rFonts w:ascii="Arial" w:hAnsi="Arial"/>
                <w:b/>
                <w:sz w:val="18"/>
              </w:rPr>
              <w:t>FY2026–27 Forecast</w:t>
            </w:r>
          </w:p>
        </w:tc>
        <w:tc>
          <w:tcPr>
            <w:tcW w:type="dxa" w:w="2592"/>
            <w:vAlign w:val="center"/>
            <w:shd w:fill="D9EAF7"/>
          </w:tcPr>
          <w:p>
            <w:r/>
            <w:r>
              <w:rPr>
                <w:rFonts w:ascii="Arial" w:hAnsi="Arial"/>
                <w:b/>
                <w:sz w:val="18"/>
              </w:rPr>
              <w:t>Average Monthly Equivalent</w:t>
            </w:r>
          </w:p>
        </w:tc>
        <w:tc>
          <w:tcPr>
            <w:tcW w:type="dxa" w:w="3168"/>
            <w:vAlign w:val="center"/>
            <w:shd w:fill="D9EAF7"/>
          </w:tcPr>
          <w:p>
            <w:r/>
            <w:r>
              <w:rPr>
                <w:rFonts w:ascii="Arial" w:hAnsi="Arial"/>
                <w:b/>
                <w:sz w:val="18"/>
              </w:rPr>
              <w:t>Interpretation</w:t>
            </w:r>
          </w:p>
        </w:tc>
      </w:tr>
      <w:tr>
        <w:tc>
          <w:tcPr>
            <w:tcW w:type="dxa" w:w="1728"/>
            <w:vAlign w:val="center"/>
          </w:tcPr>
          <w:p>
            <w:r/>
            <w:r>
              <w:rPr>
                <w:rFonts w:ascii="Arial" w:hAnsi="Arial"/>
                <w:b w:val="0"/>
                <w:sz w:val="18"/>
              </w:rPr>
              <w:t>Conservative</w:t>
            </w:r>
          </w:p>
        </w:tc>
        <w:tc>
          <w:tcPr>
            <w:tcW w:type="dxa" w:w="2304"/>
            <w:vAlign w:val="center"/>
          </w:tcPr>
          <w:p>
            <w:r/>
            <w:r>
              <w:rPr>
                <w:rFonts w:ascii="Arial" w:hAnsi="Arial"/>
                <w:b w:val="0"/>
                <w:sz w:val="18"/>
              </w:rPr>
              <w:t>₹24.41 lakh crore</w:t>
            </w:r>
          </w:p>
        </w:tc>
        <w:tc>
          <w:tcPr>
            <w:tcW w:type="dxa" w:w="2592"/>
            <w:vAlign w:val="center"/>
          </w:tcPr>
          <w:p>
            <w:r/>
            <w:r>
              <w:rPr>
                <w:rFonts w:ascii="Arial" w:hAnsi="Arial"/>
                <w:b w:val="0"/>
                <w:sz w:val="18"/>
              </w:rPr>
              <w:t>₹2.03 lakh crore</w:t>
            </w:r>
          </w:p>
        </w:tc>
        <w:tc>
          <w:tcPr>
            <w:tcW w:type="dxa" w:w="3168"/>
            <w:vAlign w:val="center"/>
          </w:tcPr>
          <w:p>
            <w:r/>
            <w:r>
              <w:rPr>
                <w:rFonts w:ascii="Arial" w:hAnsi="Arial"/>
                <w:b w:val="0"/>
                <w:sz w:val="18"/>
              </w:rPr>
              <w:t>6% below base trend</w:t>
            </w:r>
          </w:p>
        </w:tc>
      </w:tr>
      <w:tr>
        <w:tc>
          <w:tcPr>
            <w:tcW w:type="dxa" w:w="1728"/>
            <w:vAlign w:val="center"/>
          </w:tcPr>
          <w:p>
            <w:r/>
            <w:r>
              <w:rPr>
                <w:rFonts w:ascii="Arial" w:hAnsi="Arial"/>
                <w:b w:val="0"/>
                <w:sz w:val="18"/>
              </w:rPr>
              <w:t>Base case</w:t>
            </w:r>
          </w:p>
        </w:tc>
        <w:tc>
          <w:tcPr>
            <w:tcW w:type="dxa" w:w="2304"/>
            <w:vAlign w:val="center"/>
          </w:tcPr>
          <w:p>
            <w:r/>
            <w:r>
              <w:rPr>
                <w:rFonts w:ascii="Arial" w:hAnsi="Arial"/>
                <w:b w:val="0"/>
                <w:sz w:val="18"/>
              </w:rPr>
              <w:t>₹25.97 lakh crore</w:t>
            </w:r>
          </w:p>
        </w:tc>
        <w:tc>
          <w:tcPr>
            <w:tcW w:type="dxa" w:w="2592"/>
            <w:vAlign w:val="center"/>
          </w:tcPr>
          <w:p>
            <w:r/>
            <w:r>
              <w:rPr>
                <w:rFonts w:ascii="Arial" w:hAnsi="Arial"/>
                <w:b w:val="0"/>
                <w:sz w:val="18"/>
              </w:rPr>
              <w:t>₹2.16 lakh crore</w:t>
            </w:r>
          </w:p>
        </w:tc>
        <w:tc>
          <w:tcPr>
            <w:tcW w:type="dxa" w:w="3168"/>
            <w:vAlign w:val="center"/>
          </w:tcPr>
          <w:p>
            <w:r/>
            <w:r>
              <w:rPr>
                <w:rFonts w:ascii="Arial" w:hAnsi="Arial"/>
                <w:b w:val="0"/>
                <w:sz w:val="18"/>
              </w:rPr>
              <w:t>Linear trend forecast</w:t>
            </w:r>
          </w:p>
        </w:tc>
      </w:tr>
      <w:tr>
        <w:tc>
          <w:tcPr>
            <w:tcW w:type="dxa" w:w="1728"/>
            <w:vAlign w:val="center"/>
          </w:tcPr>
          <w:p>
            <w:r/>
            <w:r>
              <w:rPr>
                <w:rFonts w:ascii="Arial" w:hAnsi="Arial"/>
                <w:b w:val="0"/>
                <w:sz w:val="18"/>
              </w:rPr>
              <w:t>Optimistic</w:t>
            </w:r>
          </w:p>
        </w:tc>
        <w:tc>
          <w:tcPr>
            <w:tcW w:type="dxa" w:w="2304"/>
            <w:vAlign w:val="center"/>
          </w:tcPr>
          <w:p>
            <w:r/>
            <w:r>
              <w:rPr>
                <w:rFonts w:ascii="Arial" w:hAnsi="Arial"/>
                <w:b w:val="0"/>
                <w:sz w:val="18"/>
              </w:rPr>
              <w:t>₹27.53 lakh crore</w:t>
            </w:r>
          </w:p>
        </w:tc>
        <w:tc>
          <w:tcPr>
            <w:tcW w:type="dxa" w:w="2592"/>
            <w:vAlign w:val="center"/>
          </w:tcPr>
          <w:p>
            <w:r/>
            <w:r>
              <w:rPr>
                <w:rFonts w:ascii="Arial" w:hAnsi="Arial"/>
                <w:b w:val="0"/>
                <w:sz w:val="18"/>
              </w:rPr>
              <w:t>₹2.29 lakh crore</w:t>
            </w:r>
          </w:p>
        </w:tc>
        <w:tc>
          <w:tcPr>
            <w:tcW w:type="dxa" w:w="3168"/>
            <w:vAlign w:val="center"/>
          </w:tcPr>
          <w:p>
            <w:r/>
            <w:r>
              <w:rPr>
                <w:rFonts w:ascii="Arial" w:hAnsi="Arial"/>
                <w:b w:val="0"/>
                <w:sz w:val="18"/>
              </w:rPr>
              <w:t>6% above base trend</w:t>
            </w:r>
          </w:p>
        </w:tc>
      </w:tr>
    </w:tbl>
    <w:p>
      <w:r>
        <w:t>The base-case result is a planning estimate generated by the model, not a statement of what the Government of India will collect. The scenario range is included because GST revenue is exposed to economic activity, imports, compliance, refunds and policy changes.</w:t>
      </w:r>
    </w:p>
    <w:p>
      <w:pPr>
        <w:pStyle w:val="Heading1"/>
      </w:pPr>
      <w:r>
        <w:t>7. Visual Representations</w:t>
      </w:r>
    </w:p>
    <w:p>
      <w:pPr>
        <w:pStyle w:val="Heading2"/>
      </w:pPr>
      <w:r>
        <w:t>Figure 1 – Historical GST Revenue Trend</w:t>
      </w:r>
    </w:p>
    <w:p>
      <w:r>
        <w:t>Chart description: A line chart with Financial Year on the horizontal axis and gross GST revenue (₹ lakh crore) on the vertical axis. Plot the six historical observations from FY2020–21 through FY2025–26 and add a dashed linear trend line. The visual should clearly show the long-term increase and the moderation in the latest annual growth rate.</w:t>
      </w:r>
    </w:p>
    <w:p>
      <w:pPr>
        <w:pStyle w:val="Heading2"/>
      </w:pPr>
      <w:r>
        <w:t>Figure 2 – Forecast Scenario Chart</w:t>
      </w:r>
    </w:p>
    <w:p>
      <w:r>
        <w:t>Chart description: A three-column scenario chart for FY2026–27 showing the conservative, base and optimistic cases at ₹24.41, ₹25.97 and ₹27.53 lakh crore respectively. Label each column with its value and explain that the scenario spread represents model uncertainty rather than three official forecasts.</w:t>
      </w:r>
    </w:p>
    <w:p>
      <w:pPr>
        <w:pStyle w:val="Heading2"/>
      </w:pPr>
      <w:r>
        <w:t>Figure 3 – Revenue Driver Framework</w:t>
      </w:r>
    </w:p>
    <w:p>
      <w:r>
        <w:t>Chart description: A driver diagram with GST revenue at the centre, connected to domestic consumption, imports, taxpayer registrations, compliance, tax rates, refunds and economic activity. Positive and negative directional arrows can be used to explain how each driver can influence gross or net revenue.</w:t>
      </w:r>
    </w:p>
    <w:p>
      <w:pPr>
        <w:pStyle w:val="Heading1"/>
      </w:pPr>
      <w:r>
        <w:t>8. Business and Taxation Interpretation</w:t>
      </w:r>
    </w:p>
    <w:p>
      <w:r>
        <w:t>The forecast should be interpreted alongside the underlying taxation environment. Government reporting indicates that the GST taxpayer base has expanded substantially since implementation, and official material has associated the growth in collections with formalisation and improved compliance. In FY2024–25, gross GST collections reached a record ₹22.08 lakh crore, with an average monthly collection of about ₹1.84 lakh crore. This provides a useful benchmark for judging the scale of the model output.</w:t>
      </w:r>
    </w:p>
    <w:p>
      <w:r>
        <w:t>Import-related collections are another important consideration. For example, official PIB reporting for October 2025 showed gross GST revenue of ₹1.95936 lakh crore, including ₹1.06443 lakh crore of IGST. The same release reported that gross import revenue increased 12.9% year over year for the cumulative period shown. This illustrates why a future production model should separate domestic and import-related drivers rather than relying only on time.</w:t>
      </w:r>
    </w:p>
    <w:p>
      <w:pPr>
        <w:pStyle w:val="Heading1"/>
      </w:pPr>
      <w:r>
        <w:t>9. Limitations and Risk Factors</w:t>
      </w:r>
    </w:p>
    <w:p>
      <w:pPr/>
      <w:r>
        <w:t>Small annual sample: only six observations are used for the core regression, so statistical inference is limited.</w:t>
      </w:r>
    </w:p>
    <w:p>
      <w:pPr/>
      <w:r>
        <w:t>Time trend does not establish causality. It captures historical direction but cannot explain why revenue changed.</w:t>
      </w:r>
    </w:p>
    <w:p>
      <w:pPr/>
      <w:r>
        <w:t>GST rate revisions, exemptions, compliance drives and administrative changes can create structural breaks.</w:t>
      </w:r>
    </w:p>
    <w:p>
      <w:pPr/>
      <w:r>
        <w:t>Seasonality is hidden in annual data. Monthly forecasting would better capture festive-period and filing-cycle effects.</w:t>
      </w:r>
    </w:p>
    <w:p>
      <w:pPr/>
      <w:r>
        <w:t>Refunds and the distinction between gross and net GST revenue matter for fiscal planning.</w:t>
      </w:r>
    </w:p>
    <w:p>
      <w:pPr/>
      <w:r>
        <w:t>Macroeconomic variables such as nominal GDP, private consumption, imports, inflation and sectoral output should be added to a production-grade model.</w:t>
      </w:r>
    </w:p>
    <w:p>
      <w:pPr>
        <w:pStyle w:val="Heading1"/>
      </w:pPr>
      <w:r>
        <w:t>10. Recommendations for Stakeholders</w:t>
      </w:r>
    </w:p>
    <w:p>
      <w:pPr/>
      <w:r>
        <w:t>Use the base forecast as a planning benchmark rather than a fixed revenue target.</w:t>
      </w:r>
    </w:p>
    <w:p>
      <w:pPr/>
      <w:r>
        <w:t>Update the forecast monthly as actual GST collections become available; compare actuals with forecast using variance analysis.</w:t>
      </w:r>
    </w:p>
    <w:p>
      <w:pPr/>
      <w:r>
        <w:t>Build a multivariate model incorporating nominal GDP, private consumption, imports, taxpayer registrations, e-way bills and refund data.</w:t>
      </w:r>
    </w:p>
    <w:p>
      <w:pPr/>
      <w:r>
        <w:t>Maintain separate gross-revenue and net-revenue forecasts so that refund behaviour is explicitly modelled.</w:t>
      </w:r>
    </w:p>
    <w:p>
      <w:pPr/>
      <w:r>
        <w:t>Use rolling-window validation and out-of-sample testing once a longer monthly dataset is available.</w:t>
      </w:r>
    </w:p>
    <w:p>
      <w:pPr/>
      <w:r>
        <w:t>Create conservative, base and upside scenarios around the statistical forecast to support budgeting and risk management.</w:t>
      </w:r>
    </w:p>
    <w:p>
      <w:pPr>
        <w:pStyle w:val="Heading1"/>
      </w:pPr>
      <w:r>
        <w:t>11. Conclusion</w:t>
      </w:r>
    </w:p>
    <w:p>
      <w:r>
        <w:t>This analysis demonstrates how business analytics can be applied to taxation forecasting. Official GST data shows a substantial long-term increase in Indian GST collections, from ₹11.37 lakh crore in FY2020–21 to approximately ₹22.27 lakh crore in FY2025–26. A transparent time-trend regression produces a FY2026–27 base forecast of approximately ₹25.97 lakh crore, with scenario values of approximately ₹24.41–₹27.53 lakh crore.</w:t>
      </w:r>
    </w:p>
    <w:p>
      <w:r>
        <w:t>The main analytical lesson is that forecasting should combine statistical modelling with taxation knowledge. The regression captures the historical trend, while business interpretation identifies the factors that can cause future collections to deviate from that trend. A more advanced version should move to monthly data and multivariate regression or time-series methods such as SARIMA/Prophet, with formal back-testing and forecast intervals.</w:t>
      </w:r>
    </w:p>
    <w:p>
      <w:pPr>
        <w:pStyle w:val="Heading1"/>
      </w:pPr>
      <w:r>
        <w:t>12. References / Public Data Sources</w:t>
      </w:r>
    </w:p>
    <w:p>
      <w:pPr>
        <w:spacing w:after="60"/>
      </w:pPr>
      <w:r>
        <w:rPr>
          <w:rFonts w:ascii="Arial" w:hAnsi="Arial"/>
          <w:sz w:val="17"/>
        </w:rPr>
        <w:t>Goods and Services Tax Council – GST Data / Revenue Data: https://gstcouncil.gov.in/gst</w:t>
      </w:r>
    </w:p>
    <w:p>
      <w:pPr>
        <w:spacing w:after="60"/>
      </w:pPr>
      <w:r>
        <w:rPr>
          <w:rFonts w:ascii="Arial" w:hAnsi="Arial"/>
          <w:sz w:val="17"/>
        </w:rPr>
        <w:t>Goods and Services Tax Council – GST Revenue Data: https://gstcouncil.gov.in/all-gst-revenue</w:t>
      </w:r>
    </w:p>
    <w:p>
      <w:pPr>
        <w:spacing w:after="60"/>
      </w:pPr>
      <w:r>
        <w:rPr>
          <w:rFonts w:ascii="Arial" w:hAnsi="Arial"/>
          <w:sz w:val="17"/>
        </w:rPr>
        <w:t>PIB, Ministry of Finance – Eight Years of GST (30 June 2025): https://www.pib.gov.in/PressNoteDetails.aspx?ModuleId=3&amp;NoteId=154789&amp;id=154789&amp;lang=2&amp;reg=3</w:t>
      </w:r>
    </w:p>
    <w:p>
      <w:pPr>
        <w:spacing w:after="60"/>
      </w:pPr>
      <w:r>
        <w:rPr>
          <w:rFonts w:ascii="Arial" w:hAnsi="Arial"/>
          <w:sz w:val="17"/>
        </w:rPr>
        <w:t>PIB, Ministry of Finance – October 2025 GST Collection Release: https://www.pib.gov.in/PressReleasePage.aspx?PRID=2185839</w:t>
      </w:r>
    </w:p>
    <w:p>
      <w:pPr>
        <w:spacing w:after="60"/>
      </w:pPr>
      <w:r>
        <w:rPr>
          <w:rFonts w:ascii="Arial" w:hAnsi="Arial"/>
          <w:sz w:val="17"/>
        </w:rPr>
        <w:t>PIB – Economic Survey 2025–26 summary, including FY2025–26 GST information: https://www.pib.gov.in/PressReleasePage.aspx?PRID=2220005</w:t>
      </w:r>
    </w:p>
    <w:p>
      <w:pPr>
        <w:spacing w:after="60"/>
      </w:pPr>
      <w:r>
        <w:rPr>
          <w:rFonts w:ascii="Arial" w:hAnsi="Arial"/>
          <w:sz w:val="17"/>
        </w:rPr>
        <w:t>GST Council newsletter / historical collection chart (January 2024): https://www.gstcouncil.gov.in/sites/default/files/2024-05/newsletter_january_2024.pdf</w:t>
      </w:r>
    </w:p>
    <w:p>
      <w:pPr>
        <w:pStyle w:val="Heading1"/>
      </w:pPr>
      <w:r>
        <w:t>Appendix A – Reproducibility Notes</w:t>
      </w:r>
    </w:p>
    <w:p>
      <w:r>
        <w:t>The calculation can be reproduced in Excel, Python, R or another statistical package. Enter the six annual revenue observations, code Time as 1–6, run a simple linear regression with revenue as the dependent variable, and use Time = 7 for the FY2026–27 point forecast. For a professional forecasting system, retain a separate test set and calculate MAE, RMSE and MAPE on observations not used to estimate the model.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Week 2 – Business Analytics Approach to GST Revenue Forecasting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