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9DFA" w14:textId="25674870" w:rsidR="007704E0" w:rsidRPr="007704E0" w:rsidRDefault="007704E0" w:rsidP="007704E0">
      <w:pPr>
        <w:rPr>
          <w:b/>
          <w:bCs/>
          <w:color w:val="EE0000"/>
          <w:sz w:val="36"/>
          <w:szCs w:val="36"/>
          <w:u w:val="single"/>
        </w:rPr>
      </w:pPr>
      <w:r w:rsidRPr="007704E0">
        <w:rPr>
          <w:b/>
          <w:bCs/>
          <w:color w:val="EE0000"/>
          <w:sz w:val="36"/>
          <w:szCs w:val="36"/>
          <w:u w:val="single"/>
        </w:rPr>
        <w:t>Comparable ETFs:</w:t>
      </w:r>
    </w:p>
    <w:p w14:paraId="1D4162CE" w14:textId="77777777" w:rsidR="007704E0" w:rsidRPr="007704E0" w:rsidRDefault="007704E0" w:rsidP="007704E0">
      <w:pPr>
        <w:rPr>
          <w:color w:val="70AD47" w:themeColor="accent6"/>
          <w:sz w:val="32"/>
          <w:szCs w:val="32"/>
        </w:rPr>
      </w:pPr>
      <w:r w:rsidRPr="007704E0">
        <w:rPr>
          <w:b/>
          <w:bCs/>
          <w:color w:val="70AD47" w:themeColor="accent6"/>
          <w:sz w:val="32"/>
          <w:szCs w:val="32"/>
        </w:rPr>
        <w:t>Orion: Semiconductors / AI Chips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673"/>
        <w:gridCol w:w="6531"/>
      </w:tblGrid>
      <w:tr w:rsidR="007704E0" w:rsidRPr="007704E0" w14:paraId="580B038F" w14:textId="77777777" w:rsidTr="00770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82A49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ETF / Index</w:t>
            </w:r>
          </w:p>
        </w:tc>
        <w:tc>
          <w:tcPr>
            <w:tcW w:w="0" w:type="auto"/>
            <w:vAlign w:val="center"/>
            <w:hideMark/>
          </w:tcPr>
          <w:p w14:paraId="4CFB2E3A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5B293CB6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Why It Fits</w:t>
            </w:r>
          </w:p>
        </w:tc>
      </w:tr>
      <w:tr w:rsidR="007704E0" w:rsidRPr="007704E0" w14:paraId="7F3785F3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5EF0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VanEck Semiconductor ETF</w:t>
            </w:r>
          </w:p>
        </w:tc>
        <w:tc>
          <w:tcPr>
            <w:tcW w:w="0" w:type="auto"/>
            <w:vAlign w:val="center"/>
            <w:hideMark/>
          </w:tcPr>
          <w:p w14:paraId="0C0AFCCD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SMH</w:t>
            </w:r>
          </w:p>
        </w:tc>
        <w:tc>
          <w:tcPr>
            <w:tcW w:w="0" w:type="auto"/>
            <w:vAlign w:val="center"/>
            <w:hideMark/>
          </w:tcPr>
          <w:p w14:paraId="1C90EF42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Best Orion benchmark. Tracks large U.S.-listed semiconductor production/equipment companies, including Nvidia, Broadcom, TSMC, ASML-style exposure. (</w:t>
            </w:r>
            <w:hyperlink r:id="rId5" w:history="1">
              <w:r w:rsidRPr="007704E0">
                <w:rPr>
                  <w:rStyle w:val="Hyperlink"/>
                </w:rPr>
                <w:t>vaneck.com</w:t>
              </w:r>
            </w:hyperlink>
            <w:r w:rsidRPr="007704E0">
              <w:rPr>
                <w:color w:val="000000" w:themeColor="text1"/>
              </w:rPr>
              <w:t>)</w:t>
            </w:r>
          </w:p>
        </w:tc>
      </w:tr>
      <w:tr w:rsidR="007704E0" w:rsidRPr="007704E0" w14:paraId="1FC20DB7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A65A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iShares Semiconductor ETF</w:t>
            </w:r>
          </w:p>
        </w:tc>
        <w:tc>
          <w:tcPr>
            <w:tcW w:w="0" w:type="auto"/>
            <w:vAlign w:val="center"/>
            <w:hideMark/>
          </w:tcPr>
          <w:p w14:paraId="696C93E6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SOXX</w:t>
            </w:r>
          </w:p>
        </w:tc>
        <w:tc>
          <w:tcPr>
            <w:tcW w:w="0" w:type="auto"/>
            <w:vAlign w:val="center"/>
            <w:hideMark/>
          </w:tcPr>
          <w:p w14:paraId="0572CA28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Another clean semiconductor benchmark. iShares says it tracks U.S.-listed semiconductor equities. (</w:t>
            </w:r>
            <w:hyperlink r:id="rId6" w:history="1">
              <w:r w:rsidRPr="007704E0">
                <w:rPr>
                  <w:rStyle w:val="Hyperlink"/>
                </w:rPr>
                <w:t>ishares.com</w:t>
              </w:r>
            </w:hyperlink>
            <w:r w:rsidRPr="007704E0">
              <w:rPr>
                <w:color w:val="000000" w:themeColor="text1"/>
              </w:rPr>
              <w:t>)</w:t>
            </w:r>
          </w:p>
        </w:tc>
      </w:tr>
      <w:tr w:rsidR="007704E0" w:rsidRPr="007704E0" w14:paraId="284FA735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ED42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PHLX Semiconductor Sector Index</w:t>
            </w:r>
          </w:p>
        </w:tc>
        <w:tc>
          <w:tcPr>
            <w:tcW w:w="0" w:type="auto"/>
            <w:vAlign w:val="center"/>
            <w:hideMark/>
          </w:tcPr>
          <w:p w14:paraId="565EFDA1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SOX</w:t>
            </w:r>
          </w:p>
        </w:tc>
        <w:tc>
          <w:tcPr>
            <w:tcW w:w="0" w:type="auto"/>
            <w:vAlign w:val="center"/>
            <w:hideMark/>
          </w:tcPr>
          <w:p w14:paraId="1534DEAF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Classic semiconductor index; useful as an index benchmark rather than an ETF.</w:t>
            </w:r>
          </w:p>
        </w:tc>
      </w:tr>
      <w:tr w:rsidR="007704E0" w:rsidRPr="007704E0" w14:paraId="2497E593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689C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Global X Robotics &amp; AI ETF</w:t>
            </w:r>
          </w:p>
        </w:tc>
        <w:tc>
          <w:tcPr>
            <w:tcW w:w="0" w:type="auto"/>
            <w:vAlign w:val="center"/>
            <w:hideMark/>
          </w:tcPr>
          <w:p w14:paraId="138FDFAC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BOTZ</w:t>
            </w:r>
          </w:p>
        </w:tc>
        <w:tc>
          <w:tcPr>
            <w:tcW w:w="0" w:type="auto"/>
            <w:vAlign w:val="center"/>
            <w:hideMark/>
          </w:tcPr>
          <w:p w14:paraId="11848967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 xml:space="preserve">Good broader AI/automation comp, but less pure than SMH or SOXX. Current quoted price: about </w:t>
            </w:r>
            <w:r w:rsidRPr="007704E0">
              <w:rPr>
                <w:b/>
                <w:bCs/>
                <w:color w:val="000000" w:themeColor="text1"/>
              </w:rPr>
              <w:t>$40.64</w:t>
            </w:r>
            <w:r w:rsidRPr="007704E0">
              <w:rPr>
                <w:color w:val="000000" w:themeColor="text1"/>
              </w:rPr>
              <w:t>.</w:t>
            </w:r>
          </w:p>
        </w:tc>
      </w:tr>
    </w:tbl>
    <w:p w14:paraId="33F2BA8B" w14:textId="77777777" w:rsidR="007704E0" w:rsidRDefault="007704E0" w:rsidP="007704E0">
      <w:pPr>
        <w:rPr>
          <w:color w:val="000000" w:themeColor="text1"/>
        </w:rPr>
      </w:pPr>
      <w:r w:rsidRPr="007704E0">
        <w:rPr>
          <w:color w:val="000000" w:themeColor="text1"/>
        </w:rPr>
        <w:t xml:space="preserve">Best for Orion regression/benchmarking: </w:t>
      </w:r>
      <w:r w:rsidRPr="007704E0">
        <w:rPr>
          <w:b/>
          <w:bCs/>
          <w:color w:val="000000" w:themeColor="text1"/>
        </w:rPr>
        <w:t>SMH first, SOXX second</w:t>
      </w:r>
      <w:r w:rsidRPr="007704E0">
        <w:rPr>
          <w:color w:val="000000" w:themeColor="text1"/>
        </w:rPr>
        <w:t>.</w:t>
      </w:r>
    </w:p>
    <w:p w14:paraId="36585436" w14:textId="77777777" w:rsidR="007704E0" w:rsidRDefault="007704E0" w:rsidP="007704E0">
      <w:pPr>
        <w:rPr>
          <w:b/>
          <w:bCs/>
          <w:color w:val="000000" w:themeColor="text1"/>
        </w:rPr>
      </w:pPr>
    </w:p>
    <w:p w14:paraId="1AC6F337" w14:textId="77777777" w:rsidR="007704E0" w:rsidRDefault="007704E0" w:rsidP="007704E0">
      <w:pPr>
        <w:rPr>
          <w:b/>
          <w:bCs/>
          <w:color w:val="000000" w:themeColor="text1"/>
        </w:rPr>
      </w:pPr>
    </w:p>
    <w:p w14:paraId="45A24991" w14:textId="77777777" w:rsidR="007704E0" w:rsidRDefault="007704E0" w:rsidP="007704E0">
      <w:pPr>
        <w:rPr>
          <w:b/>
          <w:bCs/>
          <w:color w:val="000000" w:themeColor="text1"/>
        </w:rPr>
      </w:pPr>
    </w:p>
    <w:p w14:paraId="0D741D8F" w14:textId="77777777" w:rsidR="007704E0" w:rsidRDefault="007704E0" w:rsidP="007704E0">
      <w:pPr>
        <w:rPr>
          <w:b/>
          <w:bCs/>
          <w:color w:val="000000" w:themeColor="text1"/>
        </w:rPr>
      </w:pPr>
    </w:p>
    <w:p w14:paraId="72E8F5AF" w14:textId="77777777" w:rsidR="007704E0" w:rsidRDefault="007704E0" w:rsidP="007704E0">
      <w:pPr>
        <w:rPr>
          <w:b/>
          <w:bCs/>
          <w:color w:val="000000" w:themeColor="text1"/>
        </w:rPr>
      </w:pPr>
    </w:p>
    <w:p w14:paraId="47A4A457" w14:textId="77777777" w:rsidR="007704E0" w:rsidRDefault="007704E0" w:rsidP="007704E0">
      <w:pPr>
        <w:rPr>
          <w:b/>
          <w:bCs/>
          <w:color w:val="000000" w:themeColor="text1"/>
        </w:rPr>
      </w:pPr>
    </w:p>
    <w:p w14:paraId="726DFAA8" w14:textId="77777777" w:rsidR="007704E0" w:rsidRDefault="007704E0" w:rsidP="007704E0">
      <w:pPr>
        <w:rPr>
          <w:b/>
          <w:bCs/>
          <w:color w:val="000000" w:themeColor="text1"/>
        </w:rPr>
      </w:pPr>
    </w:p>
    <w:p w14:paraId="2F181A61" w14:textId="77777777" w:rsidR="007704E0" w:rsidRDefault="007704E0" w:rsidP="007704E0">
      <w:pPr>
        <w:rPr>
          <w:b/>
          <w:bCs/>
          <w:color w:val="000000" w:themeColor="text1"/>
        </w:rPr>
      </w:pPr>
    </w:p>
    <w:p w14:paraId="2B8C1199" w14:textId="77777777" w:rsidR="007704E0" w:rsidRDefault="007704E0" w:rsidP="007704E0">
      <w:pPr>
        <w:rPr>
          <w:b/>
          <w:bCs/>
          <w:color w:val="000000" w:themeColor="text1"/>
        </w:rPr>
      </w:pPr>
    </w:p>
    <w:p w14:paraId="0DF912BF" w14:textId="77777777" w:rsidR="007704E0" w:rsidRDefault="007704E0" w:rsidP="007704E0">
      <w:pPr>
        <w:rPr>
          <w:b/>
          <w:bCs/>
          <w:color w:val="000000" w:themeColor="text1"/>
        </w:rPr>
      </w:pPr>
    </w:p>
    <w:p w14:paraId="66FBDC03" w14:textId="77777777" w:rsidR="007704E0" w:rsidRDefault="007704E0" w:rsidP="007704E0">
      <w:pPr>
        <w:rPr>
          <w:b/>
          <w:bCs/>
          <w:color w:val="000000" w:themeColor="text1"/>
        </w:rPr>
      </w:pPr>
    </w:p>
    <w:p w14:paraId="5C169600" w14:textId="77777777" w:rsidR="007704E0" w:rsidRDefault="007704E0" w:rsidP="007704E0">
      <w:pPr>
        <w:rPr>
          <w:b/>
          <w:bCs/>
          <w:color w:val="000000" w:themeColor="text1"/>
        </w:rPr>
      </w:pPr>
    </w:p>
    <w:p w14:paraId="3B4B477E" w14:textId="77777777" w:rsidR="007704E0" w:rsidRDefault="007704E0" w:rsidP="007704E0">
      <w:pPr>
        <w:rPr>
          <w:b/>
          <w:bCs/>
          <w:color w:val="000000" w:themeColor="text1"/>
        </w:rPr>
      </w:pPr>
    </w:p>
    <w:p w14:paraId="59A1DE10" w14:textId="69855643" w:rsidR="007704E0" w:rsidRPr="007704E0" w:rsidRDefault="007704E0" w:rsidP="007704E0">
      <w:pPr>
        <w:rPr>
          <w:color w:val="70AD47" w:themeColor="accent6"/>
          <w:sz w:val="32"/>
          <w:szCs w:val="32"/>
        </w:rPr>
      </w:pPr>
      <w:proofErr w:type="spellStart"/>
      <w:r w:rsidRPr="007704E0">
        <w:rPr>
          <w:b/>
          <w:bCs/>
          <w:color w:val="70AD47" w:themeColor="accent6"/>
          <w:sz w:val="32"/>
          <w:szCs w:val="32"/>
        </w:rPr>
        <w:t>Cleanergy</w:t>
      </w:r>
      <w:proofErr w:type="spellEnd"/>
      <w:r w:rsidRPr="007704E0">
        <w:rPr>
          <w:b/>
          <w:bCs/>
          <w:color w:val="70AD47" w:themeColor="accent6"/>
          <w:sz w:val="32"/>
          <w:szCs w:val="32"/>
        </w:rPr>
        <w:t>: Grid Storage / Clean Energy / Utilities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1078"/>
        <w:gridCol w:w="5628"/>
      </w:tblGrid>
      <w:tr w:rsidR="007704E0" w:rsidRPr="007704E0" w14:paraId="4021193A" w14:textId="77777777" w:rsidTr="00770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0F4F0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ETF / Index</w:t>
            </w:r>
          </w:p>
        </w:tc>
        <w:tc>
          <w:tcPr>
            <w:tcW w:w="0" w:type="auto"/>
            <w:vAlign w:val="center"/>
            <w:hideMark/>
          </w:tcPr>
          <w:p w14:paraId="38516EF5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271A89B1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Why It Fits</w:t>
            </w:r>
          </w:p>
        </w:tc>
      </w:tr>
      <w:tr w:rsidR="007704E0" w:rsidRPr="007704E0" w14:paraId="49EF596B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9C50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First Trust Nasdaq Clean Edge Smart Grid Infrastructure ETF</w:t>
            </w:r>
          </w:p>
        </w:tc>
        <w:tc>
          <w:tcPr>
            <w:tcW w:w="0" w:type="auto"/>
            <w:vAlign w:val="center"/>
            <w:hideMark/>
          </w:tcPr>
          <w:p w14:paraId="14668587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3C1D4510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 xml:space="preserve">Best </w:t>
            </w:r>
            <w:proofErr w:type="spellStart"/>
            <w:r w:rsidRPr="007704E0">
              <w:rPr>
                <w:color w:val="000000" w:themeColor="text1"/>
              </w:rPr>
              <w:t>Cleanergy</w:t>
            </w:r>
            <w:proofErr w:type="spellEnd"/>
            <w:r w:rsidRPr="007704E0">
              <w:rPr>
                <w:color w:val="000000" w:themeColor="text1"/>
              </w:rPr>
              <w:t xml:space="preserve"> benchmark. It owns smart-grid, electrification, infrastructure names like ABB, Eaton, Schneider, Johnson Controls, National Grid. (</w:t>
            </w:r>
            <w:hyperlink r:id="rId7" w:history="1">
              <w:r w:rsidRPr="007704E0">
                <w:rPr>
                  <w:rStyle w:val="Hyperlink"/>
                </w:rPr>
                <w:t>stockanalysis.com</w:t>
              </w:r>
            </w:hyperlink>
            <w:r w:rsidRPr="007704E0">
              <w:rPr>
                <w:color w:val="000000" w:themeColor="text1"/>
              </w:rPr>
              <w:t>)</w:t>
            </w:r>
          </w:p>
        </w:tc>
      </w:tr>
      <w:tr w:rsidR="007704E0" w:rsidRPr="007704E0" w14:paraId="5E1085F3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3935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iShares Global Clean Energy ETF</w:t>
            </w:r>
          </w:p>
        </w:tc>
        <w:tc>
          <w:tcPr>
            <w:tcW w:w="0" w:type="auto"/>
            <w:vAlign w:val="center"/>
            <w:hideMark/>
          </w:tcPr>
          <w:p w14:paraId="670D9033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ICLN</w:t>
            </w:r>
          </w:p>
        </w:tc>
        <w:tc>
          <w:tcPr>
            <w:tcW w:w="0" w:type="auto"/>
            <w:vAlign w:val="center"/>
            <w:hideMark/>
          </w:tcPr>
          <w:p w14:paraId="0E61EEBD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Broader clean-energy benchmark; tracks global clean-energy companies. (</w:t>
            </w:r>
            <w:hyperlink r:id="rId8" w:history="1">
              <w:r w:rsidRPr="007704E0">
                <w:rPr>
                  <w:rStyle w:val="Hyperlink"/>
                </w:rPr>
                <w:t>ishares.com</w:t>
              </w:r>
            </w:hyperlink>
            <w:r w:rsidRPr="007704E0">
              <w:rPr>
                <w:color w:val="000000" w:themeColor="text1"/>
              </w:rPr>
              <w:t>)</w:t>
            </w:r>
          </w:p>
        </w:tc>
      </w:tr>
      <w:tr w:rsidR="007704E0" w:rsidRPr="007704E0" w14:paraId="4FE9F19C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AB72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Invesco Solar ETF</w:t>
            </w:r>
          </w:p>
        </w:tc>
        <w:tc>
          <w:tcPr>
            <w:tcW w:w="0" w:type="auto"/>
            <w:vAlign w:val="center"/>
            <w:hideMark/>
          </w:tcPr>
          <w:p w14:paraId="17910B09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TAN</w:t>
            </w:r>
          </w:p>
        </w:tc>
        <w:tc>
          <w:tcPr>
            <w:tcW w:w="0" w:type="auto"/>
            <w:vAlign w:val="center"/>
            <w:hideMark/>
          </w:tcPr>
          <w:p w14:paraId="32610AD9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 xml:space="preserve">Useful if you want </w:t>
            </w:r>
            <w:proofErr w:type="spellStart"/>
            <w:r w:rsidRPr="007704E0">
              <w:rPr>
                <w:color w:val="000000" w:themeColor="text1"/>
              </w:rPr>
              <w:t>Cleanergy’s</w:t>
            </w:r>
            <w:proofErr w:type="spellEnd"/>
            <w:r w:rsidRPr="007704E0">
              <w:rPr>
                <w:color w:val="000000" w:themeColor="text1"/>
              </w:rPr>
              <w:t xml:space="preserve"> renewable-plus-storage customer exposure, but it is solar-heavy rather than battery-storage pure. (</w:t>
            </w:r>
            <w:hyperlink r:id="rId9" w:history="1">
              <w:r w:rsidRPr="007704E0">
                <w:rPr>
                  <w:rStyle w:val="Hyperlink"/>
                </w:rPr>
                <w:t>invesco.com</w:t>
              </w:r>
            </w:hyperlink>
            <w:r w:rsidRPr="007704E0">
              <w:rPr>
                <w:color w:val="000000" w:themeColor="text1"/>
              </w:rPr>
              <w:t>)</w:t>
            </w:r>
          </w:p>
        </w:tc>
      </w:tr>
      <w:tr w:rsidR="007704E0" w:rsidRPr="007704E0" w14:paraId="5BDAF5F3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6D226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Utilities Select Sector SPDR Fund</w:t>
            </w:r>
          </w:p>
        </w:tc>
        <w:tc>
          <w:tcPr>
            <w:tcW w:w="0" w:type="auto"/>
            <w:vAlign w:val="center"/>
            <w:hideMark/>
          </w:tcPr>
          <w:p w14:paraId="1E18EBE6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XLU</w:t>
            </w:r>
          </w:p>
        </w:tc>
        <w:tc>
          <w:tcPr>
            <w:tcW w:w="0" w:type="auto"/>
            <w:vAlign w:val="center"/>
            <w:hideMark/>
          </w:tcPr>
          <w:p w14:paraId="3D1EA634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 xml:space="preserve">Already in EDEN’s portfolio. Good to test overlap because </w:t>
            </w:r>
            <w:proofErr w:type="spellStart"/>
            <w:r w:rsidRPr="007704E0">
              <w:rPr>
                <w:color w:val="000000" w:themeColor="text1"/>
              </w:rPr>
              <w:t>Cleanergy’s</w:t>
            </w:r>
            <w:proofErr w:type="spellEnd"/>
            <w:r w:rsidRPr="007704E0">
              <w:rPr>
                <w:color w:val="000000" w:themeColor="text1"/>
              </w:rPr>
              <w:t xml:space="preserve"> clients are utilities like Duke, NextEra, Dominion. (</w:t>
            </w:r>
            <w:hyperlink r:id="rId10" w:history="1">
              <w:r w:rsidRPr="007704E0">
                <w:rPr>
                  <w:rStyle w:val="Hyperlink"/>
                </w:rPr>
                <w:t>ssga.com</w:t>
              </w:r>
            </w:hyperlink>
            <w:r w:rsidRPr="007704E0">
              <w:rPr>
                <w:color w:val="000000" w:themeColor="text1"/>
              </w:rPr>
              <w:t>)</w:t>
            </w:r>
          </w:p>
        </w:tc>
      </w:tr>
      <w:tr w:rsidR="007704E0" w:rsidRPr="007704E0" w14:paraId="0FA1E33C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5C0B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S&amp;P Global Clean Energy Transition Index</w:t>
            </w:r>
          </w:p>
        </w:tc>
        <w:tc>
          <w:tcPr>
            <w:tcW w:w="0" w:type="auto"/>
            <w:vAlign w:val="center"/>
            <w:hideMark/>
          </w:tcPr>
          <w:p w14:paraId="6049F9FF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SPGTCLNT</w:t>
            </w:r>
          </w:p>
        </w:tc>
        <w:tc>
          <w:tcPr>
            <w:tcW w:w="0" w:type="auto"/>
            <w:vAlign w:val="center"/>
            <w:hideMark/>
          </w:tcPr>
          <w:p w14:paraId="110889FA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Index behind/related to ICLN; good broad clean-energy benchmark. (</w:t>
            </w:r>
            <w:hyperlink r:id="rId11" w:history="1">
              <w:r w:rsidRPr="007704E0">
                <w:rPr>
                  <w:rStyle w:val="Hyperlink"/>
                </w:rPr>
                <w:t>ishares.com</w:t>
              </w:r>
            </w:hyperlink>
            <w:r w:rsidRPr="007704E0">
              <w:rPr>
                <w:color w:val="000000" w:themeColor="text1"/>
              </w:rPr>
              <w:t>)</w:t>
            </w:r>
          </w:p>
        </w:tc>
      </w:tr>
    </w:tbl>
    <w:p w14:paraId="50973D1A" w14:textId="77777777" w:rsidR="007704E0" w:rsidRPr="007704E0" w:rsidRDefault="007704E0" w:rsidP="007704E0">
      <w:pPr>
        <w:rPr>
          <w:color w:val="000000" w:themeColor="text1"/>
        </w:rPr>
      </w:pPr>
      <w:r w:rsidRPr="007704E0">
        <w:rPr>
          <w:color w:val="000000" w:themeColor="text1"/>
        </w:rPr>
        <w:t xml:space="preserve">Best for </w:t>
      </w:r>
      <w:proofErr w:type="spellStart"/>
      <w:r w:rsidRPr="007704E0">
        <w:rPr>
          <w:color w:val="000000" w:themeColor="text1"/>
        </w:rPr>
        <w:t>Cleanergy</w:t>
      </w:r>
      <w:proofErr w:type="spellEnd"/>
      <w:r w:rsidRPr="007704E0">
        <w:rPr>
          <w:color w:val="000000" w:themeColor="text1"/>
        </w:rPr>
        <w:t xml:space="preserve"> benchmarking: </w:t>
      </w:r>
      <w:r w:rsidRPr="007704E0">
        <w:rPr>
          <w:b/>
          <w:bCs/>
          <w:color w:val="000000" w:themeColor="text1"/>
        </w:rPr>
        <w:t>GRID for smart-grid/storage infrastructure, XLU for customer/utility overlap, ICLN for broad clean-energy beta</w:t>
      </w:r>
      <w:r w:rsidRPr="007704E0">
        <w:rPr>
          <w:color w:val="000000" w:themeColor="text1"/>
        </w:rPr>
        <w:t>.</w:t>
      </w:r>
    </w:p>
    <w:p w14:paraId="448E8F62" w14:textId="77777777" w:rsidR="007704E0" w:rsidRDefault="007704E0" w:rsidP="007704E0">
      <w:pPr>
        <w:rPr>
          <w:b/>
          <w:bCs/>
          <w:color w:val="000000" w:themeColor="text1"/>
        </w:rPr>
      </w:pPr>
    </w:p>
    <w:p w14:paraId="519C2E33" w14:textId="77777777" w:rsidR="007704E0" w:rsidRDefault="007704E0" w:rsidP="007704E0">
      <w:pPr>
        <w:rPr>
          <w:b/>
          <w:bCs/>
          <w:color w:val="000000" w:themeColor="text1"/>
        </w:rPr>
      </w:pPr>
    </w:p>
    <w:p w14:paraId="337FE1A9" w14:textId="77777777" w:rsidR="007704E0" w:rsidRDefault="007704E0" w:rsidP="007704E0">
      <w:pPr>
        <w:rPr>
          <w:b/>
          <w:bCs/>
          <w:color w:val="000000" w:themeColor="text1"/>
        </w:rPr>
      </w:pPr>
    </w:p>
    <w:p w14:paraId="59F8D389" w14:textId="77777777" w:rsidR="007704E0" w:rsidRDefault="007704E0" w:rsidP="007704E0">
      <w:pPr>
        <w:rPr>
          <w:b/>
          <w:bCs/>
          <w:color w:val="000000" w:themeColor="text1"/>
        </w:rPr>
      </w:pPr>
    </w:p>
    <w:p w14:paraId="33DFAB87" w14:textId="77777777" w:rsidR="007704E0" w:rsidRDefault="007704E0" w:rsidP="007704E0">
      <w:pPr>
        <w:rPr>
          <w:b/>
          <w:bCs/>
          <w:color w:val="000000" w:themeColor="text1"/>
        </w:rPr>
      </w:pPr>
    </w:p>
    <w:p w14:paraId="509CB00C" w14:textId="77777777" w:rsidR="007704E0" w:rsidRDefault="007704E0" w:rsidP="007704E0">
      <w:pPr>
        <w:rPr>
          <w:b/>
          <w:bCs/>
          <w:color w:val="000000" w:themeColor="text1"/>
        </w:rPr>
      </w:pPr>
    </w:p>
    <w:p w14:paraId="6751198E" w14:textId="77777777" w:rsidR="007704E0" w:rsidRDefault="007704E0" w:rsidP="007704E0">
      <w:pPr>
        <w:rPr>
          <w:b/>
          <w:bCs/>
          <w:color w:val="000000" w:themeColor="text1"/>
        </w:rPr>
      </w:pPr>
    </w:p>
    <w:p w14:paraId="317B8C5E" w14:textId="77777777" w:rsidR="007704E0" w:rsidRDefault="007704E0" w:rsidP="007704E0">
      <w:pPr>
        <w:rPr>
          <w:b/>
          <w:bCs/>
          <w:color w:val="000000" w:themeColor="text1"/>
        </w:rPr>
      </w:pPr>
    </w:p>
    <w:p w14:paraId="6A37066D" w14:textId="77777777" w:rsidR="007704E0" w:rsidRDefault="007704E0" w:rsidP="007704E0">
      <w:pPr>
        <w:rPr>
          <w:b/>
          <w:bCs/>
          <w:color w:val="000000" w:themeColor="text1"/>
        </w:rPr>
      </w:pPr>
    </w:p>
    <w:p w14:paraId="550FF326" w14:textId="24D3BE44" w:rsidR="007704E0" w:rsidRPr="007704E0" w:rsidRDefault="007704E0" w:rsidP="007704E0">
      <w:pPr>
        <w:rPr>
          <w:color w:val="70AD47" w:themeColor="accent6"/>
          <w:sz w:val="32"/>
          <w:szCs w:val="32"/>
        </w:rPr>
      </w:pPr>
      <w:proofErr w:type="spellStart"/>
      <w:r w:rsidRPr="007704E0">
        <w:rPr>
          <w:b/>
          <w:bCs/>
          <w:color w:val="70AD47" w:themeColor="accent6"/>
          <w:sz w:val="32"/>
          <w:szCs w:val="32"/>
        </w:rPr>
        <w:lastRenderedPageBreak/>
        <w:t>NovaTerra</w:t>
      </w:r>
      <w:proofErr w:type="spellEnd"/>
      <w:r w:rsidRPr="007704E0">
        <w:rPr>
          <w:b/>
          <w:bCs/>
          <w:color w:val="70AD47" w:themeColor="accent6"/>
          <w:sz w:val="32"/>
          <w:szCs w:val="32"/>
        </w:rPr>
        <w:t>: Precision Agriculture / Ag-Tech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757"/>
        <w:gridCol w:w="6198"/>
      </w:tblGrid>
      <w:tr w:rsidR="007704E0" w:rsidRPr="007704E0" w14:paraId="3F804DCD" w14:textId="77777777" w:rsidTr="00770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FD770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ETF / Index</w:t>
            </w:r>
          </w:p>
        </w:tc>
        <w:tc>
          <w:tcPr>
            <w:tcW w:w="0" w:type="auto"/>
            <w:vAlign w:val="center"/>
            <w:hideMark/>
          </w:tcPr>
          <w:p w14:paraId="0F28CD57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2B5A3A6E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Why It Fits</w:t>
            </w:r>
          </w:p>
        </w:tc>
      </w:tr>
      <w:tr w:rsidR="007704E0" w:rsidRPr="007704E0" w14:paraId="3E089B18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8205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VanEck Agribusiness ETF</w:t>
            </w:r>
          </w:p>
        </w:tc>
        <w:tc>
          <w:tcPr>
            <w:tcW w:w="0" w:type="auto"/>
            <w:vAlign w:val="center"/>
            <w:hideMark/>
          </w:tcPr>
          <w:p w14:paraId="77C9DDC5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MOO</w:t>
            </w:r>
          </w:p>
        </w:tc>
        <w:tc>
          <w:tcPr>
            <w:tcW w:w="0" w:type="auto"/>
            <w:vAlign w:val="center"/>
            <w:hideMark/>
          </w:tcPr>
          <w:p w14:paraId="164DB43F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 xml:space="preserve">Best broad </w:t>
            </w:r>
            <w:proofErr w:type="spellStart"/>
            <w:r w:rsidRPr="007704E0">
              <w:rPr>
                <w:color w:val="000000" w:themeColor="text1"/>
              </w:rPr>
              <w:t>NovaTerra</w:t>
            </w:r>
            <w:proofErr w:type="spellEnd"/>
            <w:r w:rsidRPr="007704E0">
              <w:rPr>
                <w:color w:val="000000" w:themeColor="text1"/>
              </w:rPr>
              <w:t xml:space="preserve"> benchmark. Agribusiness, farm equipment, inputs, food-chain technology. Current quoted price: about </w:t>
            </w:r>
            <w:r w:rsidRPr="007704E0">
              <w:rPr>
                <w:b/>
                <w:bCs/>
                <w:color w:val="000000" w:themeColor="text1"/>
              </w:rPr>
              <w:t>$79.76</w:t>
            </w:r>
            <w:r w:rsidRPr="007704E0">
              <w:rPr>
                <w:color w:val="000000" w:themeColor="text1"/>
              </w:rPr>
              <w:t>.</w:t>
            </w:r>
          </w:p>
        </w:tc>
      </w:tr>
      <w:tr w:rsidR="007704E0" w:rsidRPr="007704E0" w14:paraId="1F5E3FBF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C920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iShares MSCI Agriculture Producers ETF</w:t>
            </w:r>
          </w:p>
        </w:tc>
        <w:tc>
          <w:tcPr>
            <w:tcW w:w="0" w:type="auto"/>
            <w:vAlign w:val="center"/>
            <w:hideMark/>
          </w:tcPr>
          <w:p w14:paraId="165AAF90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VEGI</w:t>
            </w:r>
          </w:p>
        </w:tc>
        <w:tc>
          <w:tcPr>
            <w:tcW w:w="0" w:type="auto"/>
            <w:vAlign w:val="center"/>
            <w:hideMark/>
          </w:tcPr>
          <w:p w14:paraId="300DE02F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Tracks global agriculture producers and agriculture-equipment companies. (</w:t>
            </w:r>
            <w:hyperlink r:id="rId12" w:history="1">
              <w:r w:rsidRPr="007704E0">
                <w:rPr>
                  <w:rStyle w:val="Hyperlink"/>
                </w:rPr>
                <w:t>blackrock.com</w:t>
              </w:r>
            </w:hyperlink>
            <w:r w:rsidRPr="007704E0">
              <w:rPr>
                <w:color w:val="000000" w:themeColor="text1"/>
              </w:rPr>
              <w:t>)</w:t>
            </w:r>
          </w:p>
        </w:tc>
      </w:tr>
      <w:tr w:rsidR="007704E0" w:rsidRPr="007704E0" w14:paraId="62EAAB46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3F9A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MSCI Agriculture Producers Index</w:t>
            </w:r>
          </w:p>
        </w:tc>
        <w:tc>
          <w:tcPr>
            <w:tcW w:w="0" w:type="auto"/>
            <w:vAlign w:val="center"/>
            <w:hideMark/>
          </w:tcPr>
          <w:p w14:paraId="5354E025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A27C62D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Good underlying agriculture-equity benchmark if you want index rather than ETF exposure.</w:t>
            </w:r>
          </w:p>
        </w:tc>
      </w:tr>
      <w:tr w:rsidR="007704E0" w:rsidRPr="007704E0" w14:paraId="73623C04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913E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 xml:space="preserve">Global X </w:t>
            </w:r>
            <w:proofErr w:type="spellStart"/>
            <w:r w:rsidRPr="007704E0">
              <w:rPr>
                <w:b/>
                <w:bCs/>
                <w:color w:val="000000" w:themeColor="text1"/>
              </w:rPr>
              <w:t>AgTech</w:t>
            </w:r>
            <w:proofErr w:type="spellEnd"/>
            <w:r w:rsidRPr="007704E0">
              <w:rPr>
                <w:b/>
                <w:bCs/>
                <w:color w:val="000000" w:themeColor="text1"/>
              </w:rPr>
              <w:t xml:space="preserve"> &amp; Food Innovation ETF</w:t>
            </w:r>
          </w:p>
        </w:tc>
        <w:tc>
          <w:tcPr>
            <w:tcW w:w="0" w:type="auto"/>
            <w:vAlign w:val="center"/>
            <w:hideMark/>
          </w:tcPr>
          <w:p w14:paraId="6D05D82E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KROP</w:t>
            </w:r>
          </w:p>
        </w:tc>
        <w:tc>
          <w:tcPr>
            <w:tcW w:w="0" w:type="auto"/>
            <w:vAlign w:val="center"/>
            <w:hideMark/>
          </w:tcPr>
          <w:p w14:paraId="144342B1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Thematically closer to ag-tech/food innovation, but usually smaller/less liquid than MOO or VEGI.</w:t>
            </w:r>
          </w:p>
        </w:tc>
      </w:tr>
      <w:tr w:rsidR="007704E0" w:rsidRPr="007704E0" w14:paraId="33D22FC1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5CBE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iShares Global Timber &amp; Forestry ETF</w:t>
            </w:r>
          </w:p>
        </w:tc>
        <w:tc>
          <w:tcPr>
            <w:tcW w:w="0" w:type="auto"/>
            <w:vAlign w:val="center"/>
            <w:hideMark/>
          </w:tcPr>
          <w:p w14:paraId="54E39F18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WOOD</w:t>
            </w:r>
          </w:p>
        </w:tc>
        <w:tc>
          <w:tcPr>
            <w:tcW w:w="0" w:type="auto"/>
            <w:vAlign w:val="center"/>
            <w:hideMark/>
          </w:tcPr>
          <w:p w14:paraId="3B5B2CCB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 xml:space="preserve">Not a direct </w:t>
            </w:r>
            <w:proofErr w:type="spellStart"/>
            <w:r w:rsidRPr="007704E0">
              <w:rPr>
                <w:color w:val="000000" w:themeColor="text1"/>
              </w:rPr>
              <w:t>NovaTerra</w:t>
            </w:r>
            <w:proofErr w:type="spellEnd"/>
            <w:r w:rsidRPr="007704E0">
              <w:rPr>
                <w:color w:val="000000" w:themeColor="text1"/>
              </w:rPr>
              <w:t xml:space="preserve"> comp, but useful if you frame </w:t>
            </w:r>
            <w:proofErr w:type="spellStart"/>
            <w:r w:rsidRPr="007704E0">
              <w:rPr>
                <w:color w:val="000000" w:themeColor="text1"/>
              </w:rPr>
              <w:t>NovaTerra</w:t>
            </w:r>
            <w:proofErr w:type="spellEnd"/>
            <w:r w:rsidRPr="007704E0">
              <w:rPr>
                <w:color w:val="000000" w:themeColor="text1"/>
              </w:rPr>
              <w:t xml:space="preserve"> as land-use/resource productivity. Current quoted price: about </w:t>
            </w:r>
            <w:r w:rsidRPr="007704E0">
              <w:rPr>
                <w:b/>
                <w:bCs/>
                <w:color w:val="000000" w:themeColor="text1"/>
              </w:rPr>
              <w:t>$67.50</w:t>
            </w:r>
            <w:r w:rsidRPr="007704E0">
              <w:rPr>
                <w:color w:val="000000" w:themeColor="text1"/>
              </w:rPr>
              <w:t>.</w:t>
            </w:r>
          </w:p>
        </w:tc>
      </w:tr>
    </w:tbl>
    <w:p w14:paraId="217EC7F2" w14:textId="77777777" w:rsidR="007704E0" w:rsidRPr="007704E0" w:rsidRDefault="007704E0" w:rsidP="007704E0">
      <w:pPr>
        <w:rPr>
          <w:color w:val="000000" w:themeColor="text1"/>
        </w:rPr>
      </w:pPr>
      <w:r w:rsidRPr="007704E0">
        <w:rPr>
          <w:color w:val="000000" w:themeColor="text1"/>
        </w:rPr>
        <w:t xml:space="preserve">Best for </w:t>
      </w:r>
      <w:proofErr w:type="spellStart"/>
      <w:r w:rsidRPr="007704E0">
        <w:rPr>
          <w:color w:val="000000" w:themeColor="text1"/>
        </w:rPr>
        <w:t>NovaTerra</w:t>
      </w:r>
      <w:proofErr w:type="spellEnd"/>
      <w:r w:rsidRPr="007704E0">
        <w:rPr>
          <w:color w:val="000000" w:themeColor="text1"/>
        </w:rPr>
        <w:t xml:space="preserve"> benchmarking: </w:t>
      </w:r>
      <w:r w:rsidRPr="007704E0">
        <w:rPr>
          <w:b/>
          <w:bCs/>
          <w:color w:val="000000" w:themeColor="text1"/>
        </w:rPr>
        <w:t>MOO first, VEGI second</w:t>
      </w:r>
      <w:r w:rsidRPr="007704E0">
        <w:rPr>
          <w:color w:val="000000" w:themeColor="text1"/>
        </w:rPr>
        <w:t>.</w:t>
      </w:r>
    </w:p>
    <w:p w14:paraId="17C957AC" w14:textId="5BFE67A0" w:rsidR="007704E0" w:rsidRDefault="007704E0" w:rsidP="007704E0">
      <w:pPr>
        <w:rPr>
          <w:b/>
          <w:bCs/>
          <w:color w:val="000000" w:themeColor="text1"/>
        </w:rPr>
      </w:pPr>
    </w:p>
    <w:p w14:paraId="5DB48E89" w14:textId="4E493ACC" w:rsidR="007704E0" w:rsidRPr="007704E0" w:rsidRDefault="007704E0" w:rsidP="007704E0">
      <w:pPr>
        <w:rPr>
          <w:b/>
          <w:bCs/>
          <w:color w:val="70AD47" w:themeColor="accent6"/>
          <w:sz w:val="32"/>
          <w:szCs w:val="32"/>
        </w:rPr>
      </w:pPr>
      <w:r w:rsidRPr="007704E0">
        <w:rPr>
          <w:b/>
          <w:bCs/>
          <w:color w:val="70AD47" w:themeColor="accent6"/>
          <w:sz w:val="32"/>
          <w:szCs w:val="32"/>
        </w:rPr>
        <w:t>Recap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094"/>
        <w:gridCol w:w="1519"/>
        <w:gridCol w:w="3611"/>
      </w:tblGrid>
      <w:tr w:rsidR="007704E0" w:rsidRPr="007704E0" w14:paraId="04DA1504" w14:textId="77777777" w:rsidTr="00770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52346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Fictional Company</w:t>
            </w:r>
          </w:p>
        </w:tc>
        <w:tc>
          <w:tcPr>
            <w:tcW w:w="0" w:type="auto"/>
            <w:vAlign w:val="center"/>
            <w:hideMark/>
          </w:tcPr>
          <w:p w14:paraId="6B96FA56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Best ETF Benchmark</w:t>
            </w:r>
          </w:p>
        </w:tc>
        <w:tc>
          <w:tcPr>
            <w:tcW w:w="0" w:type="auto"/>
            <w:vAlign w:val="center"/>
            <w:hideMark/>
          </w:tcPr>
          <w:p w14:paraId="1A0EA124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Secondary ETF</w:t>
            </w:r>
          </w:p>
        </w:tc>
        <w:tc>
          <w:tcPr>
            <w:tcW w:w="0" w:type="auto"/>
            <w:vAlign w:val="center"/>
            <w:hideMark/>
          </w:tcPr>
          <w:p w14:paraId="3E48AB22" w14:textId="77777777" w:rsidR="007704E0" w:rsidRPr="007704E0" w:rsidRDefault="007704E0" w:rsidP="007704E0">
            <w:pPr>
              <w:rPr>
                <w:b/>
                <w:bCs/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Index Angle</w:t>
            </w:r>
          </w:p>
        </w:tc>
      </w:tr>
      <w:tr w:rsidR="007704E0" w:rsidRPr="007704E0" w14:paraId="0C8B2FC0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EFE1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b/>
                <w:bCs/>
                <w:color w:val="000000" w:themeColor="text1"/>
              </w:rPr>
              <w:t>Orion</w:t>
            </w:r>
          </w:p>
        </w:tc>
        <w:tc>
          <w:tcPr>
            <w:tcW w:w="0" w:type="auto"/>
            <w:vAlign w:val="center"/>
            <w:hideMark/>
          </w:tcPr>
          <w:p w14:paraId="645351C5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SMH</w:t>
            </w:r>
          </w:p>
        </w:tc>
        <w:tc>
          <w:tcPr>
            <w:tcW w:w="0" w:type="auto"/>
            <w:vAlign w:val="center"/>
            <w:hideMark/>
          </w:tcPr>
          <w:p w14:paraId="6B74D3E5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SOXX</w:t>
            </w:r>
          </w:p>
        </w:tc>
        <w:tc>
          <w:tcPr>
            <w:tcW w:w="0" w:type="auto"/>
            <w:vAlign w:val="center"/>
            <w:hideMark/>
          </w:tcPr>
          <w:p w14:paraId="7BF1F684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SOX semiconductor index</w:t>
            </w:r>
          </w:p>
        </w:tc>
      </w:tr>
      <w:tr w:rsidR="007704E0" w:rsidRPr="007704E0" w14:paraId="7B25F36D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8DB9" w14:textId="77777777" w:rsidR="007704E0" w:rsidRPr="007704E0" w:rsidRDefault="007704E0" w:rsidP="007704E0">
            <w:pPr>
              <w:rPr>
                <w:color w:val="000000" w:themeColor="text1"/>
              </w:rPr>
            </w:pPr>
            <w:proofErr w:type="spellStart"/>
            <w:r w:rsidRPr="007704E0">
              <w:rPr>
                <w:b/>
                <w:bCs/>
                <w:color w:val="000000" w:themeColor="text1"/>
              </w:rPr>
              <w:t>Cleanergy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0DC28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321ABE3A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ICLN / XLU</w:t>
            </w:r>
          </w:p>
        </w:tc>
        <w:tc>
          <w:tcPr>
            <w:tcW w:w="0" w:type="auto"/>
            <w:vAlign w:val="center"/>
            <w:hideMark/>
          </w:tcPr>
          <w:p w14:paraId="47008CCA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Smart-grid + clean-energy transition</w:t>
            </w:r>
          </w:p>
        </w:tc>
      </w:tr>
      <w:tr w:rsidR="007704E0" w:rsidRPr="007704E0" w14:paraId="091540CE" w14:textId="77777777" w:rsidTr="007704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98D3" w14:textId="77777777" w:rsidR="007704E0" w:rsidRPr="007704E0" w:rsidRDefault="007704E0" w:rsidP="007704E0">
            <w:pPr>
              <w:rPr>
                <w:color w:val="000000" w:themeColor="text1"/>
              </w:rPr>
            </w:pPr>
            <w:proofErr w:type="spellStart"/>
            <w:r w:rsidRPr="007704E0">
              <w:rPr>
                <w:b/>
                <w:bCs/>
                <w:color w:val="000000" w:themeColor="text1"/>
              </w:rPr>
              <w:t>NovaTerra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BDD26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MOO</w:t>
            </w:r>
          </w:p>
        </w:tc>
        <w:tc>
          <w:tcPr>
            <w:tcW w:w="0" w:type="auto"/>
            <w:vAlign w:val="center"/>
            <w:hideMark/>
          </w:tcPr>
          <w:p w14:paraId="4F2FD671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VEGI</w:t>
            </w:r>
          </w:p>
        </w:tc>
        <w:tc>
          <w:tcPr>
            <w:tcW w:w="0" w:type="auto"/>
            <w:vAlign w:val="center"/>
            <w:hideMark/>
          </w:tcPr>
          <w:p w14:paraId="79428C82" w14:textId="77777777" w:rsidR="007704E0" w:rsidRPr="007704E0" w:rsidRDefault="007704E0" w:rsidP="007704E0">
            <w:pPr>
              <w:rPr>
                <w:color w:val="000000" w:themeColor="text1"/>
              </w:rPr>
            </w:pPr>
            <w:r w:rsidRPr="007704E0">
              <w:rPr>
                <w:color w:val="000000" w:themeColor="text1"/>
              </w:rPr>
              <w:t>Agriculture producers / agribusiness</w:t>
            </w:r>
          </w:p>
        </w:tc>
      </w:tr>
    </w:tbl>
    <w:p w14:paraId="6B14AE8A" w14:textId="345B90F8" w:rsidR="007704E0" w:rsidRPr="007704E0" w:rsidRDefault="007704E0" w:rsidP="007704E0">
      <w:pPr>
        <w:rPr>
          <w:color w:val="000000" w:themeColor="text1"/>
        </w:rPr>
      </w:pPr>
    </w:p>
    <w:p w14:paraId="6EADE68A" w14:textId="77777777" w:rsidR="007704E0" w:rsidRPr="007704E0" w:rsidRDefault="007704E0">
      <w:pPr>
        <w:rPr>
          <w:color w:val="000000" w:themeColor="text1"/>
        </w:rPr>
      </w:pPr>
    </w:p>
    <w:sectPr w:rsidR="007704E0" w:rsidRPr="00770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992"/>
    <w:multiLevelType w:val="multilevel"/>
    <w:tmpl w:val="78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B34DA6"/>
    <w:multiLevelType w:val="multilevel"/>
    <w:tmpl w:val="1B9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167701">
    <w:abstractNumId w:val="0"/>
  </w:num>
  <w:num w:numId="2" w16cid:durableId="1004279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E0"/>
    <w:rsid w:val="007704E0"/>
    <w:rsid w:val="00D1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B1CE"/>
  <w15:chartTrackingRefBased/>
  <w15:docId w15:val="{CF80F20C-275E-48DE-9511-9A099062A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4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4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hares.com/us/products/239738/ishares-global-clean-energy-etf?utm_source=opena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ockanalysis.com/etf/grid/holdings/?utm_source=openai" TargetMode="External"/><Relationship Id="rId12" Type="http://schemas.openxmlformats.org/officeDocument/2006/relationships/hyperlink" Target="https://www.blackrock.com/us/individual/products/239652/ishares-msci-agriculture-producers-etf?utm_source=open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hares.com/us/products/239705/ishares-phlx-semiconductor-?utm_source=openai" TargetMode="External"/><Relationship Id="rId11" Type="http://schemas.openxmlformats.org/officeDocument/2006/relationships/hyperlink" Target="https://www.ishares.com/us/products/239738/ishares-global-clean-energy-etf?utm_source=openai" TargetMode="External"/><Relationship Id="rId5" Type="http://schemas.openxmlformats.org/officeDocument/2006/relationships/hyperlink" Target="https://www.vaneck.com/us/en/investments/semiconductor-etf-smh/holdings/?cken=true&amp;utm_source=openai" TargetMode="External"/><Relationship Id="rId10" Type="http://schemas.openxmlformats.org/officeDocument/2006/relationships/hyperlink" Target="https://www.ssga.com/us/en/etfs/the-utilities-select-sector-spdr-fund-xlu?utm_source=open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vesco.com/us/en/financial-products/etfs/invesco-solar-etf.html?utm_source=opena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Nassif</dc:creator>
  <cp:keywords/>
  <dc:description/>
  <cp:lastModifiedBy>Youssef Nassif</cp:lastModifiedBy>
  <cp:revision>1</cp:revision>
  <dcterms:created xsi:type="dcterms:W3CDTF">2026-06-03T13:33:00Z</dcterms:created>
  <dcterms:modified xsi:type="dcterms:W3CDTF">2026-06-03T13:36:00Z</dcterms:modified>
</cp:coreProperties>
</file>