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ee0000"/>
          <w:sz w:val="36"/>
          <w:szCs w:val="36"/>
          <w:u w:val="single"/>
          <w:rtl w:val="0"/>
        </w:rPr>
        <w:t xml:space="preserve">Deep-Dive: Orion</w:t>
      </w:r>
      <w:r w:rsidDel="00000000" w:rsidR="00000000" w:rsidRPr="00000000">
        <w:rPr>
          <w:rtl w:val="0"/>
        </w:rPr>
        <w:br w:type="textWrapping"/>
      </w:r>
      <w:r w:rsidDel="00000000" w:rsidR="00000000" w:rsidRPr="00000000">
        <w:rPr>
          <w:b w:val="1"/>
          <w:bCs w:val="1"/>
          <w:rtl w:val="0"/>
        </w:rPr>
        <w:t xml:space="preserve">1. Supply Chain &amp; Manufacturing</w:t>
      </w:r>
      <w:r w:rsidDel="00000000" w:rsidR="00000000" w:rsidRPr="00000000">
        <w:rPr>
          <w:rtl w:val="0"/>
        </w:rPr>
        <w:br w:type="textWrapping"/>
        <w:t xml:space="preserve">Orion is a </w:t>
      </w:r>
      <w:r w:rsidDel="00000000" w:rsidR="00000000" w:rsidRPr="00000000">
        <w:rPr>
          <w:b w:val="1"/>
          <w:bCs w:val="1"/>
          <w:rtl w:val="0"/>
        </w:rPr>
        <w:t xml:space="preserve">fabless edge-AI semiconductor company headquartered in Copenhagen</w:t>
      </w:r>
      <w:r w:rsidDel="00000000" w:rsidR="00000000" w:rsidRPr="00000000">
        <w:rPr>
          <w:rtl w:val="0"/>
        </w:rPr>
        <w:t xml:space="preserve">. It designs AI inference chips but outsources fabrication to:</w:t>
      </w:r>
    </w:p>
    <w:p w:rsidR="00000000" w:rsidDel="00000000" w:rsidP="00000000" w:rsidRDefault="00000000" w:rsidRPr="00000000" w14:paraId="00000002">
      <w:pPr>
        <w:numPr>
          <w:ilvl w:val="0"/>
          <w:numId w:val="11"/>
        </w:numPr>
        <w:ind w:left="720" w:hanging="360"/>
        <w:rPr/>
      </w:pPr>
      <w:r w:rsidDel="00000000" w:rsidR="00000000" w:rsidRPr="00000000">
        <w:rPr>
          <w:b w:val="1"/>
          <w:bCs w:val="1"/>
          <w:rtl w:val="0"/>
        </w:rPr>
        <w:t xml:space="preserve">TSMC:</w:t>
      </w:r>
      <w:r w:rsidDel="00000000" w:rsidR="00000000" w:rsidRPr="00000000">
        <w:rPr>
          <w:rtl w:val="0"/>
        </w:rPr>
        <w:t xml:space="preserve"> primary chip fabrication.</w:t>
      </w:r>
    </w:p>
    <w:p w:rsidR="00000000" w:rsidDel="00000000" w:rsidP="00000000" w:rsidRDefault="00000000" w:rsidRPr="00000000" w14:paraId="00000003">
      <w:pPr>
        <w:numPr>
          <w:ilvl w:val="0"/>
          <w:numId w:val="11"/>
        </w:numPr>
        <w:ind w:left="720" w:hanging="360"/>
        <w:rPr/>
      </w:pPr>
      <w:r w:rsidDel="00000000" w:rsidR="00000000" w:rsidRPr="00000000">
        <w:rPr>
          <w:b w:val="1"/>
          <w:bCs w:val="1"/>
          <w:rtl w:val="0"/>
        </w:rPr>
        <w:t xml:space="preserve">Samsung Foundry:</w:t>
      </w:r>
      <w:r w:rsidDel="00000000" w:rsidR="00000000" w:rsidRPr="00000000">
        <w:rPr>
          <w:rtl w:val="0"/>
        </w:rPr>
        <w:t xml:space="preserve"> secondary fabrication.</w:t>
      </w:r>
    </w:p>
    <w:p w:rsidR="00000000" w:rsidDel="00000000" w:rsidP="00000000" w:rsidRDefault="00000000" w:rsidRPr="00000000" w14:paraId="00000004">
      <w:pPr>
        <w:numPr>
          <w:ilvl w:val="0"/>
          <w:numId w:val="11"/>
        </w:numPr>
        <w:ind w:left="720" w:hanging="360"/>
        <w:rPr/>
      </w:pPr>
      <w:r w:rsidDel="00000000" w:rsidR="00000000" w:rsidRPr="00000000">
        <w:rPr>
          <w:b w:val="1"/>
          <w:bCs w:val="1"/>
          <w:rtl w:val="0"/>
        </w:rPr>
        <w:t xml:space="preserve">Arm:</w:t>
      </w:r>
      <w:r w:rsidDel="00000000" w:rsidR="00000000" w:rsidRPr="00000000">
        <w:rPr>
          <w:rtl w:val="0"/>
        </w:rPr>
        <w:t xml:space="preserve"> CPU architecture/IP.</w:t>
      </w:r>
    </w:p>
    <w:p w:rsidR="00000000" w:rsidDel="00000000" w:rsidP="00000000" w:rsidRDefault="00000000" w:rsidRPr="00000000" w14:paraId="00000005">
      <w:pPr>
        <w:numPr>
          <w:ilvl w:val="0"/>
          <w:numId w:val="11"/>
        </w:numPr>
        <w:ind w:left="720" w:hanging="360"/>
        <w:rPr/>
      </w:pPr>
      <w:r w:rsidDel="00000000" w:rsidR="00000000" w:rsidRPr="00000000">
        <w:rPr>
          <w:b w:val="1"/>
          <w:bCs w:val="1"/>
          <w:rtl w:val="0"/>
        </w:rPr>
        <w:t xml:space="preserve">Synopsys and Cadence:</w:t>
      </w:r>
      <w:r w:rsidDel="00000000" w:rsidR="00000000" w:rsidRPr="00000000">
        <w:rPr>
          <w:rtl w:val="0"/>
        </w:rPr>
        <w:t xml:space="preserve"> EDA design tools.</w:t>
      </w:r>
    </w:p>
    <w:p w:rsidR="00000000" w:rsidDel="00000000" w:rsidP="00000000" w:rsidRDefault="00000000" w:rsidRPr="00000000" w14:paraId="00000006">
      <w:pPr>
        <w:rPr/>
      </w:pPr>
      <w:r w:rsidDel="00000000" w:rsidR="00000000" w:rsidRPr="00000000">
        <w:rPr>
          <w:rtl w:val="0"/>
        </w:rPr>
        <w:t xml:space="preserve">The operational blueprint looks like this:</w:t>
      </w:r>
    </w:p>
    <w:p w:rsidR="00000000" w:rsidDel="00000000" w:rsidP="00000000" w:rsidRDefault="00000000" w:rsidRPr="00000000" w14:paraId="00000007">
      <w:pPr>
        <w:rPr/>
      </w:pPr>
      <w:r w:rsidDel="00000000" w:rsidR="00000000" w:rsidRPr="00000000">
        <w:rPr>
          <w:rtl w:val="0"/>
        </w:rPr>
        <w:t xml:space="preserve">Orion chip architecture + SDK → Arm IP + internal accelerator design → Synopsys/Cadence design flow → TSMC/Samsung wafer fabrication → outsourced packaging/test, not disclosed → OEM/system integrator qualification → Bosch/Tesla/Siemens/Panasonic/cloud customer deployment.</w:t>
      </w:r>
    </w:p>
    <w:p w:rsidR="00000000" w:rsidDel="00000000" w:rsidP="00000000" w:rsidRDefault="00000000" w:rsidRPr="00000000" w14:paraId="00000008">
      <w:pPr>
        <w:rPr/>
      </w:pPr>
      <w:r w:rsidDel="00000000" w:rsidR="00000000" w:rsidRPr="00000000">
        <w:rPr>
          <w:rtl w:val="0"/>
        </w:rPr>
        <w:t xml:space="preserve">The biggest hidden gap in the assessment is that </w:t>
      </w:r>
      <w:r w:rsidDel="00000000" w:rsidR="00000000" w:rsidRPr="00000000">
        <w:rPr>
          <w:b w:val="1"/>
          <w:bCs w:val="1"/>
          <w:rtl w:val="0"/>
        </w:rPr>
        <w:t xml:space="preserve">packaging, test, substrate, and memory supply are not disclosed</w:t>
      </w:r>
      <w:r w:rsidDel="00000000" w:rsidR="00000000" w:rsidRPr="00000000">
        <w:rPr>
          <w:rtl w:val="0"/>
        </w:rPr>
        <w:t xml:space="preserve">. For edge devices, this may be manageable; for data-center inference, this becomes a serious issue because advanced packaging and high-performance memory can become bottlenecks. TSMC’s 2025 annual report reinforces that AI, HPC, automotive, and IoT demand are driving advanced-node demand, and that 7nm-and-below technologies accounted for </w:t>
      </w:r>
      <w:r w:rsidDel="00000000" w:rsidR="00000000" w:rsidRPr="00000000">
        <w:rPr>
          <w:b w:val="1"/>
          <w:bCs w:val="1"/>
          <w:rtl w:val="0"/>
        </w:rPr>
        <w:t xml:space="preserve">74% of wafer revenue</w:t>
      </w:r>
      <w:r w:rsidDel="00000000" w:rsidR="00000000" w:rsidRPr="00000000">
        <w:rPr>
          <w:rtl w:val="0"/>
        </w:rPr>
        <w:t xml:space="preserve"> in 2025. TSMC also manufactured products for </w:t>
      </w:r>
      <w:r w:rsidDel="00000000" w:rsidR="00000000" w:rsidRPr="00000000">
        <w:rPr>
          <w:b w:val="1"/>
          <w:bCs w:val="1"/>
          <w:rtl w:val="0"/>
        </w:rPr>
        <w:t xml:space="preserve">534 customers</w:t>
      </w:r>
      <w:r w:rsidDel="00000000" w:rsidR="00000000" w:rsidRPr="00000000">
        <w:rPr>
          <w:rtl w:val="0"/>
        </w:rPr>
        <w:t xml:space="preserve">, meaning Orion would be competing for allocation against much larger customers.</w:t>
      </w:r>
    </w:p>
    <w:p w:rsidR="00000000" w:rsidDel="00000000" w:rsidP="00000000" w:rsidRDefault="00000000" w:rsidRPr="00000000" w14:paraId="00000009">
      <w:pPr>
        <w:rPr/>
      </w:pPr>
      <w:r w:rsidDel="00000000" w:rsidR="00000000" w:rsidRPr="00000000">
        <w:rPr>
          <w:rtl w:val="0"/>
        </w:rPr>
        <w:t xml:space="preserve">This is the core Orion supply-chain risk: </w:t>
      </w:r>
      <w:r w:rsidDel="00000000" w:rsidR="00000000" w:rsidRPr="00000000">
        <w:rPr>
          <w:b w:val="1"/>
          <w:bCs w:val="1"/>
          <w:rtl w:val="0"/>
        </w:rPr>
        <w:t xml:space="preserve">TSMC gives Orion credibility, but not priority.</w:t>
      </w:r>
      <w:r w:rsidDel="00000000" w:rsidR="00000000" w:rsidRPr="00000000">
        <w:rPr>
          <w:rtl w:val="0"/>
        </w:rPr>
        <w:t xml:space="preserve"> If Nvidia, Apple, AMD, Qualcomm, Tesla, or major hyperscalers absorb capacity, Orion may become a second-tier allocation customer.</w:t>
      </w:r>
    </w:p>
    <w:p w:rsidR="00000000" w:rsidDel="00000000" w:rsidP="00000000" w:rsidRDefault="00000000" w:rsidRPr="00000000" w14:paraId="0000000A">
      <w:pPr>
        <w:rPr/>
      </w:pPr>
      <w:r w:rsidDel="00000000" w:rsidR="00000000" w:rsidRPr="00000000">
        <w:rPr>
          <w:rtl w:val="0"/>
        </w:rPr>
        <w:t xml:space="preserve">Bottlenecks:</w:t>
      </w:r>
    </w:p>
    <w:p w:rsidR="00000000" w:rsidDel="00000000" w:rsidP="00000000" w:rsidRDefault="00000000" w:rsidRPr="00000000" w14:paraId="0000000B">
      <w:pPr>
        <w:numPr>
          <w:ilvl w:val="0"/>
          <w:numId w:val="21"/>
        </w:numPr>
        <w:ind w:left="720" w:hanging="360"/>
        <w:rPr/>
      </w:pPr>
      <w:r w:rsidDel="00000000" w:rsidR="00000000" w:rsidRPr="00000000">
        <w:rPr>
          <w:rtl w:val="0"/>
        </w:rPr>
        <w:t xml:space="preserve">Advanced foundry allocation at TSMC/Samsung.</w:t>
      </w:r>
    </w:p>
    <w:p w:rsidR="00000000" w:rsidDel="00000000" w:rsidP="00000000" w:rsidRDefault="00000000" w:rsidRPr="00000000" w14:paraId="0000000C">
      <w:pPr>
        <w:numPr>
          <w:ilvl w:val="0"/>
          <w:numId w:val="21"/>
        </w:numPr>
        <w:ind w:left="720" w:hanging="360"/>
        <w:rPr/>
      </w:pPr>
      <w:r w:rsidDel="00000000" w:rsidR="00000000" w:rsidRPr="00000000">
        <w:rPr>
          <w:rtl w:val="0"/>
        </w:rPr>
        <w:t xml:space="preserve">Automotive-grade qualification cycles.</w:t>
      </w:r>
    </w:p>
    <w:p w:rsidR="00000000" w:rsidDel="00000000" w:rsidP="00000000" w:rsidRDefault="00000000" w:rsidRPr="00000000" w14:paraId="0000000D">
      <w:pPr>
        <w:numPr>
          <w:ilvl w:val="0"/>
          <w:numId w:val="21"/>
        </w:numPr>
        <w:ind w:left="720" w:hanging="360"/>
        <w:rPr/>
      </w:pPr>
      <w:r w:rsidDel="00000000" w:rsidR="00000000" w:rsidRPr="00000000">
        <w:rPr>
          <w:rtl w:val="0"/>
        </w:rPr>
        <w:t xml:space="preserve">SDK adoption by customers.</w:t>
      </w:r>
    </w:p>
    <w:p w:rsidR="00000000" w:rsidDel="00000000" w:rsidP="00000000" w:rsidRDefault="00000000" w:rsidRPr="00000000" w14:paraId="0000000E">
      <w:pPr>
        <w:numPr>
          <w:ilvl w:val="0"/>
          <w:numId w:val="21"/>
        </w:numPr>
        <w:ind w:left="720" w:hanging="360"/>
        <w:rPr/>
      </w:pPr>
      <w:r w:rsidDel="00000000" w:rsidR="00000000" w:rsidRPr="00000000">
        <w:rPr>
          <w:rtl w:val="0"/>
        </w:rPr>
        <w:t xml:space="preserve">Undisclosed packaging/test partners.</w:t>
      </w:r>
    </w:p>
    <w:p w:rsidR="00000000" w:rsidDel="00000000" w:rsidP="00000000" w:rsidRDefault="00000000" w:rsidRPr="00000000" w14:paraId="0000000F">
      <w:pPr>
        <w:numPr>
          <w:ilvl w:val="0"/>
          <w:numId w:val="21"/>
        </w:numPr>
        <w:ind w:left="720" w:hanging="360"/>
        <w:rPr/>
      </w:pPr>
      <w:r w:rsidDel="00000000" w:rsidR="00000000" w:rsidRPr="00000000">
        <w:rPr>
          <w:rtl w:val="0"/>
        </w:rPr>
        <w:t xml:space="preserve">Possible advanced packaging constraint if Orion pushes into data-center inference.</w:t>
      </w:r>
    </w:p>
    <w:p w:rsidR="00000000" w:rsidDel="00000000" w:rsidP="00000000" w:rsidRDefault="00000000" w:rsidRPr="00000000" w14:paraId="00000010">
      <w:pPr>
        <w:numPr>
          <w:ilvl w:val="0"/>
          <w:numId w:val="21"/>
        </w:numPr>
        <w:ind w:left="720" w:hanging="360"/>
        <w:rPr/>
      </w:pPr>
      <w:r w:rsidDel="00000000" w:rsidR="00000000" w:rsidRPr="00000000">
        <w:rPr>
          <w:rtl w:val="0"/>
        </w:rPr>
        <w:t xml:space="preserve">EDA/IP dependency on Arm, Synopsys, and Cadence.</w:t>
      </w:r>
    </w:p>
    <w:p w:rsidR="00000000" w:rsidDel="00000000" w:rsidP="00000000" w:rsidRDefault="00000000" w:rsidRPr="00000000" w14:paraId="00000011">
      <w:pPr>
        <w:rPr/>
      </w:pPr>
      <w:r w:rsidDel="00000000" w:rsidR="00000000" w:rsidRPr="00000000">
        <w:rPr>
          <w:rtl w:val="0"/>
        </w:rPr>
        <w:t xml:space="preserve">Single-source / geopolitical risks:</w:t>
      </w:r>
    </w:p>
    <w:p w:rsidR="00000000" w:rsidDel="00000000" w:rsidP="00000000" w:rsidRDefault="00000000" w:rsidRPr="00000000" w14:paraId="00000012">
      <w:pPr>
        <w:numPr>
          <w:ilvl w:val="0"/>
          <w:numId w:val="22"/>
        </w:numPr>
        <w:ind w:left="720" w:hanging="360"/>
        <w:rPr/>
      </w:pPr>
      <w:r w:rsidDel="00000000" w:rsidR="00000000" w:rsidRPr="00000000">
        <w:rPr>
          <w:rtl w:val="0"/>
        </w:rPr>
        <w:t xml:space="preserve">TSMC remains Taiwan-heavy despite Arizona, Japan, and Germany expansion. TSMC says it is expanding globally, but it is still preparing multiple 2nm fab phases in Taiwan and investing heavily in Taiwan advanced packaging.</w:t>
      </w:r>
    </w:p>
    <w:p w:rsidR="00000000" w:rsidDel="00000000" w:rsidP="00000000" w:rsidRDefault="00000000" w:rsidRPr="00000000" w14:paraId="00000013">
      <w:pPr>
        <w:numPr>
          <w:ilvl w:val="0"/>
          <w:numId w:val="22"/>
        </w:numPr>
        <w:ind w:left="720" w:hanging="360"/>
        <w:rPr/>
      </w:pPr>
      <w:r w:rsidDel="00000000" w:rsidR="00000000" w:rsidRPr="00000000">
        <w:rPr>
          <w:rtl w:val="0"/>
        </w:rPr>
        <w:t xml:space="preserve">Samsung reduces single-foundry dependence, but it is not equivalent to TSMC in leading-edge customer trust.</w:t>
      </w:r>
    </w:p>
    <w:p w:rsidR="00000000" w:rsidDel="00000000" w:rsidP="00000000" w:rsidRDefault="00000000" w:rsidRPr="00000000" w14:paraId="00000014">
      <w:pPr>
        <w:numPr>
          <w:ilvl w:val="0"/>
          <w:numId w:val="22"/>
        </w:numPr>
        <w:ind w:left="720" w:hanging="360"/>
        <w:rPr/>
      </w:pPr>
      <w:r w:rsidDel="00000000" w:rsidR="00000000" w:rsidRPr="00000000">
        <w:rPr>
          <w:rtl w:val="0"/>
        </w:rPr>
        <w:t xml:space="preserve">Arm creates ecosystem strength but also licensing dependency.</w:t>
      </w:r>
    </w:p>
    <w:p w:rsidR="00000000" w:rsidDel="00000000" w:rsidP="00000000" w:rsidRDefault="00000000" w:rsidRPr="00000000" w14:paraId="00000015">
      <w:pPr>
        <w:numPr>
          <w:ilvl w:val="0"/>
          <w:numId w:val="22"/>
        </w:numPr>
        <w:ind w:left="720" w:hanging="360"/>
        <w:rPr/>
      </w:pPr>
      <w:r w:rsidDel="00000000" w:rsidR="00000000" w:rsidRPr="00000000">
        <w:rPr>
          <w:rtl w:val="0"/>
        </w:rPr>
        <w:t xml:space="preserve">EDA tools are effectively oligopolistic; losing access to Synopsys/Cadence would be existential.</w:t>
      </w:r>
    </w:p>
    <w:p w:rsidR="00000000" w:rsidDel="00000000" w:rsidP="00000000" w:rsidRDefault="00000000" w:rsidRPr="00000000" w14:paraId="00000016">
      <w:pPr>
        <w:rPr/>
      </w:pPr>
      <w:r w:rsidDel="00000000" w:rsidR="00000000" w:rsidRPr="00000000">
        <w:rPr>
          <w:b w:val="1"/>
          <w:bCs w:val="1"/>
          <w:rtl w:val="0"/>
        </w:rPr>
        <w:t xml:space="preserve">2. Client &amp; Customer Landscape</w:t>
      </w:r>
      <w:r w:rsidDel="00000000" w:rsidR="00000000" w:rsidRPr="00000000">
        <w:rPr>
          <w:rtl w:val="0"/>
        </w:rPr>
        <w:br w:type="textWrapping"/>
        <w:t xml:space="preserve">Assessment customer split:</w:t>
      </w:r>
    </w:p>
    <w:p w:rsidR="00000000" w:rsidDel="00000000" w:rsidP="00000000" w:rsidRDefault="00000000" w:rsidRPr="00000000" w14:paraId="00000017">
      <w:pPr>
        <w:numPr>
          <w:ilvl w:val="0"/>
          <w:numId w:val="23"/>
        </w:numPr>
        <w:ind w:left="720" w:hanging="360"/>
        <w:rPr/>
      </w:pPr>
      <w:r w:rsidDel="00000000" w:rsidR="00000000" w:rsidRPr="00000000">
        <w:rPr>
          <w:rtl w:val="0"/>
        </w:rPr>
        <w:t xml:space="preserve">Bosch Automotive: </w:t>
      </w:r>
      <w:r w:rsidDel="00000000" w:rsidR="00000000" w:rsidRPr="00000000">
        <w:rPr>
          <w:b w:val="1"/>
          <w:bCs w:val="1"/>
          <w:rtl w:val="0"/>
        </w:rPr>
        <w:t xml:space="preserve">31%</w:t>
      </w:r>
      <w:r w:rsidDel="00000000" w:rsidR="00000000" w:rsidRPr="00000000">
        <w:rPr>
          <w:rtl w:val="0"/>
        </w:rPr>
      </w:r>
    </w:p>
    <w:p w:rsidR="00000000" w:rsidDel="00000000" w:rsidP="00000000" w:rsidRDefault="00000000" w:rsidRPr="00000000" w14:paraId="00000018">
      <w:pPr>
        <w:numPr>
          <w:ilvl w:val="0"/>
          <w:numId w:val="23"/>
        </w:numPr>
        <w:ind w:left="720" w:hanging="360"/>
        <w:rPr/>
      </w:pPr>
      <w:r w:rsidDel="00000000" w:rsidR="00000000" w:rsidRPr="00000000">
        <w:rPr>
          <w:rtl w:val="0"/>
        </w:rPr>
        <w:t xml:space="preserve">Tesla: </w:t>
      </w:r>
      <w:r w:rsidDel="00000000" w:rsidR="00000000" w:rsidRPr="00000000">
        <w:rPr>
          <w:b w:val="1"/>
          <w:bCs w:val="1"/>
          <w:rtl w:val="0"/>
        </w:rPr>
        <w:t xml:space="preserve">22%</w:t>
      </w:r>
      <w:r w:rsidDel="00000000" w:rsidR="00000000" w:rsidRPr="00000000">
        <w:rPr>
          <w:rtl w:val="0"/>
        </w:rPr>
      </w:r>
    </w:p>
    <w:p w:rsidR="00000000" w:rsidDel="00000000" w:rsidP="00000000" w:rsidRDefault="00000000" w:rsidRPr="00000000" w14:paraId="00000019">
      <w:pPr>
        <w:numPr>
          <w:ilvl w:val="0"/>
          <w:numId w:val="23"/>
        </w:numPr>
        <w:ind w:left="720" w:hanging="360"/>
        <w:rPr/>
      </w:pPr>
      <w:r w:rsidDel="00000000" w:rsidR="00000000" w:rsidRPr="00000000">
        <w:rPr>
          <w:rtl w:val="0"/>
        </w:rPr>
        <w:t xml:space="preserve">Siemens Industrial: </w:t>
      </w:r>
      <w:r w:rsidDel="00000000" w:rsidR="00000000" w:rsidRPr="00000000">
        <w:rPr>
          <w:b w:val="1"/>
          <w:bCs w:val="1"/>
          <w:rtl w:val="0"/>
        </w:rPr>
        <w:t xml:space="preserve">19%</w:t>
      </w:r>
      <w:r w:rsidDel="00000000" w:rsidR="00000000" w:rsidRPr="00000000">
        <w:rPr>
          <w:rtl w:val="0"/>
        </w:rPr>
      </w:r>
    </w:p>
    <w:p w:rsidR="00000000" w:rsidDel="00000000" w:rsidP="00000000" w:rsidRDefault="00000000" w:rsidRPr="00000000" w14:paraId="0000001A">
      <w:pPr>
        <w:numPr>
          <w:ilvl w:val="0"/>
          <w:numId w:val="23"/>
        </w:numPr>
        <w:ind w:left="720" w:hanging="360"/>
        <w:rPr/>
      </w:pPr>
      <w:r w:rsidDel="00000000" w:rsidR="00000000" w:rsidRPr="00000000">
        <w:rPr>
          <w:rtl w:val="0"/>
        </w:rPr>
        <w:t xml:space="preserve">Customer A, cloud provider: </w:t>
      </w:r>
      <w:r w:rsidDel="00000000" w:rsidR="00000000" w:rsidRPr="00000000">
        <w:rPr>
          <w:b w:val="1"/>
          <w:bCs w:val="1"/>
          <w:rtl w:val="0"/>
        </w:rPr>
        <w:t xml:space="preserve">14%</w:t>
      </w:r>
      <w:r w:rsidDel="00000000" w:rsidR="00000000" w:rsidRPr="00000000">
        <w:rPr>
          <w:rtl w:val="0"/>
        </w:rPr>
      </w:r>
    </w:p>
    <w:p w:rsidR="00000000" w:rsidDel="00000000" w:rsidP="00000000" w:rsidRDefault="00000000" w:rsidRPr="00000000" w14:paraId="0000001B">
      <w:pPr>
        <w:numPr>
          <w:ilvl w:val="0"/>
          <w:numId w:val="23"/>
        </w:numPr>
        <w:ind w:left="720" w:hanging="360"/>
        <w:rPr/>
      </w:pPr>
      <w:r w:rsidDel="00000000" w:rsidR="00000000" w:rsidRPr="00000000">
        <w:rPr>
          <w:rtl w:val="0"/>
        </w:rPr>
        <w:t xml:space="preserve">Panasonic: </w:t>
      </w:r>
      <w:r w:rsidDel="00000000" w:rsidR="00000000" w:rsidRPr="00000000">
        <w:rPr>
          <w:b w:val="1"/>
          <w:bCs w:val="1"/>
          <w:rtl w:val="0"/>
        </w:rPr>
        <w:t xml:space="preserve">9%</w:t>
      </w:r>
      <w:r w:rsidDel="00000000" w:rsidR="00000000" w:rsidRPr="00000000">
        <w:rPr>
          <w:rtl w:val="0"/>
        </w:rPr>
      </w:r>
    </w:p>
    <w:p w:rsidR="00000000" w:rsidDel="00000000" w:rsidP="00000000" w:rsidRDefault="00000000" w:rsidRPr="00000000" w14:paraId="0000001C">
      <w:pPr>
        <w:numPr>
          <w:ilvl w:val="0"/>
          <w:numId w:val="23"/>
        </w:numPr>
        <w:ind w:left="720" w:hanging="360"/>
        <w:rPr/>
      </w:pPr>
      <w:r w:rsidDel="00000000" w:rsidR="00000000" w:rsidRPr="00000000">
        <w:rPr>
          <w:rtl w:val="0"/>
        </w:rPr>
        <w:t xml:space="preserve">Other: </w:t>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is a </w:t>
      </w:r>
      <w:r w:rsidDel="00000000" w:rsidR="00000000" w:rsidRPr="00000000">
        <w:rPr>
          <w:b w:val="1"/>
          <w:bCs w:val="1"/>
          <w:rtl w:val="0"/>
        </w:rPr>
        <w:t xml:space="preserve">highly concentrated book</w:t>
      </w:r>
      <w:r w:rsidDel="00000000" w:rsidR="00000000" w:rsidRPr="00000000">
        <w:rPr>
          <w:rtl w:val="0"/>
        </w:rPr>
        <w:t xml:space="preserve">:</w:t>
      </w:r>
    </w:p>
    <w:p w:rsidR="00000000" w:rsidDel="00000000" w:rsidP="00000000" w:rsidRDefault="00000000" w:rsidRPr="00000000" w14:paraId="0000001E">
      <w:pPr>
        <w:numPr>
          <w:ilvl w:val="0"/>
          <w:numId w:val="24"/>
        </w:numPr>
        <w:ind w:left="720" w:hanging="360"/>
        <w:rPr/>
      </w:pPr>
      <w:r w:rsidDel="00000000" w:rsidR="00000000" w:rsidRPr="00000000">
        <w:rPr>
          <w:rtl w:val="0"/>
        </w:rPr>
        <w:t xml:space="preserve">Top 2 customers: </w:t>
      </w:r>
      <w:r w:rsidDel="00000000" w:rsidR="00000000" w:rsidRPr="00000000">
        <w:rPr>
          <w:b w:val="1"/>
          <w:bCs w:val="1"/>
          <w:rtl w:val="0"/>
        </w:rPr>
        <w:t xml:space="preserve">53%</w:t>
      </w:r>
      <w:r w:rsidDel="00000000" w:rsidR="00000000" w:rsidRPr="00000000">
        <w:rPr>
          <w:rtl w:val="0"/>
        </w:rPr>
      </w:r>
    </w:p>
    <w:p w:rsidR="00000000" w:rsidDel="00000000" w:rsidP="00000000" w:rsidRDefault="00000000" w:rsidRPr="00000000" w14:paraId="0000001F">
      <w:pPr>
        <w:numPr>
          <w:ilvl w:val="0"/>
          <w:numId w:val="24"/>
        </w:numPr>
        <w:ind w:left="720" w:hanging="360"/>
        <w:rPr/>
      </w:pPr>
      <w:r w:rsidDel="00000000" w:rsidR="00000000" w:rsidRPr="00000000">
        <w:rPr>
          <w:rtl w:val="0"/>
        </w:rPr>
        <w:t xml:space="preserve">Top 3 customers: </w:t>
      </w:r>
      <w:r w:rsidDel="00000000" w:rsidR="00000000" w:rsidRPr="00000000">
        <w:rPr>
          <w:b w:val="1"/>
          <w:bCs w:val="1"/>
          <w:rtl w:val="0"/>
        </w:rPr>
        <w:t xml:space="preserve">72%</w:t>
      </w:r>
      <w:r w:rsidDel="00000000" w:rsidR="00000000" w:rsidRPr="00000000">
        <w:rPr>
          <w:rtl w:val="0"/>
        </w:rPr>
      </w:r>
    </w:p>
    <w:p w:rsidR="00000000" w:rsidDel="00000000" w:rsidP="00000000" w:rsidRDefault="00000000" w:rsidRPr="00000000" w14:paraId="00000020">
      <w:pPr>
        <w:numPr>
          <w:ilvl w:val="0"/>
          <w:numId w:val="24"/>
        </w:numPr>
        <w:ind w:left="720" w:hanging="360"/>
        <w:rPr/>
      </w:pPr>
      <w:r w:rsidDel="00000000" w:rsidR="00000000" w:rsidRPr="00000000">
        <w:rPr>
          <w:rtl w:val="0"/>
        </w:rPr>
        <w:t xml:space="preserve">Top 4 customers: </w:t>
      </w:r>
      <w:r w:rsidDel="00000000" w:rsidR="00000000" w:rsidRPr="00000000">
        <w:rPr>
          <w:b w:val="1"/>
          <w:bCs w:val="1"/>
          <w:rtl w:val="0"/>
        </w:rPr>
        <w:t xml:space="preserve">86%</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Customer stickiness is mixed. In semiconductors, once a chip is designed into an automotive or industrial system, switching costs are high because of validation, safety, firmware integration, and product-cycle timing. That is good. But the flip side is brutal: </w:t>
      </w:r>
      <w:r w:rsidDel="00000000" w:rsidR="00000000" w:rsidRPr="00000000">
        <w:rPr>
          <w:b w:val="1"/>
          <w:bCs w:val="1"/>
          <w:rtl w:val="0"/>
        </w:rPr>
        <w:t xml:space="preserve">if Orion misses a design window, the revenue hole can last years.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Customer-by-customer read:</w:t>
      </w:r>
    </w:p>
    <w:p w:rsidR="00000000" w:rsidDel="00000000" w:rsidP="00000000" w:rsidRDefault="00000000" w:rsidRPr="00000000" w14:paraId="00000023">
      <w:pPr>
        <w:numPr>
          <w:ilvl w:val="0"/>
          <w:numId w:val="25"/>
        </w:numPr>
        <w:ind w:left="720" w:hanging="360"/>
        <w:rPr/>
      </w:pPr>
      <w:r w:rsidDel="00000000" w:rsidR="00000000" w:rsidRPr="00000000">
        <w:rPr>
          <w:b w:val="1"/>
          <w:bCs w:val="1"/>
          <w:rtl w:val="0"/>
        </w:rPr>
        <w:t xml:space="preserve">Bosch:</w:t>
      </w:r>
      <w:r w:rsidDel="00000000" w:rsidR="00000000" w:rsidRPr="00000000">
        <w:rPr>
          <w:rtl w:val="0"/>
        </w:rPr>
        <w:t xml:space="preserve"> sticky but dangerous. Bosch is not just a customer; it also develops and manufactures semiconductors, including ASICs, MEMS sensors, and power semiconductors. That means Bosch could internalize, dual-source, or pressure Orion on price.</w:t>
      </w:r>
    </w:p>
    <w:p w:rsidR="00000000" w:rsidDel="00000000" w:rsidP="00000000" w:rsidRDefault="00000000" w:rsidRPr="00000000" w14:paraId="00000024">
      <w:pPr>
        <w:numPr>
          <w:ilvl w:val="0"/>
          <w:numId w:val="25"/>
        </w:numPr>
        <w:ind w:left="720" w:hanging="360"/>
        <w:rPr/>
      </w:pPr>
      <w:r w:rsidDel="00000000" w:rsidR="00000000" w:rsidRPr="00000000">
        <w:rPr>
          <w:b w:val="1"/>
          <w:bCs w:val="1"/>
          <w:rtl w:val="0"/>
        </w:rPr>
        <w:t xml:space="preserve">Tesla:</w:t>
      </w:r>
      <w:r w:rsidDel="00000000" w:rsidR="00000000" w:rsidRPr="00000000">
        <w:rPr>
          <w:rtl w:val="0"/>
        </w:rPr>
        <w:t xml:space="preserve"> high-volume validation if real, but extremely risky. Tesla is known for custom silicon ambitions and supplier leverage. If Tesla treats Orion as a bridge supplier, not a strategic platform, revenue can evaporate.</w:t>
      </w:r>
    </w:p>
    <w:p w:rsidR="00000000" w:rsidDel="00000000" w:rsidP="00000000" w:rsidRDefault="00000000" w:rsidRPr="00000000" w14:paraId="00000025">
      <w:pPr>
        <w:numPr>
          <w:ilvl w:val="0"/>
          <w:numId w:val="25"/>
        </w:numPr>
        <w:ind w:left="720" w:hanging="360"/>
        <w:rPr/>
      </w:pPr>
      <w:r w:rsidDel="00000000" w:rsidR="00000000" w:rsidRPr="00000000">
        <w:rPr>
          <w:b w:val="1"/>
          <w:bCs w:val="1"/>
          <w:rtl w:val="0"/>
        </w:rPr>
        <w:t xml:space="preserve">Siemens Industrial:</w:t>
      </w:r>
      <w:r w:rsidDel="00000000" w:rsidR="00000000" w:rsidRPr="00000000">
        <w:rPr>
          <w:rtl w:val="0"/>
        </w:rPr>
        <w:t xml:space="preserve"> strategically attractive. Siemens is pushing industrial AI and edge deployment on the factory floor, which fits Orion’s edge-inference thesis.</w:t>
      </w:r>
    </w:p>
    <w:p w:rsidR="00000000" w:rsidDel="00000000" w:rsidP="00000000" w:rsidRDefault="00000000" w:rsidRPr="00000000" w14:paraId="00000026">
      <w:pPr>
        <w:numPr>
          <w:ilvl w:val="0"/>
          <w:numId w:val="25"/>
        </w:numPr>
        <w:ind w:left="720" w:hanging="360"/>
        <w:rPr/>
      </w:pPr>
      <w:r w:rsidDel="00000000" w:rsidR="00000000" w:rsidRPr="00000000">
        <w:rPr>
          <w:b w:val="1"/>
          <w:bCs w:val="1"/>
          <w:rtl w:val="0"/>
        </w:rPr>
        <w:t xml:space="preserve">Customer A:</w:t>
      </w:r>
      <w:r w:rsidDel="00000000" w:rsidR="00000000" w:rsidRPr="00000000">
        <w:rPr>
          <w:rtl w:val="0"/>
        </w:rPr>
        <w:t xml:space="preserve"> potentially attractive cloud inference customer, but low transparency. If this is a hyperscaler, bargaining power sits with the customer, not Orion.</w:t>
      </w:r>
    </w:p>
    <w:p w:rsidR="00000000" w:rsidDel="00000000" w:rsidP="00000000" w:rsidRDefault="00000000" w:rsidRPr="00000000" w14:paraId="00000027">
      <w:pPr>
        <w:numPr>
          <w:ilvl w:val="0"/>
          <w:numId w:val="25"/>
        </w:numPr>
        <w:ind w:left="720" w:hanging="360"/>
        <w:rPr/>
      </w:pPr>
      <w:r w:rsidDel="00000000" w:rsidR="00000000" w:rsidRPr="00000000">
        <w:rPr>
          <w:b w:val="1"/>
          <w:bCs w:val="1"/>
          <w:rtl w:val="0"/>
        </w:rPr>
        <w:t xml:space="preserve">Panasonic:</w:t>
      </w:r>
      <w:r w:rsidDel="00000000" w:rsidR="00000000" w:rsidRPr="00000000">
        <w:rPr>
          <w:rtl w:val="0"/>
        </w:rPr>
        <w:t xml:space="preserve"> likely automotive/industrial electronics exposure, helpful but not large enough to diversify the book.</w:t>
      </w:r>
    </w:p>
    <w:p w:rsidR="00000000" w:rsidDel="00000000" w:rsidP="00000000" w:rsidRDefault="00000000" w:rsidRPr="00000000" w14:paraId="00000028">
      <w:pPr>
        <w:rPr/>
      </w:pPr>
      <w:r w:rsidDel="00000000" w:rsidR="00000000" w:rsidRPr="00000000">
        <w:rPr>
          <w:b w:val="1"/>
          <w:bCs w:val="1"/>
          <w:rtl w:val="0"/>
        </w:rPr>
        <w:t xml:space="preserve">3. Geographic Footprint</w:t>
      </w:r>
      <w:r w:rsidDel="00000000" w:rsidR="00000000" w:rsidRPr="00000000">
        <w:rPr>
          <w:rtl w:val="0"/>
        </w:rPr>
      </w:r>
    </w:p>
    <w:p w:rsidR="00000000" w:rsidDel="00000000" w:rsidP="00000000" w:rsidRDefault="00000000" w:rsidRPr="00000000" w14:paraId="00000029">
      <w:pPr>
        <w:numPr>
          <w:ilvl w:val="0"/>
          <w:numId w:val="26"/>
        </w:numPr>
        <w:ind w:left="720" w:hanging="360"/>
        <w:rPr/>
      </w:pPr>
      <w:r w:rsidDel="00000000" w:rsidR="00000000" w:rsidRPr="00000000">
        <w:rPr>
          <w:rtl w:val="0"/>
        </w:rPr>
        <w:t xml:space="preserve">HQ: Copenhagen, Denmark.</w:t>
      </w:r>
    </w:p>
    <w:p w:rsidR="00000000" w:rsidDel="00000000" w:rsidP="00000000" w:rsidRDefault="00000000" w:rsidRPr="00000000" w14:paraId="0000002A">
      <w:pPr>
        <w:numPr>
          <w:ilvl w:val="0"/>
          <w:numId w:val="26"/>
        </w:numPr>
        <w:ind w:left="720" w:hanging="360"/>
        <w:rPr/>
      </w:pPr>
      <w:r w:rsidDel="00000000" w:rsidR="00000000" w:rsidRPr="00000000">
        <w:rPr>
          <w:rtl w:val="0"/>
        </w:rPr>
        <w:t xml:space="preserve">Manufacturing: likely Taiwan, South Korea, and potentially TSMC Arizona/Japan/Germany depending on node and customer qualification.</w:t>
      </w:r>
    </w:p>
    <w:p w:rsidR="00000000" w:rsidDel="00000000" w:rsidP="00000000" w:rsidRDefault="00000000" w:rsidRPr="00000000" w14:paraId="0000002B">
      <w:pPr>
        <w:numPr>
          <w:ilvl w:val="0"/>
          <w:numId w:val="26"/>
        </w:numPr>
        <w:ind w:left="720" w:hanging="360"/>
        <w:rPr/>
      </w:pPr>
      <w:r w:rsidDel="00000000" w:rsidR="00000000" w:rsidRPr="00000000">
        <w:rPr>
          <w:rtl w:val="0"/>
        </w:rPr>
        <w:t xml:space="preserve">End markets: automotive Europe/US, industrial Europe/US, Tesla/global EV, cloud infrastructure likely US.</w:t>
      </w:r>
    </w:p>
    <w:p w:rsidR="00000000" w:rsidDel="00000000" w:rsidP="00000000" w:rsidRDefault="00000000" w:rsidRPr="00000000" w14:paraId="0000002C">
      <w:pPr>
        <w:rPr/>
      </w:pPr>
      <w:r w:rsidDel="00000000" w:rsidR="00000000" w:rsidRPr="00000000">
        <w:rPr>
          <w:rtl w:val="0"/>
        </w:rPr>
        <w:t xml:space="preserve">Risks:</w:t>
      </w:r>
    </w:p>
    <w:p w:rsidR="00000000" w:rsidDel="00000000" w:rsidP="00000000" w:rsidRDefault="00000000" w:rsidRPr="00000000" w14:paraId="0000002D">
      <w:pPr>
        <w:numPr>
          <w:ilvl w:val="0"/>
          <w:numId w:val="27"/>
        </w:numPr>
        <w:ind w:left="720" w:hanging="360"/>
        <w:rPr/>
      </w:pPr>
      <w:r w:rsidDel="00000000" w:rsidR="00000000" w:rsidRPr="00000000">
        <w:rPr>
          <w:b w:val="1"/>
          <w:bCs w:val="1"/>
          <w:rtl w:val="0"/>
        </w:rPr>
        <w:t xml:space="preserve">Taiwan geopolitical risk:</w:t>
      </w:r>
      <w:r w:rsidDel="00000000" w:rsidR="00000000" w:rsidRPr="00000000">
        <w:rPr>
          <w:rtl w:val="0"/>
        </w:rPr>
        <w:t xml:space="preserve"> direct fabrication exposure.</w:t>
      </w:r>
    </w:p>
    <w:p w:rsidR="00000000" w:rsidDel="00000000" w:rsidP="00000000" w:rsidRDefault="00000000" w:rsidRPr="00000000" w14:paraId="0000002E">
      <w:pPr>
        <w:numPr>
          <w:ilvl w:val="0"/>
          <w:numId w:val="27"/>
        </w:numPr>
        <w:ind w:left="720" w:hanging="360"/>
        <w:rPr/>
      </w:pPr>
      <w:r w:rsidDel="00000000" w:rsidR="00000000" w:rsidRPr="00000000">
        <w:rPr>
          <w:b w:val="1"/>
          <w:bCs w:val="1"/>
          <w:rtl w:val="0"/>
        </w:rPr>
        <w:t xml:space="preserve">US-China export control risk:</w:t>
      </w:r>
      <w:r w:rsidDel="00000000" w:rsidR="00000000" w:rsidRPr="00000000">
        <w:rPr>
          <w:rtl w:val="0"/>
        </w:rPr>
        <w:t xml:space="preserve"> AI chips and EDA tools may be caught in evolving rules.</w:t>
      </w:r>
    </w:p>
    <w:p w:rsidR="00000000" w:rsidDel="00000000" w:rsidP="00000000" w:rsidRDefault="00000000" w:rsidRPr="00000000" w14:paraId="0000002F">
      <w:pPr>
        <w:numPr>
          <w:ilvl w:val="0"/>
          <w:numId w:val="27"/>
        </w:numPr>
        <w:ind w:left="720" w:hanging="360"/>
        <w:rPr/>
      </w:pPr>
      <w:r w:rsidDel="00000000" w:rsidR="00000000" w:rsidRPr="00000000">
        <w:rPr>
          <w:b w:val="1"/>
          <w:bCs w:val="1"/>
          <w:rtl w:val="0"/>
        </w:rPr>
        <w:t xml:space="preserve">EUR/DKK vs USD revenue/cost mismatch:</w:t>
      </w:r>
      <w:r w:rsidDel="00000000" w:rsidR="00000000" w:rsidRPr="00000000">
        <w:rPr>
          <w:rtl w:val="0"/>
        </w:rPr>
        <w:t xml:space="preserve"> HQ in Denmark, foundry and customer contracts likely USD-heavy.</w:t>
      </w:r>
    </w:p>
    <w:p w:rsidR="00000000" w:rsidDel="00000000" w:rsidP="00000000" w:rsidRDefault="00000000" w:rsidRPr="00000000" w14:paraId="00000030">
      <w:pPr>
        <w:numPr>
          <w:ilvl w:val="0"/>
          <w:numId w:val="27"/>
        </w:numPr>
        <w:ind w:left="720" w:hanging="360"/>
        <w:rPr/>
      </w:pPr>
      <w:r w:rsidDel="00000000" w:rsidR="00000000" w:rsidRPr="00000000">
        <w:rPr>
          <w:b w:val="1"/>
          <w:bCs w:val="1"/>
          <w:rtl w:val="0"/>
        </w:rPr>
        <w:t xml:space="preserve">Automotive cyclicality:</w:t>
      </w:r>
      <w:r w:rsidDel="00000000" w:rsidR="00000000" w:rsidRPr="00000000">
        <w:rPr>
          <w:rtl w:val="0"/>
        </w:rPr>
        <w:t xml:space="preserve"> Bosch and Tesla create exposure to EV demand, auto production cycles, and China competition.</w:t>
      </w:r>
    </w:p>
    <w:p w:rsidR="00000000" w:rsidDel="00000000" w:rsidP="00000000" w:rsidRDefault="00000000" w:rsidRPr="00000000" w14:paraId="00000031">
      <w:pPr>
        <w:rPr/>
      </w:pPr>
      <w:r w:rsidDel="00000000" w:rsidR="00000000" w:rsidRPr="00000000">
        <w:rPr>
          <w:b w:val="1"/>
          <w:bCs w:val="1"/>
          <w:rtl w:val="0"/>
        </w:rPr>
        <w:t xml:space="preserve">4. Strategic Roadmap &amp; Future Plans</w:t>
      </w:r>
      <w:r w:rsidDel="00000000" w:rsidR="00000000" w:rsidRPr="00000000">
        <w:rPr>
          <w:rtl w:val="0"/>
        </w:rPr>
        <w:br w:type="textWrapping"/>
        <w:t xml:space="preserve">Orion wants to grow in:</w:t>
      </w:r>
    </w:p>
    <w:p w:rsidR="00000000" w:rsidDel="00000000" w:rsidP="00000000" w:rsidRDefault="00000000" w:rsidRPr="00000000" w14:paraId="00000032">
      <w:pPr>
        <w:numPr>
          <w:ilvl w:val="0"/>
          <w:numId w:val="1"/>
        </w:numPr>
        <w:ind w:left="720" w:hanging="360"/>
        <w:rPr/>
      </w:pPr>
      <w:r w:rsidDel="00000000" w:rsidR="00000000" w:rsidRPr="00000000">
        <w:rPr>
          <w:rtl w:val="0"/>
        </w:rPr>
        <w:t xml:space="preserve">Automotive edge AI.</w:t>
      </w:r>
    </w:p>
    <w:p w:rsidR="00000000" w:rsidDel="00000000" w:rsidP="00000000" w:rsidRDefault="00000000" w:rsidRPr="00000000" w14:paraId="00000033">
      <w:pPr>
        <w:numPr>
          <w:ilvl w:val="0"/>
          <w:numId w:val="1"/>
        </w:numPr>
        <w:ind w:left="720" w:hanging="360"/>
        <w:rPr/>
      </w:pPr>
      <w:r w:rsidDel="00000000" w:rsidR="00000000" w:rsidRPr="00000000">
        <w:rPr>
          <w:rtl w:val="0"/>
        </w:rPr>
        <w:t xml:space="preserve">Industrial automation.</w:t>
      </w:r>
    </w:p>
    <w:p w:rsidR="00000000" w:rsidDel="00000000" w:rsidP="00000000" w:rsidRDefault="00000000" w:rsidRPr="00000000" w14:paraId="00000034">
      <w:pPr>
        <w:numPr>
          <w:ilvl w:val="0"/>
          <w:numId w:val="1"/>
        </w:numPr>
        <w:ind w:left="720" w:hanging="360"/>
        <w:rPr/>
      </w:pPr>
      <w:r w:rsidDel="00000000" w:rsidR="00000000" w:rsidRPr="00000000">
        <w:rPr>
          <w:rtl w:val="0"/>
        </w:rPr>
        <w:t xml:space="preserve">Data-center inference.</w:t>
      </w:r>
    </w:p>
    <w:p w:rsidR="00000000" w:rsidDel="00000000" w:rsidP="00000000" w:rsidRDefault="00000000" w:rsidRPr="00000000" w14:paraId="00000035">
      <w:pPr>
        <w:numPr>
          <w:ilvl w:val="0"/>
          <w:numId w:val="1"/>
        </w:numPr>
        <w:ind w:left="720" w:hanging="360"/>
        <w:rPr/>
      </w:pPr>
      <w:r w:rsidDel="00000000" w:rsidR="00000000" w:rsidRPr="00000000">
        <w:rPr>
          <w:rtl w:val="0"/>
        </w:rPr>
        <w:t xml:space="preserve">Software/SDK licensing.</w:t>
      </w:r>
    </w:p>
    <w:p w:rsidR="00000000" w:rsidDel="00000000" w:rsidP="00000000" w:rsidRDefault="00000000" w:rsidRPr="00000000" w14:paraId="00000036">
      <w:pPr>
        <w:rPr/>
      </w:pPr>
      <w:r w:rsidDel="00000000" w:rsidR="00000000" w:rsidRPr="00000000">
        <w:rPr>
          <w:rtl w:val="0"/>
        </w:rPr>
        <w:t xml:space="preserve">The roadmap is plausible, but the tension is visible in the KPIs:</w:t>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Chips shipped: </w:t>
      </w:r>
      <w:r w:rsidDel="00000000" w:rsidR="00000000" w:rsidRPr="00000000">
        <w:rPr>
          <w:b w:val="1"/>
          <w:bCs w:val="1"/>
          <w:rtl w:val="0"/>
        </w:rPr>
        <w:t xml:space="preserve">0.82m → 4.15m</w:t>
      </w:r>
      <w:r w:rsidDel="00000000" w:rsidR="00000000" w:rsidRPr="00000000">
        <w:rPr>
          <w:rtl w:val="0"/>
        </w:rPr>
      </w:r>
    </w:p>
    <w:p w:rsidR="00000000" w:rsidDel="00000000" w:rsidP="00000000" w:rsidRDefault="00000000" w:rsidRPr="00000000" w14:paraId="00000038">
      <w:pPr>
        <w:numPr>
          <w:ilvl w:val="0"/>
          <w:numId w:val="2"/>
        </w:numPr>
        <w:ind w:left="720" w:hanging="360"/>
        <w:rPr/>
      </w:pPr>
      <w:r w:rsidDel="00000000" w:rsidR="00000000" w:rsidRPr="00000000">
        <w:rPr>
          <w:rtl w:val="0"/>
        </w:rPr>
        <w:t xml:space="preserve">ASP: </w:t>
      </w:r>
      <w:r w:rsidDel="00000000" w:rsidR="00000000" w:rsidRPr="00000000">
        <w:rPr>
          <w:b w:val="1"/>
          <w:bCs w:val="1"/>
          <w:rtl w:val="0"/>
        </w:rPr>
        <w:t xml:space="preserve">$38.4 → $28.9</w:t>
      </w:r>
      <w:r w:rsidDel="00000000" w:rsidR="00000000" w:rsidRPr="00000000">
        <w:rPr>
          <w:rtl w:val="0"/>
        </w:rPr>
      </w:r>
    </w:p>
    <w:p w:rsidR="00000000" w:rsidDel="00000000" w:rsidP="00000000" w:rsidRDefault="00000000" w:rsidRPr="00000000" w14:paraId="00000039">
      <w:pPr>
        <w:numPr>
          <w:ilvl w:val="0"/>
          <w:numId w:val="2"/>
        </w:numPr>
        <w:ind w:left="720" w:hanging="360"/>
        <w:rPr/>
      </w:pPr>
      <w:r w:rsidDel="00000000" w:rsidR="00000000" w:rsidRPr="00000000">
        <w:rPr>
          <w:rtl w:val="0"/>
        </w:rPr>
        <w:t xml:space="preserve">Gross margin: </w:t>
      </w:r>
      <w:r w:rsidDel="00000000" w:rsidR="00000000" w:rsidRPr="00000000">
        <w:rPr>
          <w:b w:val="1"/>
          <w:bCs w:val="1"/>
          <w:rtl w:val="0"/>
        </w:rPr>
        <w:t xml:space="preserve">61% → 51%</w:t>
      </w:r>
      <w:r w:rsidDel="00000000" w:rsidR="00000000" w:rsidRPr="00000000">
        <w:rPr>
          <w:rtl w:val="0"/>
        </w:rPr>
      </w:r>
    </w:p>
    <w:p w:rsidR="00000000" w:rsidDel="00000000" w:rsidP="00000000" w:rsidRDefault="00000000" w:rsidRPr="00000000" w14:paraId="0000003A">
      <w:pPr>
        <w:numPr>
          <w:ilvl w:val="0"/>
          <w:numId w:val="2"/>
        </w:numPr>
        <w:ind w:left="720" w:hanging="360"/>
        <w:rPr/>
      </w:pPr>
      <w:r w:rsidDel="00000000" w:rsidR="00000000" w:rsidRPr="00000000">
        <w:rPr>
          <w:rtl w:val="0"/>
        </w:rPr>
        <w:t xml:space="preserve">Software revenue mix: </w:t>
      </w:r>
      <w:r w:rsidDel="00000000" w:rsidR="00000000" w:rsidRPr="00000000">
        <w:rPr>
          <w:b w:val="1"/>
          <w:bCs w:val="1"/>
          <w:rtl w:val="0"/>
        </w:rPr>
        <w:t xml:space="preserve">11% → 27%</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is classic “good growth, bad pricing.” Orion is shipping many more chips, but ASPs and gross margins are falling. The long thesis depends on software mix eventually stabilizing margins. The short thesis is that Orion is becoming a volume chip vendor with fading differentiation.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color w:val="ee0000"/>
          <w:sz w:val="36"/>
          <w:szCs w:val="36"/>
          <w:u w:val="single"/>
          <w:rtl w:val="0"/>
        </w:rPr>
        <w:t xml:space="preserve">Deep-Dive: Cleanenergy</w:t>
      </w:r>
      <w:r w:rsidDel="00000000" w:rsidR="00000000" w:rsidRPr="00000000">
        <w:rPr>
          <w:rtl w:val="0"/>
        </w:rPr>
        <w:br w:type="textWrapping"/>
      </w:r>
      <w:r w:rsidDel="00000000" w:rsidR="00000000" w:rsidRPr="00000000">
        <w:rPr>
          <w:b w:val="1"/>
          <w:bCs w:val="1"/>
          <w:rtl w:val="0"/>
        </w:rPr>
        <w:t xml:space="preserve">1. Supply Chain &amp; Manufacturing</w:t>
      </w:r>
      <w:r w:rsidDel="00000000" w:rsidR="00000000" w:rsidRPr="00000000">
        <w:rPr>
          <w:rtl w:val="0"/>
        </w:rPr>
        <w:br w:type="textWrapping"/>
        <w:t xml:space="preserve">Cleanergy is a </w:t>
      </w:r>
      <w:r w:rsidDel="00000000" w:rsidR="00000000" w:rsidRPr="00000000">
        <w:rPr>
          <w:b w:val="1"/>
          <w:bCs w:val="1"/>
          <w:rtl w:val="0"/>
        </w:rPr>
        <w:t xml:space="preserve">Houston-based grid-scale battery-storage integrator</w:t>
      </w:r>
      <w:r w:rsidDel="00000000" w:rsidR="00000000" w:rsidRPr="00000000">
        <w:rPr>
          <w:rtl w:val="0"/>
        </w:rPr>
        <w:t xml:space="preserve">. It does not make cells. It procures major components and wraps them into a long-term lease model with maintenance and GridOS software.</w:t>
      </w:r>
    </w:p>
    <w:p w:rsidR="00000000" w:rsidDel="00000000" w:rsidP="00000000" w:rsidRDefault="00000000" w:rsidRPr="00000000" w14:paraId="0000004E">
      <w:pPr>
        <w:rPr/>
      </w:pPr>
      <w:r w:rsidDel="00000000" w:rsidR="00000000" w:rsidRPr="00000000">
        <w:rPr>
          <w:rtl w:val="0"/>
        </w:rPr>
        <w:t xml:space="preserve">Assessment supplier stack:</w:t>
      </w:r>
    </w:p>
    <w:p w:rsidR="00000000" w:rsidDel="00000000" w:rsidP="00000000" w:rsidRDefault="00000000" w:rsidRPr="00000000" w14:paraId="0000004F">
      <w:pPr>
        <w:numPr>
          <w:ilvl w:val="0"/>
          <w:numId w:val="3"/>
        </w:numPr>
        <w:ind w:left="720" w:hanging="360"/>
        <w:rPr/>
      </w:pPr>
      <w:r w:rsidDel="00000000" w:rsidR="00000000" w:rsidRPr="00000000">
        <w:rPr>
          <w:b w:val="1"/>
          <w:bCs w:val="1"/>
          <w:rtl w:val="0"/>
        </w:rPr>
        <w:t xml:space="preserve">CATL:</w:t>
      </w:r>
      <w:r w:rsidDel="00000000" w:rsidR="00000000" w:rsidRPr="00000000">
        <w:rPr>
          <w:rtl w:val="0"/>
        </w:rPr>
        <w:t xml:space="preserve"> primary battery cell provider.</w:t>
      </w:r>
    </w:p>
    <w:p w:rsidR="00000000" w:rsidDel="00000000" w:rsidP="00000000" w:rsidRDefault="00000000" w:rsidRPr="00000000" w14:paraId="00000050">
      <w:pPr>
        <w:numPr>
          <w:ilvl w:val="0"/>
          <w:numId w:val="3"/>
        </w:numPr>
        <w:ind w:left="720" w:hanging="360"/>
        <w:rPr/>
      </w:pPr>
      <w:r w:rsidDel="00000000" w:rsidR="00000000" w:rsidRPr="00000000">
        <w:rPr>
          <w:b w:val="1"/>
          <w:bCs w:val="1"/>
          <w:rtl w:val="0"/>
        </w:rPr>
        <w:t xml:space="preserve">LG Energy Solution:</w:t>
      </w:r>
      <w:r w:rsidDel="00000000" w:rsidR="00000000" w:rsidRPr="00000000">
        <w:rPr>
          <w:rtl w:val="0"/>
        </w:rPr>
        <w:t xml:space="preserve"> secondary battery cell provider.</w:t>
      </w:r>
    </w:p>
    <w:p w:rsidR="00000000" w:rsidDel="00000000" w:rsidP="00000000" w:rsidRDefault="00000000" w:rsidRPr="00000000" w14:paraId="00000051">
      <w:pPr>
        <w:numPr>
          <w:ilvl w:val="0"/>
          <w:numId w:val="3"/>
        </w:numPr>
        <w:ind w:left="720" w:hanging="360"/>
        <w:rPr/>
      </w:pPr>
      <w:r w:rsidDel="00000000" w:rsidR="00000000" w:rsidRPr="00000000">
        <w:rPr>
          <w:b w:val="1"/>
          <w:bCs w:val="1"/>
          <w:rtl w:val="0"/>
        </w:rPr>
        <w:t xml:space="preserve">Honeywell:</w:t>
      </w:r>
      <w:r w:rsidDel="00000000" w:rsidR="00000000" w:rsidRPr="00000000">
        <w:rPr>
          <w:rtl w:val="0"/>
        </w:rPr>
        <w:t xml:space="preserve"> power conversion systems.</w:t>
      </w:r>
    </w:p>
    <w:p w:rsidR="00000000" w:rsidDel="00000000" w:rsidP="00000000" w:rsidRDefault="00000000" w:rsidRPr="00000000" w14:paraId="00000052">
      <w:pPr>
        <w:numPr>
          <w:ilvl w:val="0"/>
          <w:numId w:val="3"/>
        </w:numPr>
        <w:ind w:left="720" w:hanging="360"/>
        <w:rPr/>
      </w:pPr>
      <w:r w:rsidDel="00000000" w:rsidR="00000000" w:rsidRPr="00000000">
        <w:rPr>
          <w:b w:val="1"/>
          <w:bCs w:val="1"/>
          <w:rtl w:val="0"/>
        </w:rPr>
        <w:t xml:space="preserve">Siemens:</w:t>
      </w:r>
      <w:r w:rsidDel="00000000" w:rsidR="00000000" w:rsidRPr="00000000">
        <w:rPr>
          <w:rtl w:val="0"/>
        </w:rPr>
        <w:t xml:space="preserve"> grid connection equipment.</w:t>
      </w:r>
    </w:p>
    <w:p w:rsidR="00000000" w:rsidDel="00000000" w:rsidP="00000000" w:rsidRDefault="00000000" w:rsidRPr="00000000" w14:paraId="00000053">
      <w:pPr>
        <w:numPr>
          <w:ilvl w:val="0"/>
          <w:numId w:val="3"/>
        </w:numPr>
        <w:ind w:left="720" w:hanging="360"/>
        <w:rPr/>
      </w:pPr>
      <w:r w:rsidDel="00000000" w:rsidR="00000000" w:rsidRPr="00000000">
        <w:rPr>
          <w:b w:val="1"/>
          <w:bCs w:val="1"/>
          <w:rtl w:val="0"/>
        </w:rPr>
        <w:t xml:space="preserve">Texas Instruments:</w:t>
      </w:r>
      <w:r w:rsidDel="00000000" w:rsidR="00000000" w:rsidRPr="00000000">
        <w:rPr>
          <w:rtl w:val="0"/>
        </w:rPr>
        <w:t xml:space="preserve"> embedded control systems.</w:t>
      </w:r>
    </w:p>
    <w:p w:rsidR="00000000" w:rsidDel="00000000" w:rsidP="00000000" w:rsidRDefault="00000000" w:rsidRPr="00000000" w14:paraId="00000054">
      <w:pPr>
        <w:numPr>
          <w:ilvl w:val="0"/>
          <w:numId w:val="3"/>
        </w:numPr>
        <w:ind w:left="720" w:hanging="360"/>
        <w:rPr/>
      </w:pPr>
      <w:r w:rsidDel="00000000" w:rsidR="00000000" w:rsidRPr="00000000">
        <w:rPr>
          <w:b w:val="1"/>
          <w:bCs w:val="1"/>
          <w:rtl w:val="0"/>
        </w:rPr>
        <w:t xml:space="preserve">Microsoft Azure:</w:t>
      </w:r>
      <w:r w:rsidDel="00000000" w:rsidR="00000000" w:rsidRPr="00000000">
        <w:rPr>
          <w:rtl w:val="0"/>
        </w:rPr>
        <w:t xml:space="preserve"> GridOS cloud infrastructure.</w:t>
      </w:r>
    </w:p>
    <w:p w:rsidR="00000000" w:rsidDel="00000000" w:rsidP="00000000" w:rsidRDefault="00000000" w:rsidRPr="00000000" w14:paraId="00000055">
      <w:pPr>
        <w:rPr/>
      </w:pPr>
      <w:r w:rsidDel="00000000" w:rsidR="00000000" w:rsidRPr="00000000">
        <w:rPr>
          <w:rtl w:val="0"/>
        </w:rPr>
        <w:t xml:space="preserve">Operational blueprint:</w:t>
      </w:r>
    </w:p>
    <w:p w:rsidR="00000000" w:rsidDel="00000000" w:rsidP="00000000" w:rsidRDefault="00000000" w:rsidRPr="00000000" w14:paraId="00000056">
      <w:pPr>
        <w:rPr/>
      </w:pPr>
      <w:r w:rsidDel="00000000" w:rsidR="00000000" w:rsidRPr="00000000">
        <w:rPr>
          <w:rtl w:val="0"/>
        </w:rPr>
        <w:t xml:space="preserve">CATL/LG cells → battery racks/modules + BMS → Honeywell PCS/inverters → Siemens transformers/switchgear/grid interconnection → TI embedded controls → Cleanergy integration/EPC/commissioning → GridOS on Azure → utility/developer lease + maintenance + optimization.</w:t>
      </w:r>
    </w:p>
    <w:p w:rsidR="00000000" w:rsidDel="00000000" w:rsidP="00000000" w:rsidRDefault="00000000" w:rsidRPr="00000000" w14:paraId="00000057">
      <w:pPr>
        <w:rPr/>
      </w:pPr>
      <w:r w:rsidDel="00000000" w:rsidR="00000000" w:rsidRPr="00000000">
        <w:rPr>
          <w:rtl w:val="0"/>
        </w:rPr>
        <w:t xml:space="preserve">This model is operationally complex. Cleanergy is not selling a simple product; it is underwriting:</w:t>
      </w:r>
    </w:p>
    <w:p w:rsidR="00000000" w:rsidDel="00000000" w:rsidP="00000000" w:rsidRDefault="00000000" w:rsidRPr="00000000" w14:paraId="00000058">
      <w:pPr>
        <w:numPr>
          <w:ilvl w:val="0"/>
          <w:numId w:val="4"/>
        </w:numPr>
        <w:ind w:left="720" w:hanging="360"/>
        <w:rPr/>
      </w:pPr>
      <w:r w:rsidDel="00000000" w:rsidR="00000000" w:rsidRPr="00000000">
        <w:rPr>
          <w:rtl w:val="0"/>
        </w:rPr>
        <w:t xml:space="preserve">Cell procurement.</w:t>
      </w:r>
    </w:p>
    <w:p w:rsidR="00000000" w:rsidDel="00000000" w:rsidP="00000000" w:rsidRDefault="00000000" w:rsidRPr="00000000" w14:paraId="00000059">
      <w:pPr>
        <w:numPr>
          <w:ilvl w:val="0"/>
          <w:numId w:val="4"/>
        </w:numPr>
        <w:ind w:left="720" w:hanging="360"/>
        <w:rPr/>
      </w:pPr>
      <w:r w:rsidDel="00000000" w:rsidR="00000000" w:rsidRPr="00000000">
        <w:rPr>
          <w:rtl w:val="0"/>
        </w:rPr>
        <w:t xml:space="preserve">EPC execution.</w:t>
      </w:r>
    </w:p>
    <w:p w:rsidR="00000000" w:rsidDel="00000000" w:rsidP="00000000" w:rsidRDefault="00000000" w:rsidRPr="00000000" w14:paraId="0000005A">
      <w:pPr>
        <w:numPr>
          <w:ilvl w:val="0"/>
          <w:numId w:val="4"/>
        </w:numPr>
        <w:ind w:left="720" w:hanging="360"/>
        <w:rPr/>
      </w:pPr>
      <w:r w:rsidDel="00000000" w:rsidR="00000000" w:rsidRPr="00000000">
        <w:rPr>
          <w:rtl w:val="0"/>
        </w:rPr>
        <w:t xml:space="preserve">Grid interconnection delays.</w:t>
      </w:r>
    </w:p>
    <w:p w:rsidR="00000000" w:rsidDel="00000000" w:rsidP="00000000" w:rsidRDefault="00000000" w:rsidRPr="00000000" w14:paraId="0000005B">
      <w:pPr>
        <w:numPr>
          <w:ilvl w:val="0"/>
          <w:numId w:val="4"/>
        </w:numPr>
        <w:ind w:left="720" w:hanging="360"/>
        <w:rPr/>
      </w:pPr>
      <w:r w:rsidDel="00000000" w:rsidR="00000000" w:rsidRPr="00000000">
        <w:rPr>
          <w:rtl w:val="0"/>
        </w:rPr>
        <w:t xml:space="preserve">Battery degradation.</w:t>
      </w:r>
    </w:p>
    <w:p w:rsidR="00000000" w:rsidDel="00000000" w:rsidP="00000000" w:rsidRDefault="00000000" w:rsidRPr="00000000" w14:paraId="0000005C">
      <w:pPr>
        <w:numPr>
          <w:ilvl w:val="0"/>
          <w:numId w:val="4"/>
        </w:numPr>
        <w:ind w:left="720" w:hanging="360"/>
        <w:rPr/>
      </w:pPr>
      <w:r w:rsidDel="00000000" w:rsidR="00000000" w:rsidRPr="00000000">
        <w:rPr>
          <w:rtl w:val="0"/>
        </w:rPr>
        <w:t xml:space="preserve">Performance guarantees.</w:t>
      </w:r>
    </w:p>
    <w:p w:rsidR="00000000" w:rsidDel="00000000" w:rsidP="00000000" w:rsidRDefault="00000000" w:rsidRPr="00000000" w14:paraId="0000005D">
      <w:pPr>
        <w:numPr>
          <w:ilvl w:val="0"/>
          <w:numId w:val="4"/>
        </w:numPr>
        <w:ind w:left="720" w:hanging="360"/>
        <w:rPr/>
      </w:pPr>
      <w:r w:rsidDel="00000000" w:rsidR="00000000" w:rsidRPr="00000000">
        <w:rPr>
          <w:rtl w:val="0"/>
        </w:rPr>
        <w:t xml:space="preserve">Software uptime.</w:t>
      </w:r>
    </w:p>
    <w:p w:rsidR="00000000" w:rsidDel="00000000" w:rsidP="00000000" w:rsidRDefault="00000000" w:rsidRPr="00000000" w14:paraId="0000005E">
      <w:pPr>
        <w:numPr>
          <w:ilvl w:val="0"/>
          <w:numId w:val="4"/>
        </w:numPr>
        <w:ind w:left="720" w:hanging="360"/>
        <w:rPr/>
      </w:pPr>
      <w:r w:rsidDel="00000000" w:rsidR="00000000" w:rsidRPr="00000000">
        <w:rPr>
          <w:rtl w:val="0"/>
        </w:rPr>
        <w:t xml:space="preserve">Long-term maintenance.</w:t>
      </w:r>
    </w:p>
    <w:p w:rsidR="00000000" w:rsidDel="00000000" w:rsidP="00000000" w:rsidRDefault="00000000" w:rsidRPr="00000000" w14:paraId="0000005F">
      <w:pPr>
        <w:numPr>
          <w:ilvl w:val="0"/>
          <w:numId w:val="4"/>
        </w:numPr>
        <w:ind w:left="720" w:hanging="360"/>
        <w:rPr/>
      </w:pPr>
      <w:r w:rsidDel="00000000" w:rsidR="00000000" w:rsidRPr="00000000">
        <w:rPr>
          <w:rtl w:val="0"/>
        </w:rPr>
        <w:t xml:space="preserve">Customer credit quality.</w:t>
      </w:r>
    </w:p>
    <w:p w:rsidR="00000000" w:rsidDel="00000000" w:rsidP="00000000" w:rsidRDefault="00000000" w:rsidRPr="00000000" w14:paraId="00000060">
      <w:pPr>
        <w:rPr/>
      </w:pPr>
      <w:r w:rsidDel="00000000" w:rsidR="00000000" w:rsidRPr="00000000">
        <w:rPr>
          <w:rtl w:val="0"/>
        </w:rPr>
        <w:t xml:space="preserve">The demand backdrop is genuinely strong. IEA says grid-scale battery storage must grow dramatically in the Net Zero Scenario, expanding </w:t>
      </w:r>
      <w:r w:rsidDel="00000000" w:rsidR="00000000" w:rsidRPr="00000000">
        <w:rPr>
          <w:b w:val="1"/>
          <w:bCs w:val="1"/>
          <w:rtl w:val="0"/>
        </w:rPr>
        <w:t xml:space="preserve">35-fold from 2022 to 2030</w:t>
      </w:r>
      <w:r w:rsidDel="00000000" w:rsidR="00000000" w:rsidRPr="00000000">
        <w:rPr>
          <w:rtl w:val="0"/>
        </w:rPr>
        <w:t xml:space="preserve"> to nearly 970 GW. The US backdrop is also favorable: EIA reported that planned 2026 US utility-scale additions are led by solar and battery storage, with battery storage representing </w:t>
      </w:r>
      <w:r w:rsidDel="00000000" w:rsidR="00000000" w:rsidRPr="00000000">
        <w:rPr>
          <w:b w:val="1"/>
          <w:bCs w:val="1"/>
          <w:rtl w:val="0"/>
        </w:rPr>
        <w:t xml:space="preserve">28%</w:t>
      </w:r>
      <w:r w:rsidDel="00000000" w:rsidR="00000000" w:rsidRPr="00000000">
        <w:rPr>
          <w:rtl w:val="0"/>
        </w:rPr>
        <w:t xml:space="preserve"> of planned additions.</w:t>
      </w:r>
    </w:p>
    <w:p w:rsidR="00000000" w:rsidDel="00000000" w:rsidP="00000000" w:rsidRDefault="00000000" w:rsidRPr="00000000" w14:paraId="00000061">
      <w:pPr>
        <w:rPr/>
      </w:pPr>
      <w:r w:rsidDel="00000000" w:rsidR="00000000" w:rsidRPr="00000000">
        <w:rPr>
          <w:rtl w:val="0"/>
        </w:rPr>
        <w:t xml:space="preserve">But the supply chain is more fragile than Orion’s in one important way: </w:t>
      </w:r>
      <w:r w:rsidDel="00000000" w:rsidR="00000000" w:rsidRPr="00000000">
        <w:rPr>
          <w:b w:val="1"/>
          <w:bCs w:val="1"/>
          <w:rtl w:val="0"/>
        </w:rPr>
        <w:t xml:space="preserve">battery storage is policy-sensitive and commodity-sensitive.</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CATL is extremely strong, but it is China-based. CATL reported 2025 energy-storage battery shipments equal to </w:t>
      </w:r>
      <w:r w:rsidDel="00000000" w:rsidR="00000000" w:rsidRPr="00000000">
        <w:rPr>
          <w:b w:val="1"/>
          <w:bCs w:val="1"/>
          <w:rtl w:val="0"/>
        </w:rPr>
        <w:t xml:space="preserve">30.4% of the global market</w:t>
      </w:r>
      <w:r w:rsidDel="00000000" w:rsidR="00000000" w:rsidRPr="00000000">
        <w:rPr>
          <w:rtl w:val="0"/>
        </w:rPr>
        <w:t xml:space="preserve">, ranking first globally for five consecutive years. That makes CATL a great supplier operationally, but a risky supplier politically. LGES reduces that risk and is building North American ESS capacity, targeting more than </w:t>
      </w:r>
      <w:r w:rsidDel="00000000" w:rsidR="00000000" w:rsidRPr="00000000">
        <w:rPr>
          <w:b w:val="1"/>
          <w:bCs w:val="1"/>
          <w:rtl w:val="0"/>
        </w:rPr>
        <w:t xml:space="preserve">30 GWh annual ESS production capacity in North America by end-2026</w:t>
      </w: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Bottlenecks:</w:t>
      </w:r>
    </w:p>
    <w:p w:rsidR="00000000" w:rsidDel="00000000" w:rsidP="00000000" w:rsidRDefault="00000000" w:rsidRPr="00000000" w14:paraId="00000064">
      <w:pPr>
        <w:numPr>
          <w:ilvl w:val="0"/>
          <w:numId w:val="5"/>
        </w:numPr>
        <w:ind w:left="720" w:hanging="360"/>
        <w:rPr/>
      </w:pPr>
      <w:r w:rsidDel="00000000" w:rsidR="00000000" w:rsidRPr="00000000">
        <w:rPr>
          <w:rtl w:val="0"/>
        </w:rPr>
        <w:t xml:space="preserve">Battery-cell availability and chemistry choice, especially LFP.</w:t>
      </w:r>
    </w:p>
    <w:p w:rsidR="00000000" w:rsidDel="00000000" w:rsidP="00000000" w:rsidRDefault="00000000" w:rsidRPr="00000000" w14:paraId="00000065">
      <w:pPr>
        <w:numPr>
          <w:ilvl w:val="0"/>
          <w:numId w:val="5"/>
        </w:numPr>
        <w:ind w:left="720" w:hanging="360"/>
        <w:rPr/>
      </w:pPr>
      <w:r w:rsidDel="00000000" w:rsidR="00000000" w:rsidRPr="00000000">
        <w:rPr>
          <w:rtl w:val="0"/>
        </w:rPr>
        <w:t xml:space="preserve">Tariffs and domestic-content rules.</w:t>
      </w:r>
    </w:p>
    <w:p w:rsidR="00000000" w:rsidDel="00000000" w:rsidP="00000000" w:rsidRDefault="00000000" w:rsidRPr="00000000" w14:paraId="00000066">
      <w:pPr>
        <w:numPr>
          <w:ilvl w:val="0"/>
          <w:numId w:val="5"/>
        </w:numPr>
        <w:ind w:left="720" w:hanging="360"/>
        <w:rPr/>
      </w:pPr>
      <w:r w:rsidDel="00000000" w:rsidR="00000000" w:rsidRPr="00000000">
        <w:rPr>
          <w:rtl w:val="0"/>
        </w:rPr>
        <w:t xml:space="preserve">Grid interconnection queues.</w:t>
      </w:r>
    </w:p>
    <w:p w:rsidR="00000000" w:rsidDel="00000000" w:rsidP="00000000" w:rsidRDefault="00000000" w:rsidRPr="00000000" w14:paraId="00000067">
      <w:pPr>
        <w:numPr>
          <w:ilvl w:val="0"/>
          <w:numId w:val="5"/>
        </w:numPr>
        <w:ind w:left="720" w:hanging="360"/>
        <w:rPr/>
      </w:pPr>
      <w:r w:rsidDel="00000000" w:rsidR="00000000" w:rsidRPr="00000000">
        <w:rPr>
          <w:rtl w:val="0"/>
        </w:rPr>
        <w:t xml:space="preserve">Transformer/switchgear lead times.</w:t>
      </w:r>
    </w:p>
    <w:p w:rsidR="00000000" w:rsidDel="00000000" w:rsidP="00000000" w:rsidRDefault="00000000" w:rsidRPr="00000000" w14:paraId="00000068">
      <w:pPr>
        <w:numPr>
          <w:ilvl w:val="0"/>
          <w:numId w:val="5"/>
        </w:numPr>
        <w:ind w:left="720" w:hanging="360"/>
        <w:rPr/>
      </w:pPr>
      <w:r w:rsidDel="00000000" w:rsidR="00000000" w:rsidRPr="00000000">
        <w:rPr>
          <w:rtl w:val="0"/>
        </w:rPr>
        <w:t xml:space="preserve">Fire safety/permitting.</w:t>
      </w:r>
    </w:p>
    <w:p w:rsidR="00000000" w:rsidDel="00000000" w:rsidP="00000000" w:rsidRDefault="00000000" w:rsidRPr="00000000" w14:paraId="00000069">
      <w:pPr>
        <w:numPr>
          <w:ilvl w:val="0"/>
          <w:numId w:val="5"/>
        </w:numPr>
        <w:ind w:left="720" w:hanging="360"/>
        <w:rPr/>
      </w:pPr>
      <w:r w:rsidDel="00000000" w:rsidR="00000000" w:rsidRPr="00000000">
        <w:rPr>
          <w:rtl w:val="0"/>
        </w:rPr>
        <w:t xml:space="preserve">Warranty reserves and battery degradation.</w:t>
      </w:r>
    </w:p>
    <w:p w:rsidR="00000000" w:rsidDel="00000000" w:rsidP="00000000" w:rsidRDefault="00000000" w:rsidRPr="00000000" w14:paraId="0000006A">
      <w:pPr>
        <w:numPr>
          <w:ilvl w:val="0"/>
          <w:numId w:val="5"/>
        </w:numPr>
        <w:ind w:left="720" w:hanging="360"/>
        <w:rPr/>
      </w:pPr>
      <w:r w:rsidDel="00000000" w:rsidR="00000000" w:rsidRPr="00000000">
        <w:rPr>
          <w:rtl w:val="0"/>
        </w:rPr>
        <w:t xml:space="preserve">Working capital: lease model means Cleanergy may fund hardware upfront and collect over time.</w:t>
      </w:r>
    </w:p>
    <w:p w:rsidR="00000000" w:rsidDel="00000000" w:rsidP="00000000" w:rsidRDefault="00000000" w:rsidRPr="00000000" w14:paraId="0000006B">
      <w:pPr>
        <w:rPr/>
      </w:pPr>
      <w:r w:rsidDel="00000000" w:rsidR="00000000" w:rsidRPr="00000000">
        <w:rPr>
          <w:b w:val="1"/>
          <w:bCs w:val="1"/>
          <w:rtl w:val="0"/>
        </w:rPr>
        <w:t xml:space="preserve">2. Client &amp; Customer Landscape</w:t>
      </w:r>
      <w:r w:rsidDel="00000000" w:rsidR="00000000" w:rsidRPr="00000000">
        <w:rPr>
          <w:rtl w:val="0"/>
        </w:rPr>
        <w:br w:type="textWrapping"/>
        <w:t xml:space="preserve">Assessment customer split:</w:t>
      </w:r>
    </w:p>
    <w:p w:rsidR="00000000" w:rsidDel="00000000" w:rsidP="00000000" w:rsidRDefault="00000000" w:rsidRPr="00000000" w14:paraId="0000006C">
      <w:pPr>
        <w:numPr>
          <w:ilvl w:val="0"/>
          <w:numId w:val="6"/>
        </w:numPr>
        <w:ind w:left="720" w:hanging="360"/>
        <w:rPr/>
      </w:pPr>
      <w:r w:rsidDel="00000000" w:rsidR="00000000" w:rsidRPr="00000000">
        <w:rPr>
          <w:rtl w:val="0"/>
        </w:rPr>
        <w:t xml:space="preserve">Duke Energy: </w:t>
      </w:r>
      <w:r w:rsidDel="00000000" w:rsidR="00000000" w:rsidRPr="00000000">
        <w:rPr>
          <w:b w:val="1"/>
          <w:bCs w:val="1"/>
          <w:rtl w:val="0"/>
        </w:rPr>
        <w:t xml:space="preserve">32%</w:t>
      </w:r>
      <w:r w:rsidDel="00000000" w:rsidR="00000000" w:rsidRPr="00000000">
        <w:rPr>
          <w:rtl w:val="0"/>
        </w:rPr>
      </w:r>
    </w:p>
    <w:p w:rsidR="00000000" w:rsidDel="00000000" w:rsidP="00000000" w:rsidRDefault="00000000" w:rsidRPr="00000000" w14:paraId="0000006D">
      <w:pPr>
        <w:numPr>
          <w:ilvl w:val="0"/>
          <w:numId w:val="6"/>
        </w:numPr>
        <w:ind w:left="720" w:hanging="360"/>
        <w:rPr/>
      </w:pPr>
      <w:r w:rsidDel="00000000" w:rsidR="00000000" w:rsidRPr="00000000">
        <w:rPr>
          <w:rtl w:val="0"/>
        </w:rPr>
        <w:t xml:space="preserve">NextEra Energy Development: </w:t>
      </w:r>
      <w:r w:rsidDel="00000000" w:rsidR="00000000" w:rsidRPr="00000000">
        <w:rPr>
          <w:b w:val="1"/>
          <w:bCs w:val="1"/>
          <w:rtl w:val="0"/>
        </w:rPr>
        <w:t xml:space="preserve">24%</w:t>
      </w:r>
      <w:r w:rsidDel="00000000" w:rsidR="00000000" w:rsidRPr="00000000">
        <w:rPr>
          <w:rtl w:val="0"/>
        </w:rPr>
      </w:r>
    </w:p>
    <w:p w:rsidR="00000000" w:rsidDel="00000000" w:rsidP="00000000" w:rsidRDefault="00000000" w:rsidRPr="00000000" w14:paraId="0000006E">
      <w:pPr>
        <w:numPr>
          <w:ilvl w:val="0"/>
          <w:numId w:val="6"/>
        </w:numPr>
        <w:ind w:left="720" w:hanging="360"/>
        <w:rPr/>
      </w:pPr>
      <w:r w:rsidDel="00000000" w:rsidR="00000000" w:rsidRPr="00000000">
        <w:rPr>
          <w:rtl w:val="0"/>
        </w:rPr>
        <w:t xml:space="preserve">Dominion Energy: </w:t>
      </w:r>
      <w:r w:rsidDel="00000000" w:rsidR="00000000" w:rsidRPr="00000000">
        <w:rPr>
          <w:b w:val="1"/>
          <w:bCs w:val="1"/>
          <w:rtl w:val="0"/>
        </w:rPr>
        <w:t xml:space="preserve">18%</w:t>
      </w:r>
      <w:r w:rsidDel="00000000" w:rsidR="00000000" w:rsidRPr="00000000">
        <w:rPr>
          <w:rtl w:val="0"/>
        </w:rPr>
      </w:r>
    </w:p>
    <w:p w:rsidR="00000000" w:rsidDel="00000000" w:rsidP="00000000" w:rsidRDefault="00000000" w:rsidRPr="00000000" w14:paraId="0000006F">
      <w:pPr>
        <w:numPr>
          <w:ilvl w:val="0"/>
          <w:numId w:val="6"/>
        </w:numPr>
        <w:ind w:left="720" w:hanging="360"/>
        <w:rPr/>
      </w:pPr>
      <w:r w:rsidDel="00000000" w:rsidR="00000000" w:rsidRPr="00000000">
        <w:rPr>
          <w:rtl w:val="0"/>
        </w:rPr>
        <w:t xml:space="preserve">Project Sunbelt: </w:t>
      </w:r>
      <w:r w:rsidDel="00000000" w:rsidR="00000000" w:rsidRPr="00000000">
        <w:rPr>
          <w:b w:val="1"/>
          <w:bCs w:val="1"/>
          <w:rtl w:val="0"/>
        </w:rPr>
        <w:t xml:space="preserve">14%</w:t>
      </w:r>
      <w:r w:rsidDel="00000000" w:rsidR="00000000" w:rsidRPr="00000000">
        <w:rPr>
          <w:rtl w:val="0"/>
        </w:rPr>
      </w:r>
    </w:p>
    <w:p w:rsidR="00000000" w:rsidDel="00000000" w:rsidP="00000000" w:rsidRDefault="00000000" w:rsidRPr="00000000" w14:paraId="00000070">
      <w:pPr>
        <w:numPr>
          <w:ilvl w:val="0"/>
          <w:numId w:val="6"/>
        </w:numPr>
        <w:ind w:left="720" w:hanging="360"/>
        <w:rPr/>
      </w:pPr>
      <w:r w:rsidDel="00000000" w:rsidR="00000000" w:rsidRPr="00000000">
        <w:rPr>
          <w:rtl w:val="0"/>
        </w:rPr>
        <w:t xml:space="preserve">Enel Green Power: </w:t>
      </w:r>
      <w:r w:rsidDel="00000000" w:rsidR="00000000" w:rsidRPr="00000000">
        <w:rPr>
          <w:b w:val="1"/>
          <w:bCs w:val="1"/>
          <w:rtl w:val="0"/>
        </w:rPr>
        <w:t xml:space="preserve">8%</w:t>
      </w:r>
      <w:r w:rsidDel="00000000" w:rsidR="00000000" w:rsidRPr="00000000">
        <w:rPr>
          <w:rtl w:val="0"/>
        </w:rPr>
      </w:r>
    </w:p>
    <w:p w:rsidR="00000000" w:rsidDel="00000000" w:rsidP="00000000" w:rsidRDefault="00000000" w:rsidRPr="00000000" w14:paraId="00000071">
      <w:pPr>
        <w:numPr>
          <w:ilvl w:val="0"/>
          <w:numId w:val="6"/>
        </w:numPr>
        <w:ind w:left="720" w:hanging="360"/>
        <w:rPr/>
      </w:pPr>
      <w:r w:rsidDel="00000000" w:rsidR="00000000" w:rsidRPr="00000000">
        <w:rPr>
          <w:rtl w:val="0"/>
        </w:rPr>
        <w:t xml:space="preserve">Other: </w:t>
      </w:r>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Customer concentration:</w:t>
      </w:r>
    </w:p>
    <w:p w:rsidR="00000000" w:rsidDel="00000000" w:rsidP="00000000" w:rsidRDefault="00000000" w:rsidRPr="00000000" w14:paraId="00000073">
      <w:pPr>
        <w:numPr>
          <w:ilvl w:val="0"/>
          <w:numId w:val="7"/>
        </w:numPr>
        <w:ind w:left="720" w:hanging="360"/>
        <w:rPr/>
      </w:pPr>
      <w:r w:rsidDel="00000000" w:rsidR="00000000" w:rsidRPr="00000000">
        <w:rPr>
          <w:rtl w:val="0"/>
        </w:rPr>
        <w:t xml:space="preserve">Top 2: </w:t>
      </w:r>
      <w:r w:rsidDel="00000000" w:rsidR="00000000" w:rsidRPr="00000000">
        <w:rPr>
          <w:b w:val="1"/>
          <w:bCs w:val="1"/>
          <w:rtl w:val="0"/>
        </w:rPr>
        <w:t xml:space="preserve">56%</w:t>
      </w:r>
      <w:r w:rsidDel="00000000" w:rsidR="00000000" w:rsidRPr="00000000">
        <w:rPr>
          <w:rtl w:val="0"/>
        </w:rPr>
      </w:r>
    </w:p>
    <w:p w:rsidR="00000000" w:rsidDel="00000000" w:rsidP="00000000" w:rsidRDefault="00000000" w:rsidRPr="00000000" w14:paraId="00000074">
      <w:pPr>
        <w:numPr>
          <w:ilvl w:val="0"/>
          <w:numId w:val="7"/>
        </w:numPr>
        <w:ind w:left="720" w:hanging="360"/>
        <w:rPr/>
      </w:pPr>
      <w:r w:rsidDel="00000000" w:rsidR="00000000" w:rsidRPr="00000000">
        <w:rPr>
          <w:rtl w:val="0"/>
        </w:rPr>
        <w:t xml:space="preserve">Top 3: </w:t>
      </w:r>
      <w:r w:rsidDel="00000000" w:rsidR="00000000" w:rsidRPr="00000000">
        <w:rPr>
          <w:b w:val="1"/>
          <w:bCs w:val="1"/>
          <w:rtl w:val="0"/>
        </w:rPr>
        <w:t xml:space="preserve">74%</w:t>
      </w:r>
      <w:r w:rsidDel="00000000" w:rsidR="00000000" w:rsidRPr="00000000">
        <w:rPr>
          <w:rtl w:val="0"/>
        </w:rPr>
      </w:r>
    </w:p>
    <w:p w:rsidR="00000000" w:rsidDel="00000000" w:rsidP="00000000" w:rsidRDefault="00000000" w:rsidRPr="00000000" w14:paraId="00000075">
      <w:pPr>
        <w:numPr>
          <w:ilvl w:val="0"/>
          <w:numId w:val="7"/>
        </w:numPr>
        <w:ind w:left="720" w:hanging="360"/>
        <w:rPr/>
      </w:pPr>
      <w:r w:rsidDel="00000000" w:rsidR="00000000" w:rsidRPr="00000000">
        <w:rPr>
          <w:rtl w:val="0"/>
        </w:rPr>
        <w:t xml:space="preserve">Top 4: </w:t>
      </w:r>
      <w:r w:rsidDel="00000000" w:rsidR="00000000" w:rsidRPr="00000000">
        <w:rPr>
          <w:b w:val="1"/>
          <w:bCs w:val="1"/>
          <w:rtl w:val="0"/>
        </w:rPr>
        <w:t xml:space="preserve">88%</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is even more concentrated than Orion. The twist: </w:t>
      </w:r>
      <w:r w:rsidDel="00000000" w:rsidR="00000000" w:rsidRPr="00000000">
        <w:rPr>
          <w:b w:val="1"/>
          <w:bCs w:val="1"/>
          <w:rtl w:val="0"/>
        </w:rPr>
        <w:t xml:space="preserve">NextEra and Dominion announced a proposed combination on May 18, 2026</w:t>
      </w:r>
      <w:r w:rsidDel="00000000" w:rsidR="00000000" w:rsidRPr="00000000">
        <w:rPr>
          <w:rtl w:val="0"/>
        </w:rPr>
        <w:t xml:space="preserve">. If that merger closes, Cleanergy’s “separate” NextEra and Dominion exposure effectively becomes one combined customer bloc worth </w:t>
      </w:r>
      <w:r w:rsidDel="00000000" w:rsidR="00000000" w:rsidRPr="00000000">
        <w:rPr>
          <w:b w:val="1"/>
          <w:bCs w:val="1"/>
          <w:rtl w:val="0"/>
        </w:rPr>
        <w:t xml:space="preserve">42%</w:t>
      </w:r>
      <w:r w:rsidDel="00000000" w:rsidR="00000000" w:rsidRPr="00000000">
        <w:rPr>
          <w:rtl w:val="0"/>
        </w:rPr>
        <w:t xml:space="preserve"> of annual revenue. That is a major diligence item.</w:t>
      </w:r>
    </w:p>
    <w:p w:rsidR="00000000" w:rsidDel="00000000" w:rsidP="00000000" w:rsidRDefault="00000000" w:rsidRPr="00000000" w14:paraId="00000077">
      <w:pPr>
        <w:rPr/>
      </w:pPr>
      <w:r w:rsidDel="00000000" w:rsidR="00000000" w:rsidRPr="00000000">
        <w:rPr>
          <w:rtl w:val="0"/>
        </w:rPr>
        <w:t xml:space="preserve">Customer stickiness is high if contracts are long-term leases with maintenance and software. Utilities do not swap core grid infrastructure casually. But customer bargaining power is also high: Duke, NextEra, Dominion, and Enel are sophisticated buyers with procurement leverage.</w:t>
      </w:r>
    </w:p>
    <w:p w:rsidR="00000000" w:rsidDel="00000000" w:rsidP="00000000" w:rsidRDefault="00000000" w:rsidRPr="00000000" w14:paraId="00000078">
      <w:pPr>
        <w:rPr/>
      </w:pPr>
      <w:r w:rsidDel="00000000" w:rsidR="00000000" w:rsidRPr="00000000">
        <w:rPr>
          <w:rtl w:val="0"/>
        </w:rPr>
        <w:t xml:space="preserve">Client-by-client:</w:t>
      </w:r>
    </w:p>
    <w:p w:rsidR="00000000" w:rsidDel="00000000" w:rsidP="00000000" w:rsidRDefault="00000000" w:rsidRPr="00000000" w14:paraId="00000079">
      <w:pPr>
        <w:numPr>
          <w:ilvl w:val="0"/>
          <w:numId w:val="8"/>
        </w:numPr>
        <w:ind w:left="720" w:hanging="360"/>
        <w:rPr/>
      </w:pPr>
      <w:r w:rsidDel="00000000" w:rsidR="00000000" w:rsidRPr="00000000">
        <w:rPr>
          <w:b w:val="1"/>
          <w:bCs w:val="1"/>
          <w:rtl w:val="0"/>
        </w:rPr>
        <w:t xml:space="preserve">Duke Energy:</w:t>
      </w:r>
      <w:r w:rsidDel="00000000" w:rsidR="00000000" w:rsidRPr="00000000">
        <w:rPr>
          <w:rtl w:val="0"/>
        </w:rPr>
        <w:t xml:space="preserve"> credible storage customer. Duke states it has battery storage in service and under construction and projects nearly </w:t>
      </w:r>
      <w:r w:rsidDel="00000000" w:rsidR="00000000" w:rsidRPr="00000000">
        <w:rPr>
          <w:b w:val="1"/>
          <w:bCs w:val="1"/>
          <w:rtl w:val="0"/>
        </w:rPr>
        <w:t xml:space="preserve">30,000 MW of energy storage by 2050</w:t>
      </w:r>
      <w:r w:rsidDel="00000000" w:rsidR="00000000" w:rsidRPr="00000000">
        <w:rPr>
          <w:rtl w:val="0"/>
        </w:rPr>
        <w:t xml:space="preserve">.</w:t>
      </w:r>
    </w:p>
    <w:p w:rsidR="00000000" w:rsidDel="00000000" w:rsidP="00000000" w:rsidRDefault="00000000" w:rsidRPr="00000000" w14:paraId="0000007A">
      <w:pPr>
        <w:numPr>
          <w:ilvl w:val="0"/>
          <w:numId w:val="8"/>
        </w:numPr>
        <w:ind w:left="720" w:hanging="360"/>
        <w:rPr/>
      </w:pPr>
      <w:r w:rsidDel="00000000" w:rsidR="00000000" w:rsidRPr="00000000">
        <w:rPr>
          <w:b w:val="1"/>
          <w:bCs w:val="1"/>
          <w:rtl w:val="0"/>
        </w:rPr>
        <w:t xml:space="preserve">NextEra Energy Development:</w:t>
      </w:r>
      <w:r w:rsidDel="00000000" w:rsidR="00000000" w:rsidRPr="00000000">
        <w:rPr>
          <w:rtl w:val="0"/>
        </w:rPr>
        <w:t xml:space="preserve"> highly strategic renewable/storage buyer, but post-merger concentration risk increases.</w:t>
      </w:r>
    </w:p>
    <w:p w:rsidR="00000000" w:rsidDel="00000000" w:rsidP="00000000" w:rsidRDefault="00000000" w:rsidRPr="00000000" w14:paraId="0000007B">
      <w:pPr>
        <w:numPr>
          <w:ilvl w:val="0"/>
          <w:numId w:val="8"/>
        </w:numPr>
        <w:ind w:left="720" w:hanging="360"/>
        <w:rPr/>
      </w:pPr>
      <w:r w:rsidDel="00000000" w:rsidR="00000000" w:rsidRPr="00000000">
        <w:rPr>
          <w:b w:val="1"/>
          <w:bCs w:val="1"/>
          <w:rtl w:val="0"/>
        </w:rPr>
        <w:t xml:space="preserve">Dominion:</w:t>
      </w:r>
      <w:r w:rsidDel="00000000" w:rsidR="00000000" w:rsidRPr="00000000">
        <w:rPr>
          <w:rtl w:val="0"/>
        </w:rPr>
        <w:t xml:space="preserve"> storage adoption exists but currently more pilot/regulated-project oriented; Dominion has received regulatory approval for specific storage projects.</w:t>
      </w:r>
    </w:p>
    <w:p w:rsidR="00000000" w:rsidDel="00000000" w:rsidP="00000000" w:rsidRDefault="00000000" w:rsidRPr="00000000" w14:paraId="0000007C">
      <w:pPr>
        <w:numPr>
          <w:ilvl w:val="0"/>
          <w:numId w:val="8"/>
        </w:numPr>
        <w:ind w:left="720" w:hanging="360"/>
        <w:rPr/>
      </w:pPr>
      <w:r w:rsidDel="00000000" w:rsidR="00000000" w:rsidRPr="00000000">
        <w:rPr>
          <w:b w:val="1"/>
          <w:bCs w:val="1"/>
          <w:rtl w:val="0"/>
        </w:rPr>
        <w:t xml:space="preserve">Enel Green Power:</w:t>
      </w:r>
      <w:r w:rsidDel="00000000" w:rsidR="00000000" w:rsidRPr="00000000">
        <w:rPr>
          <w:rtl w:val="0"/>
        </w:rPr>
        <w:t xml:space="preserve"> credible global renewables/storage operator; Enel notes that BESS is key to flexible grids and had reached 1 GW of installed BESS capacity in Italy in early 2025.</w:t>
      </w:r>
    </w:p>
    <w:p w:rsidR="00000000" w:rsidDel="00000000" w:rsidP="00000000" w:rsidRDefault="00000000" w:rsidRPr="00000000" w14:paraId="0000007D">
      <w:pPr>
        <w:numPr>
          <w:ilvl w:val="0"/>
          <w:numId w:val="8"/>
        </w:numPr>
        <w:ind w:left="720" w:hanging="360"/>
        <w:rPr/>
      </w:pPr>
      <w:r w:rsidDel="00000000" w:rsidR="00000000" w:rsidRPr="00000000">
        <w:rPr>
          <w:b w:val="1"/>
          <w:bCs w:val="1"/>
          <w:rtl w:val="0"/>
        </w:rPr>
        <w:t xml:space="preserve">Project Sunbelt:</w:t>
      </w:r>
      <w:r w:rsidDel="00000000" w:rsidR="00000000" w:rsidRPr="00000000">
        <w:rPr>
          <w:rtl w:val="0"/>
        </w:rPr>
        <w:t xml:space="preserve"> undisclosed. This is a real red flag because 14% revenue from a named-but-not-named customer can hide development, credit, or cancellation risk.</w:t>
      </w:r>
    </w:p>
    <w:p w:rsidR="00000000" w:rsidDel="00000000" w:rsidP="00000000" w:rsidRDefault="00000000" w:rsidRPr="00000000" w14:paraId="0000007E">
      <w:pPr>
        <w:rPr/>
      </w:pPr>
      <w:r w:rsidDel="00000000" w:rsidR="00000000" w:rsidRPr="00000000">
        <w:rPr>
          <w:b w:val="1"/>
          <w:bCs w:val="1"/>
          <w:rtl w:val="0"/>
        </w:rPr>
        <w:t xml:space="preserve">3. Geographic Footprint</w:t>
      </w:r>
      <w:r w:rsidDel="00000000" w:rsidR="00000000" w:rsidRPr="00000000">
        <w:rPr>
          <w:rtl w:val="0"/>
        </w:rPr>
      </w:r>
    </w:p>
    <w:p w:rsidR="00000000" w:rsidDel="00000000" w:rsidP="00000000" w:rsidRDefault="00000000" w:rsidRPr="00000000" w14:paraId="0000007F">
      <w:pPr>
        <w:numPr>
          <w:ilvl w:val="0"/>
          <w:numId w:val="9"/>
        </w:numPr>
        <w:ind w:left="720" w:hanging="360"/>
        <w:rPr/>
      </w:pPr>
      <w:r w:rsidDel="00000000" w:rsidR="00000000" w:rsidRPr="00000000">
        <w:rPr>
          <w:rtl w:val="0"/>
        </w:rPr>
        <w:t xml:space="preserve">HQ: Houston, Texas.</w:t>
      </w:r>
    </w:p>
    <w:p w:rsidR="00000000" w:rsidDel="00000000" w:rsidP="00000000" w:rsidRDefault="00000000" w:rsidRPr="00000000" w14:paraId="00000080">
      <w:pPr>
        <w:numPr>
          <w:ilvl w:val="0"/>
          <w:numId w:val="9"/>
        </w:numPr>
        <w:ind w:left="720" w:hanging="360"/>
        <w:rPr/>
      </w:pPr>
      <w:r w:rsidDel="00000000" w:rsidR="00000000" w:rsidRPr="00000000">
        <w:rPr>
          <w:rtl w:val="0"/>
        </w:rPr>
        <w:t xml:space="preserve">Supplier exposure: China via CATL; Korea/US via LGES; US/EU industrial suppliers via Honeywell/Siemens/TI; Azure global cloud.</w:t>
      </w:r>
    </w:p>
    <w:p w:rsidR="00000000" w:rsidDel="00000000" w:rsidP="00000000" w:rsidRDefault="00000000" w:rsidRPr="00000000" w14:paraId="00000081">
      <w:pPr>
        <w:numPr>
          <w:ilvl w:val="0"/>
          <w:numId w:val="9"/>
        </w:numPr>
        <w:ind w:left="720" w:hanging="360"/>
        <w:rPr/>
      </w:pPr>
      <w:r w:rsidDel="00000000" w:rsidR="00000000" w:rsidRPr="00000000">
        <w:rPr>
          <w:rtl w:val="0"/>
        </w:rPr>
        <w:t xml:space="preserve">Client markets: primarily US utilities and renewable developers, with some global exposure through Enel.</w:t>
      </w:r>
    </w:p>
    <w:p w:rsidR="00000000" w:rsidDel="00000000" w:rsidP="00000000" w:rsidRDefault="00000000" w:rsidRPr="00000000" w14:paraId="00000082">
      <w:pPr>
        <w:rPr/>
      </w:pPr>
      <w:r w:rsidDel="00000000" w:rsidR="00000000" w:rsidRPr="00000000">
        <w:rPr>
          <w:rtl w:val="0"/>
        </w:rPr>
        <w:t xml:space="preserve">Risks:</w:t>
      </w:r>
    </w:p>
    <w:p w:rsidR="00000000" w:rsidDel="00000000" w:rsidP="00000000" w:rsidRDefault="00000000" w:rsidRPr="00000000" w14:paraId="00000083">
      <w:pPr>
        <w:numPr>
          <w:ilvl w:val="0"/>
          <w:numId w:val="10"/>
        </w:numPr>
        <w:ind w:left="720" w:hanging="360"/>
        <w:rPr/>
      </w:pPr>
      <w:r w:rsidDel="00000000" w:rsidR="00000000" w:rsidRPr="00000000">
        <w:rPr>
          <w:b w:val="1"/>
          <w:bCs w:val="1"/>
          <w:rtl w:val="0"/>
        </w:rPr>
        <w:t xml:space="preserve">US regulatory risk:</w:t>
      </w:r>
      <w:r w:rsidDel="00000000" w:rsidR="00000000" w:rsidRPr="00000000">
        <w:rPr>
          <w:rtl w:val="0"/>
        </w:rPr>
        <w:t xml:space="preserve"> FERC, state utility commissions, interconnection approvals, IRA/tax-credit rules.</w:t>
      </w:r>
    </w:p>
    <w:p w:rsidR="00000000" w:rsidDel="00000000" w:rsidP="00000000" w:rsidRDefault="00000000" w:rsidRPr="00000000" w14:paraId="00000084">
      <w:pPr>
        <w:numPr>
          <w:ilvl w:val="0"/>
          <w:numId w:val="10"/>
        </w:numPr>
        <w:ind w:left="720" w:hanging="360"/>
        <w:rPr/>
      </w:pPr>
      <w:r w:rsidDel="00000000" w:rsidR="00000000" w:rsidRPr="00000000">
        <w:rPr>
          <w:b w:val="1"/>
          <w:bCs w:val="1"/>
          <w:rtl w:val="0"/>
        </w:rPr>
        <w:t xml:space="preserve">China supply-chain risk:</w:t>
      </w:r>
      <w:r w:rsidDel="00000000" w:rsidR="00000000" w:rsidRPr="00000000">
        <w:rPr>
          <w:rtl w:val="0"/>
        </w:rPr>
        <w:t xml:space="preserve"> CATL dependency may become unacceptable for some US utility customers.</w:t>
      </w:r>
    </w:p>
    <w:p w:rsidR="00000000" w:rsidDel="00000000" w:rsidP="00000000" w:rsidRDefault="00000000" w:rsidRPr="00000000" w14:paraId="00000085">
      <w:pPr>
        <w:numPr>
          <w:ilvl w:val="0"/>
          <w:numId w:val="10"/>
        </w:numPr>
        <w:ind w:left="720" w:hanging="360"/>
        <w:rPr/>
      </w:pPr>
      <w:r w:rsidDel="00000000" w:rsidR="00000000" w:rsidRPr="00000000">
        <w:rPr>
          <w:b w:val="1"/>
          <w:bCs w:val="1"/>
          <w:rtl w:val="0"/>
        </w:rPr>
        <w:t xml:space="preserve">Tariff risk:</w:t>
      </w:r>
      <w:r w:rsidDel="00000000" w:rsidR="00000000" w:rsidRPr="00000000">
        <w:rPr>
          <w:rtl w:val="0"/>
        </w:rPr>
        <w:t xml:space="preserve"> Chinese non-EV lithium-ion batteries face higher tariff pressure, with Section 301 increases scheduled/implemented around 2026 depending classification.</w:t>
      </w:r>
    </w:p>
    <w:p w:rsidR="00000000" w:rsidDel="00000000" w:rsidP="00000000" w:rsidRDefault="00000000" w:rsidRPr="00000000" w14:paraId="00000086">
      <w:pPr>
        <w:numPr>
          <w:ilvl w:val="0"/>
          <w:numId w:val="10"/>
        </w:numPr>
        <w:ind w:left="720" w:hanging="360"/>
        <w:rPr/>
      </w:pPr>
      <w:r w:rsidDel="00000000" w:rsidR="00000000" w:rsidRPr="00000000">
        <w:rPr>
          <w:b w:val="1"/>
          <w:bCs w:val="1"/>
          <w:rtl w:val="0"/>
        </w:rPr>
        <w:t xml:space="preserve">Currency risk:</w:t>
      </w:r>
      <w:r w:rsidDel="00000000" w:rsidR="00000000" w:rsidRPr="00000000">
        <w:rPr>
          <w:rtl w:val="0"/>
        </w:rPr>
        <w:t xml:space="preserve"> lower than Orion if revenue is mostly USD, but component procurement may involve CNY/KRW/EUR exposure.</w:t>
      </w:r>
    </w:p>
    <w:p w:rsidR="00000000" w:rsidDel="00000000" w:rsidP="00000000" w:rsidRDefault="00000000" w:rsidRPr="00000000" w14:paraId="00000087">
      <w:pPr>
        <w:numPr>
          <w:ilvl w:val="0"/>
          <w:numId w:val="10"/>
        </w:numPr>
        <w:ind w:left="720" w:hanging="360"/>
        <w:rPr/>
      </w:pPr>
      <w:r w:rsidDel="00000000" w:rsidR="00000000" w:rsidRPr="00000000">
        <w:rPr>
          <w:b w:val="1"/>
          <w:bCs w:val="1"/>
          <w:rtl w:val="0"/>
        </w:rPr>
        <w:t xml:space="preserve">Cybersecurity risk:</w:t>
      </w:r>
      <w:r w:rsidDel="00000000" w:rsidR="00000000" w:rsidRPr="00000000">
        <w:rPr>
          <w:rtl w:val="0"/>
        </w:rPr>
        <w:t xml:space="preserve"> GridOS is not just software; it touches grid operations. Azure is credible, but utilities require hybrid architecture, compliance, and operational continuity. Microsoft itself notes energy providers face NERC CIP, GDPR, data-sovereignty, and OT/SCADA integration constraints.</w:t>
      </w:r>
    </w:p>
    <w:p w:rsidR="00000000" w:rsidDel="00000000" w:rsidP="00000000" w:rsidRDefault="00000000" w:rsidRPr="00000000" w14:paraId="00000088">
      <w:pPr>
        <w:rPr/>
      </w:pPr>
      <w:r w:rsidDel="00000000" w:rsidR="00000000" w:rsidRPr="00000000">
        <w:rPr>
          <w:b w:val="1"/>
          <w:bCs w:val="1"/>
          <w:rtl w:val="0"/>
        </w:rPr>
        <w:t xml:space="preserve">4. Strategic Roadmap &amp; Future Plans</w:t>
      </w:r>
      <w:r w:rsidDel="00000000" w:rsidR="00000000" w:rsidRPr="00000000">
        <w:rPr>
          <w:rtl w:val="0"/>
        </w:rPr>
        <w:br w:type="textWrapping"/>
        <w:t xml:space="preserve">Cleanergy wants to:</w:t>
      </w:r>
    </w:p>
    <w:p w:rsidR="00000000" w:rsidDel="00000000" w:rsidP="00000000" w:rsidRDefault="00000000" w:rsidRPr="00000000" w14:paraId="00000089">
      <w:pPr>
        <w:numPr>
          <w:ilvl w:val="0"/>
          <w:numId w:val="12"/>
        </w:numPr>
        <w:ind w:left="720" w:hanging="360"/>
        <w:rPr/>
      </w:pPr>
      <w:r w:rsidDel="00000000" w:rsidR="00000000" w:rsidRPr="00000000">
        <w:rPr>
          <w:rtl w:val="0"/>
        </w:rPr>
        <w:t xml:space="preserve">Expand utility-scale renewable integration.</w:t>
      </w:r>
    </w:p>
    <w:p w:rsidR="00000000" w:rsidDel="00000000" w:rsidP="00000000" w:rsidRDefault="00000000" w:rsidRPr="00000000" w14:paraId="0000008A">
      <w:pPr>
        <w:numPr>
          <w:ilvl w:val="0"/>
          <w:numId w:val="12"/>
        </w:numPr>
        <w:ind w:left="720" w:hanging="360"/>
        <w:rPr/>
      </w:pPr>
      <w:r w:rsidDel="00000000" w:rsidR="00000000" w:rsidRPr="00000000">
        <w:rPr>
          <w:rtl w:val="0"/>
        </w:rPr>
        <w:t xml:space="preserve">Serve commercial/industrial customers.</w:t>
      </w:r>
    </w:p>
    <w:p w:rsidR="00000000" w:rsidDel="00000000" w:rsidP="00000000" w:rsidRDefault="00000000" w:rsidRPr="00000000" w14:paraId="0000008B">
      <w:pPr>
        <w:numPr>
          <w:ilvl w:val="0"/>
          <w:numId w:val="12"/>
        </w:numPr>
        <w:ind w:left="720" w:hanging="360"/>
        <w:rPr/>
      </w:pPr>
      <w:r w:rsidDel="00000000" w:rsidR="00000000" w:rsidRPr="00000000">
        <w:rPr>
          <w:rtl w:val="0"/>
        </w:rPr>
        <w:t xml:space="preserve">Evolve GridOS into a broader energy-asset optimization platform.</w:t>
      </w:r>
    </w:p>
    <w:p w:rsidR="00000000" w:rsidDel="00000000" w:rsidP="00000000" w:rsidRDefault="00000000" w:rsidRPr="00000000" w14:paraId="0000008C">
      <w:pPr>
        <w:numPr>
          <w:ilvl w:val="0"/>
          <w:numId w:val="12"/>
        </w:numPr>
        <w:ind w:left="720" w:hanging="360"/>
        <w:rPr/>
      </w:pPr>
      <w:r w:rsidDel="00000000" w:rsidR="00000000" w:rsidRPr="00000000">
        <w:rPr>
          <w:rtl w:val="0"/>
        </w:rPr>
        <w:t xml:space="preserve">Pair storage with solar/wind developers.</w:t>
      </w:r>
    </w:p>
    <w:p w:rsidR="00000000" w:rsidDel="00000000" w:rsidP="00000000" w:rsidRDefault="00000000" w:rsidRPr="00000000" w14:paraId="0000008D">
      <w:pPr>
        <w:numPr>
          <w:ilvl w:val="0"/>
          <w:numId w:val="12"/>
        </w:numPr>
        <w:ind w:left="720" w:hanging="360"/>
        <w:rPr/>
      </w:pPr>
      <w:r w:rsidDel="00000000" w:rsidR="00000000" w:rsidRPr="00000000">
        <w:rPr>
          <w:rtl w:val="0"/>
        </w:rPr>
        <w:t xml:space="preserve">Reach operational net zero by 2035.</w:t>
      </w:r>
    </w:p>
    <w:p w:rsidR="00000000" w:rsidDel="00000000" w:rsidP="00000000" w:rsidRDefault="00000000" w:rsidRPr="00000000" w14:paraId="0000008E">
      <w:pPr>
        <w:rPr/>
      </w:pPr>
      <w:r w:rsidDel="00000000" w:rsidR="00000000" w:rsidRPr="00000000">
        <w:rPr>
          <w:rtl w:val="0"/>
        </w:rPr>
        <w:t xml:space="preserve">The KPI table is seductive:</w:t>
      </w:r>
    </w:p>
    <w:p w:rsidR="00000000" w:rsidDel="00000000" w:rsidP="00000000" w:rsidRDefault="00000000" w:rsidRPr="00000000" w14:paraId="0000008F">
      <w:pPr>
        <w:numPr>
          <w:ilvl w:val="0"/>
          <w:numId w:val="13"/>
        </w:numPr>
        <w:ind w:left="720" w:hanging="360"/>
        <w:rPr/>
      </w:pPr>
      <w:r w:rsidDel="00000000" w:rsidR="00000000" w:rsidRPr="00000000">
        <w:rPr>
          <w:rtl w:val="0"/>
        </w:rPr>
        <w:t xml:space="preserve">GWh under management: </w:t>
      </w:r>
      <w:r w:rsidDel="00000000" w:rsidR="00000000" w:rsidRPr="00000000">
        <w:rPr>
          <w:b w:val="1"/>
          <w:bCs w:val="1"/>
          <w:rtl w:val="0"/>
        </w:rPr>
        <w:t xml:space="preserve">0.8 → 3.9</w:t>
      </w:r>
      <w:r w:rsidDel="00000000" w:rsidR="00000000" w:rsidRPr="00000000">
        <w:rPr>
          <w:rtl w:val="0"/>
        </w:rPr>
      </w:r>
    </w:p>
    <w:p w:rsidR="00000000" w:rsidDel="00000000" w:rsidP="00000000" w:rsidRDefault="00000000" w:rsidRPr="00000000" w14:paraId="00000090">
      <w:pPr>
        <w:numPr>
          <w:ilvl w:val="0"/>
          <w:numId w:val="13"/>
        </w:numPr>
        <w:ind w:left="720" w:hanging="360"/>
        <w:rPr/>
      </w:pPr>
      <w:r w:rsidDel="00000000" w:rsidR="00000000" w:rsidRPr="00000000">
        <w:rPr>
          <w:rtl w:val="0"/>
        </w:rPr>
        <w:t xml:space="preserve">ARR: </w:t>
      </w:r>
      <w:r w:rsidDel="00000000" w:rsidR="00000000" w:rsidRPr="00000000">
        <w:rPr>
          <w:b w:val="1"/>
          <w:bCs w:val="1"/>
          <w:rtl w:val="0"/>
        </w:rPr>
        <w:t xml:space="preserve">$52m → $241m</w:t>
      </w:r>
      <w:r w:rsidDel="00000000" w:rsidR="00000000" w:rsidRPr="00000000">
        <w:rPr>
          <w:rtl w:val="0"/>
        </w:rPr>
      </w:r>
    </w:p>
    <w:p w:rsidR="00000000" w:rsidDel="00000000" w:rsidP="00000000" w:rsidRDefault="00000000" w:rsidRPr="00000000" w14:paraId="00000091">
      <w:pPr>
        <w:numPr>
          <w:ilvl w:val="0"/>
          <w:numId w:val="13"/>
        </w:numPr>
        <w:ind w:left="720" w:hanging="360"/>
        <w:rPr/>
      </w:pPr>
      <w:r w:rsidDel="00000000" w:rsidR="00000000" w:rsidRPr="00000000">
        <w:rPr>
          <w:rtl w:val="0"/>
        </w:rPr>
        <w:t xml:space="preserve">Gross margin: </w:t>
      </w:r>
      <w:r w:rsidDel="00000000" w:rsidR="00000000" w:rsidRPr="00000000">
        <w:rPr>
          <w:b w:val="1"/>
          <w:bCs w:val="1"/>
          <w:rtl w:val="0"/>
        </w:rPr>
        <w:t xml:space="preserve">38% → 47%</w:t>
      </w:r>
      <w:r w:rsidDel="00000000" w:rsidR="00000000" w:rsidRPr="00000000">
        <w:rPr>
          <w:rtl w:val="0"/>
        </w:rPr>
      </w:r>
    </w:p>
    <w:p w:rsidR="00000000" w:rsidDel="00000000" w:rsidP="00000000" w:rsidRDefault="00000000" w:rsidRPr="00000000" w14:paraId="00000092">
      <w:pPr>
        <w:numPr>
          <w:ilvl w:val="0"/>
          <w:numId w:val="13"/>
        </w:numPr>
        <w:ind w:left="720" w:hanging="360"/>
        <w:rPr/>
      </w:pPr>
      <w:r w:rsidDel="00000000" w:rsidR="00000000" w:rsidRPr="00000000">
        <w:rPr>
          <w:rtl w:val="0"/>
        </w:rPr>
        <w:t xml:space="preserve">Software subscription revenue: </w:t>
      </w:r>
      <w:r w:rsidDel="00000000" w:rsidR="00000000" w:rsidRPr="00000000">
        <w:rPr>
          <w:b w:val="1"/>
          <w:bCs w:val="1"/>
          <w:rtl w:val="0"/>
        </w:rPr>
        <w:t xml:space="preserve">18% → 39%</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But this is the most suspicious dataset in the assessment. Fluence, a real-world grid-storage integrator/software peer, reported FY2025 revenue of $2.3bn and </w:t>
      </w:r>
      <w:r w:rsidDel="00000000" w:rsidR="00000000" w:rsidRPr="00000000">
        <w:rPr>
          <w:b w:val="1"/>
          <w:bCs w:val="1"/>
          <w:rtl w:val="0"/>
        </w:rPr>
        <w:t xml:space="preserve">13.1% GAAP gross margin</w:t>
      </w:r>
      <w:r w:rsidDel="00000000" w:rsidR="00000000" w:rsidRPr="00000000">
        <w:rPr>
          <w:rtl w:val="0"/>
        </w:rPr>
        <w:t xml:space="preserve">. Cleanergy’s 47% gross margin is only believable if:</w:t>
      </w:r>
    </w:p>
    <w:p w:rsidR="00000000" w:rsidDel="00000000" w:rsidP="00000000" w:rsidRDefault="00000000" w:rsidRPr="00000000" w14:paraId="00000094">
      <w:pPr>
        <w:numPr>
          <w:ilvl w:val="0"/>
          <w:numId w:val="14"/>
        </w:numPr>
        <w:ind w:left="720" w:hanging="360"/>
        <w:rPr/>
      </w:pPr>
      <w:r w:rsidDel="00000000" w:rsidR="00000000" w:rsidRPr="00000000">
        <w:rPr>
          <w:rtl w:val="0"/>
        </w:rPr>
        <w:t xml:space="preserve">The lease accounting shifts hardware economics out of reported gross margin;</w:t>
      </w:r>
    </w:p>
    <w:p w:rsidR="00000000" w:rsidDel="00000000" w:rsidP="00000000" w:rsidRDefault="00000000" w:rsidRPr="00000000" w14:paraId="00000095">
      <w:pPr>
        <w:numPr>
          <w:ilvl w:val="0"/>
          <w:numId w:val="14"/>
        </w:numPr>
        <w:ind w:left="720" w:hanging="360"/>
        <w:rPr/>
      </w:pPr>
      <w:r w:rsidDel="00000000" w:rsidR="00000000" w:rsidRPr="00000000">
        <w:rPr>
          <w:rtl w:val="0"/>
        </w:rPr>
        <w:t xml:space="preserve">GridOS is a much larger portion of value than stated;</w:t>
      </w:r>
    </w:p>
    <w:p w:rsidR="00000000" w:rsidDel="00000000" w:rsidP="00000000" w:rsidRDefault="00000000" w:rsidRPr="00000000" w14:paraId="00000096">
      <w:pPr>
        <w:numPr>
          <w:ilvl w:val="0"/>
          <w:numId w:val="14"/>
        </w:numPr>
        <w:ind w:left="720" w:hanging="360"/>
        <w:rPr/>
      </w:pPr>
      <w:r w:rsidDel="00000000" w:rsidR="00000000" w:rsidRPr="00000000">
        <w:rPr>
          <w:rtl w:val="0"/>
        </w:rPr>
        <w:t xml:space="preserve">Cleanergy owns proprietary dispatch/IP that utilities cannot replicate;</w:t>
      </w:r>
    </w:p>
    <w:p w:rsidR="00000000" w:rsidDel="00000000" w:rsidP="00000000" w:rsidRDefault="00000000" w:rsidRPr="00000000" w14:paraId="00000097">
      <w:pPr>
        <w:numPr>
          <w:ilvl w:val="0"/>
          <w:numId w:val="14"/>
        </w:numPr>
        <w:ind w:left="720" w:hanging="360"/>
        <w:rPr/>
      </w:pPr>
      <w:r w:rsidDel="00000000" w:rsidR="00000000" w:rsidRPr="00000000">
        <w:rPr>
          <w:rtl w:val="0"/>
        </w:rPr>
        <w:t xml:space="preserve">Or the contracts include unusually rich maintenance/performance pricing.</w:t>
      </w:r>
    </w:p>
    <w:p w:rsidR="00000000" w:rsidDel="00000000" w:rsidP="00000000" w:rsidRDefault="00000000" w:rsidRPr="00000000" w14:paraId="00000098">
      <w:pPr>
        <w:rPr/>
      </w:pPr>
      <w:r w:rsidDel="00000000" w:rsidR="00000000" w:rsidRPr="00000000">
        <w:rPr>
          <w:rtl w:val="0"/>
        </w:rPr>
        <w:t xml:space="preserve">Without that proof, the margin profile looks overstated.</w:t>
      </w:r>
    </w:p>
    <w:p w:rsidR="00000000" w:rsidDel="00000000" w:rsidP="00000000" w:rsidRDefault="00000000" w:rsidRPr="00000000" w14:paraId="00000099">
      <w:pPr>
        <w:rPr/>
      </w:pPr>
      <w:r w:rsidDel="00000000" w:rsidR="00000000" w:rsidRPr="00000000">
        <w:rPr>
          <w:b w:val="1"/>
          <w:bCs w:val="1"/>
          <w:color w:val="ee0000"/>
          <w:sz w:val="36"/>
          <w:szCs w:val="36"/>
          <w:u w:val="single"/>
          <w:rtl w:val="0"/>
        </w:rPr>
        <w:t xml:space="preserve">Qualitative Comparison : </w:t>
      </w:r>
      <w:r w:rsidDel="00000000" w:rsidR="00000000" w:rsidRPr="00000000">
        <w:rPr>
          <w:rtl w:val="0"/>
        </w:rPr>
      </w:r>
    </w:p>
    <w:tbl>
      <w:tblPr>
        <w:tblStyle w:val="Table1"/>
        <w:tblW w:w="9360.0" w:type="dxa"/>
        <w:jc w:val="left"/>
        <w:tblLayout w:type="fixed"/>
        <w:tblLook w:val="0400"/>
      </w:tblPr>
      <w:tblGrid>
        <w:gridCol w:w="1818"/>
        <w:gridCol w:w="3905"/>
        <w:gridCol w:w="3637"/>
        <w:tblGridChange w:id="0">
          <w:tblGrid>
            <w:gridCol w:w="1818"/>
            <w:gridCol w:w="3905"/>
            <w:gridCol w:w="3637"/>
          </w:tblGrid>
        </w:tblGridChange>
      </w:tblGrid>
      <w:tr>
        <w:trPr>
          <w:cantSplit w:val="0"/>
          <w:tblHeader w:val="1"/>
        </w:trPr>
        <w:tc>
          <w:tcPr>
            <w:vAlign w:val="center"/>
          </w:tcPr>
          <w:p w:rsidR="00000000" w:rsidDel="00000000" w:rsidP="00000000" w:rsidRDefault="00000000" w:rsidRPr="00000000" w14:paraId="0000009A">
            <w:pPr>
              <w:rPr>
                <w:b w:val="1"/>
                <w:bCs w:val="1"/>
              </w:rPr>
            </w:pPr>
            <w:r w:rsidDel="00000000" w:rsidR="00000000" w:rsidRPr="00000000">
              <w:rPr>
                <w:b w:val="1"/>
                <w:bCs w:val="1"/>
                <w:rtl w:val="0"/>
              </w:rPr>
              <w:t xml:space="preserve">Category</w:t>
            </w:r>
          </w:p>
        </w:tc>
        <w:tc>
          <w:tcPr>
            <w:vAlign w:val="center"/>
          </w:tcPr>
          <w:p w:rsidR="00000000" w:rsidDel="00000000" w:rsidP="00000000" w:rsidRDefault="00000000" w:rsidRPr="00000000" w14:paraId="0000009B">
            <w:pPr>
              <w:rPr>
                <w:b w:val="1"/>
                <w:bCs w:val="1"/>
              </w:rPr>
            </w:pPr>
            <w:r w:rsidDel="00000000" w:rsidR="00000000" w:rsidRPr="00000000">
              <w:rPr>
                <w:b w:val="1"/>
                <w:bCs w:val="1"/>
                <w:rtl w:val="0"/>
              </w:rPr>
              <w:t xml:space="preserve">Orion</w:t>
            </w:r>
          </w:p>
        </w:tc>
        <w:tc>
          <w:tcPr>
            <w:vAlign w:val="center"/>
          </w:tcPr>
          <w:p w:rsidR="00000000" w:rsidDel="00000000" w:rsidP="00000000" w:rsidRDefault="00000000" w:rsidRPr="00000000" w14:paraId="0000009C">
            <w:pPr>
              <w:rPr>
                <w:b w:val="1"/>
                <w:bCs w:val="1"/>
              </w:rPr>
            </w:pPr>
            <w:r w:rsidDel="00000000" w:rsidR="00000000" w:rsidRPr="00000000">
              <w:rPr>
                <w:b w:val="1"/>
                <w:bCs w:val="1"/>
                <w:rtl w:val="0"/>
              </w:rPr>
              <w:t xml:space="preserve">Cleanergy</w:t>
            </w:r>
          </w:p>
        </w:tc>
      </w:tr>
      <w:tr>
        <w:trPr>
          <w:cantSplit w:val="0"/>
          <w:tblHeader w:val="0"/>
        </w:trPr>
        <w:tc>
          <w:tcPr>
            <w:vAlign w:val="center"/>
          </w:tcPr>
          <w:p w:rsidR="00000000" w:rsidDel="00000000" w:rsidP="00000000" w:rsidRDefault="00000000" w:rsidRPr="00000000" w14:paraId="0000009D">
            <w:pPr>
              <w:rPr/>
            </w:pPr>
            <w:r w:rsidDel="00000000" w:rsidR="00000000" w:rsidRPr="00000000">
              <w:rPr>
                <w:rtl w:val="0"/>
              </w:rPr>
              <w:t xml:space="preserve">Core business</w:t>
            </w:r>
          </w:p>
        </w:tc>
        <w:tc>
          <w:tcPr>
            <w:vAlign w:val="center"/>
          </w:tcPr>
          <w:p w:rsidR="00000000" w:rsidDel="00000000" w:rsidP="00000000" w:rsidRDefault="00000000" w:rsidRPr="00000000" w14:paraId="0000009E">
            <w:pPr>
              <w:rPr/>
            </w:pPr>
            <w:r w:rsidDel="00000000" w:rsidR="00000000" w:rsidRPr="00000000">
              <w:rPr>
                <w:rtl w:val="0"/>
              </w:rPr>
              <w:t xml:space="preserve">Fabless edge-AI inference chips + SDK</w:t>
            </w:r>
          </w:p>
        </w:tc>
        <w:tc>
          <w:tcPr>
            <w:vAlign w:val="center"/>
          </w:tcPr>
          <w:p w:rsidR="00000000" w:rsidDel="00000000" w:rsidP="00000000" w:rsidRDefault="00000000" w:rsidRPr="00000000" w14:paraId="0000009F">
            <w:pPr>
              <w:rPr/>
            </w:pPr>
            <w:r w:rsidDel="00000000" w:rsidR="00000000" w:rsidRPr="00000000">
              <w:rPr>
                <w:rtl w:val="0"/>
              </w:rPr>
              <w:t xml:space="preserve">Grid-scale battery storage leases + GridOS</w:t>
            </w:r>
          </w:p>
        </w:tc>
      </w:tr>
      <w:tr>
        <w:trPr>
          <w:cantSplit w:val="0"/>
          <w:tblHeader w:val="0"/>
        </w:trPr>
        <w:tc>
          <w:tcPr>
            <w:vAlign w:val="center"/>
          </w:tcPr>
          <w:p w:rsidR="00000000" w:rsidDel="00000000" w:rsidP="00000000" w:rsidRDefault="00000000" w:rsidRPr="00000000" w14:paraId="000000A0">
            <w:pPr>
              <w:rPr/>
            </w:pPr>
            <w:r w:rsidDel="00000000" w:rsidR="00000000" w:rsidRPr="00000000">
              <w:rPr>
                <w:rtl w:val="0"/>
              </w:rPr>
              <w:t xml:space="preserve">Standalone business quality</w:t>
            </w:r>
          </w:p>
        </w:tc>
        <w:tc>
          <w:tcPr>
            <w:vAlign w:val="center"/>
          </w:tcPr>
          <w:p w:rsidR="00000000" w:rsidDel="00000000" w:rsidP="00000000" w:rsidRDefault="00000000" w:rsidRPr="00000000" w14:paraId="000000A1">
            <w:pPr>
              <w:rPr/>
            </w:pPr>
            <w:r w:rsidDel="00000000" w:rsidR="00000000" w:rsidRPr="00000000">
              <w:rPr>
                <w:rtl w:val="0"/>
              </w:rPr>
              <w:t xml:space="preserve">Higher</w:t>
            </w:r>
          </w:p>
        </w:tc>
        <w:tc>
          <w:tcPr>
            <w:vAlign w:val="center"/>
          </w:tcPr>
          <w:p w:rsidR="00000000" w:rsidDel="00000000" w:rsidP="00000000" w:rsidRDefault="00000000" w:rsidRPr="00000000" w14:paraId="000000A2">
            <w:pPr>
              <w:rPr/>
            </w:pPr>
            <w:r w:rsidDel="00000000" w:rsidR="00000000" w:rsidRPr="00000000">
              <w:rPr>
                <w:rtl w:val="0"/>
              </w:rPr>
              <w:t xml:space="preserve">Lower / less proven</w:t>
            </w:r>
          </w:p>
        </w:tc>
      </w:tr>
      <w:tr>
        <w:trPr>
          <w:cantSplit w:val="0"/>
          <w:tblHeader w:val="0"/>
        </w:trPr>
        <w:tc>
          <w:tcPr>
            <w:vAlign w:val="center"/>
          </w:tcPr>
          <w:p w:rsidR="00000000" w:rsidDel="00000000" w:rsidP="00000000" w:rsidRDefault="00000000" w:rsidRPr="00000000" w14:paraId="000000A3">
            <w:pPr>
              <w:rPr/>
            </w:pPr>
            <w:r w:rsidDel="00000000" w:rsidR="00000000" w:rsidRPr="00000000">
              <w:rPr>
                <w:rtl w:val="0"/>
              </w:rPr>
              <w:t xml:space="preserve">Portfolio fit</w:t>
            </w:r>
          </w:p>
        </w:tc>
        <w:tc>
          <w:tcPr>
            <w:vAlign w:val="center"/>
          </w:tcPr>
          <w:p w:rsidR="00000000" w:rsidDel="00000000" w:rsidP="00000000" w:rsidRDefault="00000000" w:rsidRPr="00000000" w14:paraId="000000A4">
            <w:pPr>
              <w:rPr/>
            </w:pPr>
            <w:r w:rsidDel="00000000" w:rsidR="00000000" w:rsidRPr="00000000">
              <w:rPr>
                <w:rtl w:val="0"/>
              </w:rPr>
              <w:t xml:space="preserve">Weak due to ASML overlap</w:t>
            </w:r>
          </w:p>
        </w:tc>
        <w:tc>
          <w:tcPr>
            <w:vAlign w:val="center"/>
          </w:tcPr>
          <w:p w:rsidR="00000000" w:rsidDel="00000000" w:rsidP="00000000" w:rsidRDefault="00000000" w:rsidRPr="00000000" w14:paraId="000000A5">
            <w:pPr>
              <w:rPr/>
            </w:pPr>
            <w:r w:rsidDel="00000000" w:rsidR="00000000" w:rsidRPr="00000000">
              <w:rPr>
                <w:rtl w:val="0"/>
              </w:rPr>
              <w:t xml:space="preserve">Strong due to missing energy-transition exposure</w:t>
            </w:r>
          </w:p>
        </w:tc>
      </w:tr>
      <w:tr>
        <w:trPr>
          <w:cantSplit w:val="0"/>
          <w:tblHeader w:val="0"/>
        </w:trPr>
        <w:tc>
          <w:tcPr>
            <w:vAlign w:val="center"/>
          </w:tcPr>
          <w:p w:rsidR="00000000" w:rsidDel="00000000" w:rsidP="00000000" w:rsidRDefault="00000000" w:rsidRPr="00000000" w14:paraId="000000A6">
            <w:pPr>
              <w:rPr/>
            </w:pPr>
            <w:r w:rsidDel="00000000" w:rsidR="00000000" w:rsidRPr="00000000">
              <w:rPr>
                <w:rtl w:val="0"/>
              </w:rPr>
              <w:t xml:space="preserve">Customer concentration</w:t>
            </w:r>
          </w:p>
        </w:tc>
        <w:tc>
          <w:tcPr>
            <w:vAlign w:val="center"/>
          </w:tcPr>
          <w:p w:rsidR="00000000" w:rsidDel="00000000" w:rsidP="00000000" w:rsidRDefault="00000000" w:rsidRPr="00000000" w14:paraId="000000A7">
            <w:pPr>
              <w:rPr/>
            </w:pPr>
            <w:r w:rsidDel="00000000" w:rsidR="00000000" w:rsidRPr="00000000">
              <w:rPr>
                <w:rtl w:val="0"/>
              </w:rPr>
              <w:t xml:space="preserve">High: top 2 = 53%, top 4 = 86%</w:t>
            </w:r>
          </w:p>
        </w:tc>
        <w:tc>
          <w:tcPr>
            <w:vAlign w:val="center"/>
          </w:tcPr>
          <w:p w:rsidR="00000000" w:rsidDel="00000000" w:rsidP="00000000" w:rsidRDefault="00000000" w:rsidRPr="00000000" w14:paraId="000000A8">
            <w:pPr>
              <w:rPr/>
            </w:pPr>
            <w:r w:rsidDel="00000000" w:rsidR="00000000" w:rsidRPr="00000000">
              <w:rPr>
                <w:rtl w:val="0"/>
              </w:rPr>
              <w:t xml:space="preserve">Very high: top 2 = 56%, top 4 = 88%; NextEra + Dominion could become 42% combined</w:t>
            </w:r>
          </w:p>
        </w:tc>
      </w:tr>
      <w:tr>
        <w:trPr>
          <w:cantSplit w:val="0"/>
          <w:tblHeader w:val="0"/>
        </w:trPr>
        <w:tc>
          <w:tcPr>
            <w:vAlign w:val="center"/>
          </w:tcPr>
          <w:p w:rsidR="00000000" w:rsidDel="00000000" w:rsidP="00000000" w:rsidRDefault="00000000" w:rsidRPr="00000000" w14:paraId="000000A9">
            <w:pPr>
              <w:rPr/>
            </w:pPr>
            <w:r w:rsidDel="00000000" w:rsidR="00000000" w:rsidRPr="00000000">
              <w:rPr>
                <w:rtl w:val="0"/>
              </w:rPr>
              <w:t xml:space="preserve">Supplier concentration</w:t>
            </w:r>
          </w:p>
        </w:tc>
        <w:tc>
          <w:tcPr>
            <w:vAlign w:val="center"/>
          </w:tcPr>
          <w:p w:rsidR="00000000" w:rsidDel="00000000" w:rsidP="00000000" w:rsidRDefault="00000000" w:rsidRPr="00000000" w14:paraId="000000AA">
            <w:pPr>
              <w:rPr/>
            </w:pPr>
            <w:r w:rsidDel="00000000" w:rsidR="00000000" w:rsidRPr="00000000">
              <w:rPr>
                <w:rtl w:val="0"/>
              </w:rPr>
              <w:t xml:space="preserve">High foundry dependence on TSMC/Samsung</w:t>
            </w:r>
          </w:p>
        </w:tc>
        <w:tc>
          <w:tcPr>
            <w:vAlign w:val="center"/>
          </w:tcPr>
          <w:p w:rsidR="00000000" w:rsidDel="00000000" w:rsidP="00000000" w:rsidRDefault="00000000" w:rsidRPr="00000000" w14:paraId="000000AB">
            <w:pPr>
              <w:rPr/>
            </w:pPr>
            <w:r w:rsidDel="00000000" w:rsidR="00000000" w:rsidRPr="00000000">
              <w:rPr>
                <w:rtl w:val="0"/>
              </w:rPr>
              <w:t xml:space="preserve">High cell dependence on CATL/LGES</w:t>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rtl w:val="0"/>
              </w:rPr>
              <w:t xml:space="preserve">Main bottleneck</w:t>
            </w:r>
          </w:p>
        </w:tc>
        <w:tc>
          <w:tcPr>
            <w:vAlign w:val="center"/>
          </w:tcPr>
          <w:p w:rsidR="00000000" w:rsidDel="00000000" w:rsidP="00000000" w:rsidRDefault="00000000" w:rsidRPr="00000000" w14:paraId="000000AD">
            <w:pPr>
              <w:rPr/>
            </w:pPr>
            <w:r w:rsidDel="00000000" w:rsidR="00000000" w:rsidRPr="00000000">
              <w:rPr>
                <w:rtl w:val="0"/>
              </w:rPr>
              <w:t xml:space="preserve">Foundry allocation, automotive design wins, margin compression</w:t>
            </w:r>
          </w:p>
        </w:tc>
        <w:tc>
          <w:tcPr>
            <w:vAlign w:val="center"/>
          </w:tcPr>
          <w:p w:rsidR="00000000" w:rsidDel="00000000" w:rsidP="00000000" w:rsidRDefault="00000000" w:rsidRPr="00000000" w14:paraId="000000AE">
            <w:pPr>
              <w:rPr/>
            </w:pPr>
            <w:r w:rsidDel="00000000" w:rsidR="00000000" w:rsidRPr="00000000">
              <w:rPr>
                <w:rtl w:val="0"/>
              </w:rPr>
              <w:t xml:space="preserve">Battery cells, tariffs, interconnection, warranty/lease economics</w:t>
            </w:r>
          </w:p>
        </w:tc>
      </w:tr>
      <w:tr>
        <w:trPr>
          <w:cantSplit w:val="0"/>
          <w:tblHeader w:val="0"/>
        </w:trPr>
        <w:tc>
          <w:tcPr>
            <w:vAlign w:val="center"/>
          </w:tcPr>
          <w:p w:rsidR="00000000" w:rsidDel="00000000" w:rsidP="00000000" w:rsidRDefault="00000000" w:rsidRPr="00000000" w14:paraId="000000AF">
            <w:pPr>
              <w:rPr/>
            </w:pPr>
            <w:r w:rsidDel="00000000" w:rsidR="00000000" w:rsidRPr="00000000">
              <w:rPr>
                <w:rtl w:val="0"/>
              </w:rPr>
              <w:t xml:space="preserve">Stickiness</w:t>
            </w:r>
          </w:p>
        </w:tc>
        <w:tc>
          <w:tcPr>
            <w:vAlign w:val="center"/>
          </w:tcPr>
          <w:p w:rsidR="00000000" w:rsidDel="00000000" w:rsidP="00000000" w:rsidRDefault="00000000" w:rsidRPr="00000000" w14:paraId="000000B0">
            <w:pPr>
              <w:rPr/>
            </w:pPr>
            <w:r w:rsidDel="00000000" w:rsidR="00000000" w:rsidRPr="00000000">
              <w:rPr>
                <w:rtl w:val="0"/>
              </w:rPr>
              <w:t xml:space="preserve">High after design-in</w:t>
            </w:r>
          </w:p>
        </w:tc>
        <w:tc>
          <w:tcPr>
            <w:vAlign w:val="center"/>
          </w:tcPr>
          <w:p w:rsidR="00000000" w:rsidDel="00000000" w:rsidP="00000000" w:rsidRDefault="00000000" w:rsidRPr="00000000" w14:paraId="000000B1">
            <w:pPr>
              <w:rPr/>
            </w:pPr>
            <w:r w:rsidDel="00000000" w:rsidR="00000000" w:rsidRPr="00000000">
              <w:rPr>
                <w:rtl w:val="0"/>
              </w:rPr>
              <w:t xml:space="preserve">High after long-term utility contract</w:t>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rtl w:val="0"/>
              </w:rPr>
              <w:t xml:space="preserve">Margin trend</w:t>
            </w:r>
          </w:p>
        </w:tc>
        <w:tc>
          <w:tcPr>
            <w:vAlign w:val="center"/>
          </w:tcPr>
          <w:p w:rsidR="00000000" w:rsidDel="00000000" w:rsidP="00000000" w:rsidRDefault="00000000" w:rsidRPr="00000000" w14:paraId="000000B3">
            <w:pPr>
              <w:rPr/>
            </w:pPr>
            <w:r w:rsidDel="00000000" w:rsidR="00000000" w:rsidRPr="00000000">
              <w:rPr>
                <w:rtl w:val="0"/>
              </w:rPr>
              <w:t xml:space="preserve">Deteriorating: 61% → 51%</w:t>
            </w:r>
          </w:p>
        </w:tc>
        <w:tc>
          <w:tcPr>
            <w:vAlign w:val="center"/>
          </w:tcPr>
          <w:p w:rsidR="00000000" w:rsidDel="00000000" w:rsidP="00000000" w:rsidRDefault="00000000" w:rsidRPr="00000000" w14:paraId="000000B4">
            <w:pPr>
              <w:rPr/>
            </w:pPr>
            <w:r w:rsidDel="00000000" w:rsidR="00000000" w:rsidRPr="00000000">
              <w:rPr>
                <w:rtl w:val="0"/>
              </w:rPr>
              <w:t xml:space="preserve">Improving: 38% → 47%, but questionable versus peers</w:t>
            </w:r>
          </w:p>
        </w:tc>
      </w:tr>
      <w:tr>
        <w:trPr>
          <w:cantSplit w:val="0"/>
          <w:tblHeader w:val="0"/>
        </w:trPr>
        <w:tc>
          <w:tcPr>
            <w:vAlign w:val="center"/>
          </w:tcPr>
          <w:p w:rsidR="00000000" w:rsidDel="00000000" w:rsidP="00000000" w:rsidRDefault="00000000" w:rsidRPr="00000000" w14:paraId="000000B5">
            <w:pPr>
              <w:rPr/>
            </w:pPr>
            <w:r w:rsidDel="00000000" w:rsidR="00000000" w:rsidRPr="00000000">
              <w:rPr>
                <w:rtl w:val="0"/>
              </w:rPr>
              <w:t xml:space="preserve">Software mix</w:t>
            </w:r>
          </w:p>
        </w:tc>
        <w:tc>
          <w:tcPr>
            <w:vAlign w:val="center"/>
          </w:tcPr>
          <w:p w:rsidR="00000000" w:rsidDel="00000000" w:rsidP="00000000" w:rsidRDefault="00000000" w:rsidRPr="00000000" w14:paraId="000000B6">
            <w:pPr>
              <w:rPr/>
            </w:pPr>
            <w:r w:rsidDel="00000000" w:rsidR="00000000" w:rsidRPr="00000000">
              <w:rPr>
                <w:rtl w:val="0"/>
              </w:rPr>
              <w:t xml:space="preserve">Rising to 27%</w:t>
            </w:r>
          </w:p>
        </w:tc>
        <w:tc>
          <w:tcPr>
            <w:vAlign w:val="center"/>
          </w:tcPr>
          <w:p w:rsidR="00000000" w:rsidDel="00000000" w:rsidP="00000000" w:rsidRDefault="00000000" w:rsidRPr="00000000" w14:paraId="000000B7">
            <w:pPr>
              <w:rPr/>
            </w:pPr>
            <w:r w:rsidDel="00000000" w:rsidR="00000000" w:rsidRPr="00000000">
              <w:rPr>
                <w:rtl w:val="0"/>
              </w:rPr>
              <w:t xml:space="preserve">Rising to 39%</w:t>
            </w:r>
          </w:p>
        </w:tc>
      </w:tr>
      <w:tr>
        <w:trPr>
          <w:cantSplit w:val="0"/>
          <w:tblHeader w:val="0"/>
        </w:trPr>
        <w:tc>
          <w:tcPr>
            <w:vAlign w:val="center"/>
          </w:tcPr>
          <w:p w:rsidR="00000000" w:rsidDel="00000000" w:rsidP="00000000" w:rsidRDefault="00000000" w:rsidRPr="00000000" w14:paraId="000000B8">
            <w:pPr>
              <w:rPr/>
            </w:pPr>
            <w:r w:rsidDel="00000000" w:rsidR="00000000" w:rsidRPr="00000000">
              <w:rPr>
                <w:rtl w:val="0"/>
              </w:rPr>
              <w:t xml:space="preserve">Moat</w:t>
            </w:r>
          </w:p>
        </w:tc>
        <w:tc>
          <w:tcPr>
            <w:vAlign w:val="center"/>
          </w:tcPr>
          <w:p w:rsidR="00000000" w:rsidDel="00000000" w:rsidP="00000000" w:rsidRDefault="00000000" w:rsidRPr="00000000" w14:paraId="000000B9">
            <w:pPr>
              <w:rPr/>
            </w:pPr>
            <w:r w:rsidDel="00000000" w:rsidR="00000000" w:rsidRPr="00000000">
              <w:rPr>
                <w:rtl w:val="0"/>
              </w:rPr>
              <w:t xml:space="preserve">Performance-per-watt + SDK integration</w:t>
            </w:r>
          </w:p>
        </w:tc>
        <w:tc>
          <w:tcPr>
            <w:vAlign w:val="center"/>
          </w:tcPr>
          <w:p w:rsidR="00000000" w:rsidDel="00000000" w:rsidP="00000000" w:rsidRDefault="00000000" w:rsidRPr="00000000" w14:paraId="000000BA">
            <w:pPr>
              <w:rPr/>
            </w:pPr>
            <w:r w:rsidDel="00000000" w:rsidR="00000000" w:rsidRPr="00000000">
              <w:rPr>
                <w:rtl w:val="0"/>
              </w:rPr>
              <w:t xml:space="preserve">Contracted asset base + GridOS + operational integration</w:t>
            </w:r>
          </w:p>
        </w:tc>
      </w:tr>
      <w:tr>
        <w:trPr>
          <w:cantSplit w:val="0"/>
          <w:tblHeader w:val="0"/>
        </w:trPr>
        <w:tc>
          <w:tcPr>
            <w:vAlign w:val="center"/>
          </w:tcPr>
          <w:p w:rsidR="00000000" w:rsidDel="00000000" w:rsidP="00000000" w:rsidRDefault="00000000" w:rsidRPr="00000000" w14:paraId="000000BB">
            <w:pPr>
              <w:rPr/>
            </w:pPr>
            <w:r w:rsidDel="00000000" w:rsidR="00000000" w:rsidRPr="00000000">
              <w:rPr>
                <w:rtl w:val="0"/>
              </w:rPr>
              <w:t xml:space="preserve">Biggest hidden risk</w:t>
            </w:r>
          </w:p>
        </w:tc>
        <w:tc>
          <w:tcPr>
            <w:vAlign w:val="center"/>
          </w:tcPr>
          <w:p w:rsidR="00000000" w:rsidDel="00000000" w:rsidP="00000000" w:rsidRDefault="00000000" w:rsidRPr="00000000" w14:paraId="000000BC">
            <w:pPr>
              <w:rPr/>
            </w:pPr>
            <w:r w:rsidDel="00000000" w:rsidR="00000000" w:rsidRPr="00000000">
              <w:rPr>
                <w:rtl w:val="0"/>
              </w:rPr>
              <w:t xml:space="preserve">Commoditization by Nvidia/Qualcomm/Marvell or customer insourcing</w:t>
            </w:r>
          </w:p>
        </w:tc>
        <w:tc>
          <w:tcPr>
            <w:vAlign w:val="center"/>
          </w:tcPr>
          <w:p w:rsidR="00000000" w:rsidDel="00000000" w:rsidP="00000000" w:rsidRDefault="00000000" w:rsidRPr="00000000" w14:paraId="000000BD">
            <w:pPr>
              <w:rPr/>
            </w:pPr>
            <w:r w:rsidDel="00000000" w:rsidR="00000000" w:rsidRPr="00000000">
              <w:rPr>
                <w:rtl w:val="0"/>
              </w:rPr>
              <w:t xml:space="preserve">Hardware-heavy economics disguised as software-like recurring revenue</w:t>
            </w:r>
          </w:p>
        </w:tc>
      </w:tr>
      <w:tr>
        <w:trPr>
          <w:cantSplit w:val="0"/>
          <w:tblHeader w:val="0"/>
        </w:trPr>
        <w:tc>
          <w:tcPr>
            <w:vAlign w:val="center"/>
          </w:tcPr>
          <w:p w:rsidR="00000000" w:rsidDel="00000000" w:rsidP="00000000" w:rsidRDefault="00000000" w:rsidRPr="00000000" w14:paraId="000000BE">
            <w:pPr>
              <w:rPr/>
            </w:pPr>
            <w:r w:rsidDel="00000000" w:rsidR="00000000" w:rsidRPr="00000000">
              <w:rPr>
                <w:rtl w:val="0"/>
              </w:rPr>
              <w:t xml:space="preserve">Best use in EDEN</w:t>
            </w:r>
          </w:p>
        </w:tc>
        <w:tc>
          <w:tcPr>
            <w:vAlign w:val="center"/>
          </w:tcPr>
          <w:p w:rsidR="00000000" w:rsidDel="00000000" w:rsidP="00000000" w:rsidRDefault="00000000" w:rsidRPr="00000000" w14:paraId="000000BF">
            <w:pPr>
              <w:rPr/>
            </w:pPr>
            <w:r w:rsidDel="00000000" w:rsidR="00000000" w:rsidRPr="00000000">
              <w:rPr>
                <w:rtl w:val="0"/>
              </w:rPr>
              <w:t xml:space="preserve">Watchlist / semis overweight argument</w:t>
            </w:r>
          </w:p>
        </w:tc>
        <w:tc>
          <w:tcPr>
            <w:vAlign w:val="center"/>
          </w:tcPr>
          <w:p w:rsidR="00000000" w:rsidDel="00000000" w:rsidP="00000000" w:rsidRDefault="00000000" w:rsidRPr="00000000" w14:paraId="000000C0">
            <w:pPr>
              <w:rPr/>
            </w:pPr>
            <w:r w:rsidDel="00000000" w:rsidR="00000000" w:rsidRPr="00000000">
              <w:rPr>
                <w:rtl w:val="0"/>
              </w:rPr>
              <w:t xml:space="preserve">Portfolio diversifier if diligence clears</w:t>
            </w:r>
          </w:p>
        </w:tc>
      </w:tr>
    </w:tbl>
    <w:p w:rsidR="00000000" w:rsidDel="00000000" w:rsidP="00000000" w:rsidRDefault="00000000" w:rsidRPr="00000000" w14:paraId="000000C1">
      <w:pPr>
        <w:rPr/>
      </w:pPr>
      <w:r w:rsidDel="00000000" w:rsidR="00000000" w:rsidRPr="00000000">
        <w:rPr>
          <w:b w:val="1"/>
          <w:bCs w:val="1"/>
          <w:color w:val="ee0000"/>
          <w:sz w:val="36"/>
          <w:szCs w:val="36"/>
          <w:u w:val="single"/>
          <w:rtl w:val="0"/>
        </w:rPr>
        <w:t xml:space="preserve">Pros &amp; Cons + “Cracks” Analysis</w:t>
      </w:r>
      <w:r w:rsidDel="00000000" w:rsidR="00000000" w:rsidRPr="00000000">
        <w:rPr>
          <w:rtl w:val="0"/>
        </w:rPr>
        <w:br w:type="textWrapping"/>
      </w:r>
      <w:r w:rsidDel="00000000" w:rsidR="00000000" w:rsidRPr="00000000">
        <w:rPr>
          <w:b w:val="1"/>
          <w:bCs w:val="1"/>
          <w:rtl w:val="0"/>
        </w:rPr>
        <w:t xml:space="preserve">Orion Bull Case</w:t>
      </w:r>
      <w:r w:rsidDel="00000000" w:rsidR="00000000" w:rsidRPr="00000000">
        <w:rPr>
          <w:rtl w:val="0"/>
        </w:rPr>
      </w:r>
    </w:p>
    <w:p w:rsidR="00000000" w:rsidDel="00000000" w:rsidP="00000000" w:rsidRDefault="00000000" w:rsidRPr="00000000" w14:paraId="000000C2">
      <w:pPr>
        <w:numPr>
          <w:ilvl w:val="0"/>
          <w:numId w:val="15"/>
        </w:numPr>
        <w:ind w:left="720" w:hanging="360"/>
        <w:rPr/>
      </w:pPr>
      <w:r w:rsidDel="00000000" w:rsidR="00000000" w:rsidRPr="00000000">
        <w:rPr>
          <w:rtl w:val="0"/>
        </w:rPr>
        <w:t xml:space="preserve">Real secular demand: edge AI is moving into vehicles, IoT, industrial automation, and edge devices. Arm explicitly frames AI as shifting toward the edge.</w:t>
      </w:r>
    </w:p>
    <w:p w:rsidR="00000000" w:rsidDel="00000000" w:rsidP="00000000" w:rsidRDefault="00000000" w:rsidRPr="00000000" w14:paraId="000000C3">
      <w:pPr>
        <w:numPr>
          <w:ilvl w:val="0"/>
          <w:numId w:val="15"/>
        </w:numPr>
        <w:ind w:left="720" w:hanging="360"/>
        <w:rPr/>
      </w:pPr>
      <w:r w:rsidDel="00000000" w:rsidR="00000000" w:rsidRPr="00000000">
        <w:rPr>
          <w:rtl w:val="0"/>
        </w:rPr>
        <w:t xml:space="preserve">High customer stickiness once designed into Bosch/Tesla/Siemens systems.</w:t>
      </w:r>
    </w:p>
    <w:p w:rsidR="00000000" w:rsidDel="00000000" w:rsidP="00000000" w:rsidRDefault="00000000" w:rsidRPr="00000000" w14:paraId="000000C4">
      <w:pPr>
        <w:numPr>
          <w:ilvl w:val="0"/>
          <w:numId w:val="15"/>
        </w:numPr>
        <w:ind w:left="720" w:hanging="360"/>
        <w:rPr/>
      </w:pPr>
      <w:r w:rsidDel="00000000" w:rsidR="00000000" w:rsidRPr="00000000">
        <w:rPr>
          <w:rtl w:val="0"/>
        </w:rPr>
        <w:t xml:space="preserve">Rising software mix improves revenue quality if SDK adoption becomes embedded.</w:t>
      </w:r>
    </w:p>
    <w:p w:rsidR="00000000" w:rsidDel="00000000" w:rsidP="00000000" w:rsidRDefault="00000000" w:rsidRPr="00000000" w14:paraId="000000C5">
      <w:pPr>
        <w:numPr>
          <w:ilvl w:val="0"/>
          <w:numId w:val="15"/>
        </w:numPr>
        <w:ind w:left="720" w:hanging="360"/>
        <w:rPr/>
      </w:pPr>
      <w:r w:rsidDel="00000000" w:rsidR="00000000" w:rsidRPr="00000000">
        <w:rPr>
          <w:rtl w:val="0"/>
        </w:rPr>
        <w:t xml:space="preserve">Performance-per-watt can be a genuine moat in edge devices where power and latency matter.</w:t>
      </w:r>
    </w:p>
    <w:p w:rsidR="00000000" w:rsidDel="00000000" w:rsidP="00000000" w:rsidRDefault="00000000" w:rsidRPr="00000000" w14:paraId="000000C6">
      <w:pPr>
        <w:numPr>
          <w:ilvl w:val="0"/>
          <w:numId w:val="15"/>
        </w:numPr>
        <w:ind w:left="720" w:hanging="360"/>
        <w:rPr/>
      </w:pPr>
      <w:r w:rsidDel="00000000" w:rsidR="00000000" w:rsidRPr="00000000">
        <w:rPr>
          <w:rtl w:val="0"/>
        </w:rPr>
        <w:t xml:space="preserve">TSMC/Samsung manufacturing access gives technical credibility.</w:t>
      </w:r>
    </w:p>
    <w:p w:rsidR="00000000" w:rsidDel="00000000" w:rsidP="00000000" w:rsidRDefault="00000000" w:rsidRPr="00000000" w14:paraId="000000C7">
      <w:pPr>
        <w:rPr/>
      </w:pPr>
      <w:r w:rsidDel="00000000" w:rsidR="00000000" w:rsidRPr="00000000">
        <w:rPr>
          <w:b w:val="1"/>
          <w:bCs w:val="1"/>
          <w:rtl w:val="0"/>
        </w:rPr>
        <w:t xml:space="preserve">Orion Bear Case</w:t>
      </w:r>
      <w:r w:rsidDel="00000000" w:rsidR="00000000" w:rsidRPr="00000000">
        <w:rPr>
          <w:rtl w:val="0"/>
        </w:rPr>
      </w:r>
    </w:p>
    <w:p w:rsidR="00000000" w:rsidDel="00000000" w:rsidP="00000000" w:rsidRDefault="00000000" w:rsidRPr="00000000" w14:paraId="000000C8">
      <w:pPr>
        <w:numPr>
          <w:ilvl w:val="0"/>
          <w:numId w:val="16"/>
        </w:numPr>
        <w:ind w:left="720" w:hanging="360"/>
        <w:rPr/>
      </w:pPr>
      <w:r w:rsidDel="00000000" w:rsidR="00000000" w:rsidRPr="00000000">
        <w:rPr>
          <w:rtl w:val="0"/>
        </w:rPr>
        <w:t xml:space="preserve">Customer concentration is severe: Bosch + Tesla alone are 53%.</w:t>
      </w:r>
    </w:p>
    <w:p w:rsidR="00000000" w:rsidDel="00000000" w:rsidP="00000000" w:rsidRDefault="00000000" w:rsidRPr="00000000" w14:paraId="000000C9">
      <w:pPr>
        <w:numPr>
          <w:ilvl w:val="0"/>
          <w:numId w:val="16"/>
        </w:numPr>
        <w:ind w:left="720" w:hanging="360"/>
        <w:rPr/>
      </w:pPr>
      <w:r w:rsidDel="00000000" w:rsidR="00000000" w:rsidRPr="00000000">
        <w:rPr>
          <w:rtl w:val="0"/>
        </w:rPr>
        <w:t xml:space="preserve">Bosch is not a passive buyer; it has its own semiconductor operations.</w:t>
      </w:r>
    </w:p>
    <w:p w:rsidR="00000000" w:rsidDel="00000000" w:rsidP="00000000" w:rsidRDefault="00000000" w:rsidRPr="00000000" w14:paraId="000000CA">
      <w:pPr>
        <w:numPr>
          <w:ilvl w:val="0"/>
          <w:numId w:val="16"/>
        </w:numPr>
        <w:ind w:left="720" w:hanging="360"/>
        <w:rPr/>
      </w:pPr>
      <w:r w:rsidDel="00000000" w:rsidR="00000000" w:rsidRPr="00000000">
        <w:rPr>
          <w:rtl w:val="0"/>
        </w:rPr>
        <w:t xml:space="preserve">Tesla may insource or dual-source aggressively.</w:t>
      </w:r>
    </w:p>
    <w:p w:rsidR="00000000" w:rsidDel="00000000" w:rsidP="00000000" w:rsidRDefault="00000000" w:rsidRPr="00000000" w14:paraId="000000CB">
      <w:pPr>
        <w:numPr>
          <w:ilvl w:val="0"/>
          <w:numId w:val="16"/>
        </w:numPr>
        <w:ind w:left="720" w:hanging="360"/>
        <w:rPr/>
      </w:pPr>
      <w:r w:rsidDel="00000000" w:rsidR="00000000" w:rsidRPr="00000000">
        <w:rPr>
          <w:rtl w:val="0"/>
        </w:rPr>
        <w:t xml:space="preserve">ASP and gross margin erosion suggest commoditization.</w:t>
      </w:r>
    </w:p>
    <w:p w:rsidR="00000000" w:rsidDel="00000000" w:rsidP="00000000" w:rsidRDefault="00000000" w:rsidRPr="00000000" w14:paraId="000000CC">
      <w:pPr>
        <w:numPr>
          <w:ilvl w:val="0"/>
          <w:numId w:val="16"/>
        </w:numPr>
        <w:ind w:left="720" w:hanging="360"/>
        <w:rPr/>
      </w:pPr>
      <w:r w:rsidDel="00000000" w:rsidR="00000000" w:rsidRPr="00000000">
        <w:rPr>
          <w:rtl w:val="0"/>
        </w:rPr>
        <w:t xml:space="preserve">Data-center inference puts Orion against Nvidia, Marvell, Qualcomm, AMD, and hyperscaler ASIC programs.</w:t>
      </w:r>
    </w:p>
    <w:p w:rsidR="00000000" w:rsidDel="00000000" w:rsidP="00000000" w:rsidRDefault="00000000" w:rsidRPr="00000000" w14:paraId="000000CD">
      <w:pPr>
        <w:numPr>
          <w:ilvl w:val="0"/>
          <w:numId w:val="16"/>
        </w:numPr>
        <w:ind w:left="720" w:hanging="360"/>
        <w:rPr/>
      </w:pPr>
      <w:r w:rsidDel="00000000" w:rsidR="00000000" w:rsidRPr="00000000">
        <w:rPr>
          <w:rtl w:val="0"/>
        </w:rPr>
        <w:t xml:space="preserve">No manufacturing control; foundry capacity goes first to larger customers.</w:t>
      </w:r>
    </w:p>
    <w:p w:rsidR="00000000" w:rsidDel="00000000" w:rsidP="00000000" w:rsidRDefault="00000000" w:rsidRPr="00000000" w14:paraId="000000CE">
      <w:pPr>
        <w:numPr>
          <w:ilvl w:val="0"/>
          <w:numId w:val="16"/>
        </w:numPr>
        <w:ind w:left="720" w:hanging="360"/>
        <w:rPr/>
      </w:pPr>
      <w:r w:rsidDel="00000000" w:rsidR="00000000" w:rsidRPr="00000000">
        <w:rPr>
          <w:rtl w:val="0"/>
        </w:rPr>
        <w:t xml:space="preserve">Adds semiconductor concentration to a portfolio that alrea dy owns ASML.</w:t>
      </w:r>
    </w:p>
    <w:p w:rsidR="00000000" w:rsidDel="00000000" w:rsidP="00000000" w:rsidRDefault="00000000" w:rsidRPr="00000000" w14:paraId="000000CF">
      <w:pPr>
        <w:rPr/>
      </w:pPr>
      <w:r w:rsidDel="00000000" w:rsidR="00000000" w:rsidRPr="00000000">
        <w:rPr>
          <w:b w:val="1"/>
          <w:bCs w:val="1"/>
          <w:rtl w:val="0"/>
        </w:rPr>
        <w:t xml:space="preserve">Cleanergy Bull Case</w:t>
      </w:r>
      <w:r w:rsidDel="00000000" w:rsidR="00000000" w:rsidRPr="00000000">
        <w:rPr>
          <w:rtl w:val="0"/>
        </w:rPr>
      </w:r>
    </w:p>
    <w:p w:rsidR="00000000" w:rsidDel="00000000" w:rsidP="00000000" w:rsidRDefault="00000000" w:rsidRPr="00000000" w14:paraId="000000D0">
      <w:pPr>
        <w:numPr>
          <w:ilvl w:val="0"/>
          <w:numId w:val="17"/>
        </w:numPr>
        <w:ind w:left="720" w:hanging="360"/>
        <w:rPr/>
      </w:pPr>
      <w:r w:rsidDel="00000000" w:rsidR="00000000" w:rsidRPr="00000000">
        <w:rPr>
          <w:rtl w:val="0"/>
        </w:rPr>
        <w:t xml:space="preserve">Grid storage demand is structurally real: renewables, AI/data-center demand, grid flexibility, and utility decarbonization all support the market.</w:t>
      </w:r>
    </w:p>
    <w:p w:rsidR="00000000" w:rsidDel="00000000" w:rsidP="00000000" w:rsidRDefault="00000000" w:rsidRPr="00000000" w14:paraId="000000D1">
      <w:pPr>
        <w:numPr>
          <w:ilvl w:val="0"/>
          <w:numId w:val="17"/>
        </w:numPr>
        <w:ind w:left="720" w:hanging="360"/>
        <w:rPr/>
      </w:pPr>
      <w:r w:rsidDel="00000000" w:rsidR="00000000" w:rsidRPr="00000000">
        <w:rPr>
          <w:rtl w:val="0"/>
        </w:rPr>
        <w:t xml:space="preserve">Lease model creates recurring revenue and customer lock-in.</w:t>
      </w:r>
    </w:p>
    <w:p w:rsidR="00000000" w:rsidDel="00000000" w:rsidP="00000000" w:rsidRDefault="00000000" w:rsidRPr="00000000" w14:paraId="000000D2">
      <w:pPr>
        <w:numPr>
          <w:ilvl w:val="0"/>
          <w:numId w:val="17"/>
        </w:numPr>
        <w:ind w:left="720" w:hanging="360"/>
        <w:rPr/>
      </w:pPr>
      <w:r w:rsidDel="00000000" w:rsidR="00000000" w:rsidRPr="00000000">
        <w:rPr>
          <w:rtl w:val="0"/>
        </w:rPr>
        <w:t xml:space="preserve">GridOS can become the high-margin layer if it manages dispatch, degradation, market bidding, and fleet optimization.</w:t>
      </w:r>
    </w:p>
    <w:p w:rsidR="00000000" w:rsidDel="00000000" w:rsidP="00000000" w:rsidRDefault="00000000" w:rsidRPr="00000000" w14:paraId="000000D3">
      <w:pPr>
        <w:numPr>
          <w:ilvl w:val="0"/>
          <w:numId w:val="17"/>
        </w:numPr>
        <w:ind w:left="720" w:hanging="360"/>
        <w:rPr/>
      </w:pPr>
      <w:r w:rsidDel="00000000" w:rsidR="00000000" w:rsidRPr="00000000">
        <w:rPr>
          <w:rtl w:val="0"/>
        </w:rPr>
        <w:t xml:space="preserve">Utility customers are creditworthy and long-duration.</w:t>
      </w:r>
    </w:p>
    <w:p w:rsidR="00000000" w:rsidDel="00000000" w:rsidP="00000000" w:rsidRDefault="00000000" w:rsidRPr="00000000" w14:paraId="000000D4">
      <w:pPr>
        <w:numPr>
          <w:ilvl w:val="0"/>
          <w:numId w:val="17"/>
        </w:numPr>
        <w:ind w:left="720" w:hanging="360"/>
        <w:rPr/>
      </w:pPr>
      <w:r w:rsidDel="00000000" w:rsidR="00000000" w:rsidRPr="00000000">
        <w:rPr>
          <w:rtl w:val="0"/>
        </w:rPr>
        <w:t xml:space="preserve">Cleanergy fills EDEN’s active-stock gap in energy/industrials/energy transition.</w:t>
      </w:r>
    </w:p>
    <w:p w:rsidR="00000000" w:rsidDel="00000000" w:rsidP="00000000" w:rsidRDefault="00000000" w:rsidRPr="00000000" w14:paraId="000000D5">
      <w:pPr>
        <w:numPr>
          <w:ilvl w:val="0"/>
          <w:numId w:val="17"/>
        </w:numPr>
        <w:ind w:left="720" w:hanging="360"/>
        <w:rPr/>
      </w:pPr>
      <w:r w:rsidDel="00000000" w:rsidR="00000000" w:rsidRPr="00000000">
        <w:rPr>
          <w:rtl w:val="0"/>
        </w:rPr>
        <w:t xml:space="preserve">LGES North America expansion could reduce China-supply risk over time.</w:t>
      </w:r>
    </w:p>
    <w:p w:rsidR="00000000" w:rsidDel="00000000" w:rsidP="00000000" w:rsidRDefault="00000000" w:rsidRPr="00000000" w14:paraId="000000D6">
      <w:pPr>
        <w:rPr/>
      </w:pPr>
      <w:r w:rsidDel="00000000" w:rsidR="00000000" w:rsidRPr="00000000">
        <w:rPr>
          <w:b w:val="1"/>
          <w:bCs w:val="1"/>
          <w:rtl w:val="0"/>
        </w:rPr>
        <w:t xml:space="preserve">Cleanergy Bear Case</w:t>
      </w:r>
      <w:r w:rsidDel="00000000" w:rsidR="00000000" w:rsidRPr="00000000">
        <w:rPr>
          <w:rtl w:val="0"/>
        </w:rPr>
      </w:r>
    </w:p>
    <w:p w:rsidR="00000000" w:rsidDel="00000000" w:rsidP="00000000" w:rsidRDefault="00000000" w:rsidRPr="00000000" w14:paraId="000000D7">
      <w:pPr>
        <w:numPr>
          <w:ilvl w:val="0"/>
          <w:numId w:val="18"/>
        </w:numPr>
        <w:ind w:left="720" w:hanging="360"/>
        <w:rPr/>
      </w:pPr>
      <w:r w:rsidDel="00000000" w:rsidR="00000000" w:rsidRPr="00000000">
        <w:rPr>
          <w:rtl w:val="0"/>
        </w:rPr>
        <w:t xml:space="preserve">Margin realism is the central crack. A 47% margin is not typical for hardware-heavy BESS integrators.</w:t>
      </w:r>
    </w:p>
    <w:p w:rsidR="00000000" w:rsidDel="00000000" w:rsidP="00000000" w:rsidRDefault="00000000" w:rsidRPr="00000000" w14:paraId="000000D8">
      <w:pPr>
        <w:numPr>
          <w:ilvl w:val="0"/>
          <w:numId w:val="18"/>
        </w:numPr>
        <w:ind w:left="720" w:hanging="360"/>
        <w:rPr/>
      </w:pPr>
      <w:r w:rsidDel="00000000" w:rsidR="00000000" w:rsidRPr="00000000">
        <w:rPr>
          <w:rtl w:val="0"/>
        </w:rPr>
        <w:t xml:space="preserve">CATL dependency creates political and tariff risk.</w:t>
      </w:r>
    </w:p>
    <w:p w:rsidR="00000000" w:rsidDel="00000000" w:rsidP="00000000" w:rsidRDefault="00000000" w:rsidRPr="00000000" w14:paraId="000000D9">
      <w:pPr>
        <w:numPr>
          <w:ilvl w:val="0"/>
          <w:numId w:val="18"/>
        </w:numPr>
        <w:ind w:left="720" w:hanging="360"/>
        <w:rPr/>
      </w:pPr>
      <w:r w:rsidDel="00000000" w:rsidR="00000000" w:rsidRPr="00000000">
        <w:rPr>
          <w:rtl w:val="0"/>
        </w:rPr>
        <w:t xml:space="preserve">Lease model may hide balance-sheet intensity: Cleanergy may need to finance hardware before collecting recurring payments.</w:t>
      </w:r>
    </w:p>
    <w:p w:rsidR="00000000" w:rsidDel="00000000" w:rsidP="00000000" w:rsidRDefault="00000000" w:rsidRPr="00000000" w14:paraId="000000DA">
      <w:pPr>
        <w:numPr>
          <w:ilvl w:val="0"/>
          <w:numId w:val="18"/>
        </w:numPr>
        <w:ind w:left="720" w:hanging="360"/>
        <w:rPr/>
      </w:pPr>
      <w:r w:rsidDel="00000000" w:rsidR="00000000" w:rsidRPr="00000000">
        <w:rPr>
          <w:rtl w:val="0"/>
        </w:rPr>
        <w:t xml:space="preserve">Warranty risk is serious: degradation, thermal events, underperformance, and downtime can destroy economics.</w:t>
      </w:r>
    </w:p>
    <w:p w:rsidR="00000000" w:rsidDel="00000000" w:rsidP="00000000" w:rsidRDefault="00000000" w:rsidRPr="00000000" w14:paraId="000000DB">
      <w:pPr>
        <w:numPr>
          <w:ilvl w:val="0"/>
          <w:numId w:val="18"/>
        </w:numPr>
        <w:ind w:left="720" w:hanging="360"/>
        <w:rPr/>
      </w:pPr>
      <w:r w:rsidDel="00000000" w:rsidR="00000000" w:rsidRPr="00000000">
        <w:rPr>
          <w:rtl w:val="0"/>
        </w:rPr>
        <w:t xml:space="preserve">Customer concentration is worse than it first appears, especially with the proposed NextEra-Dominion merger.</w:t>
      </w:r>
    </w:p>
    <w:p w:rsidR="00000000" w:rsidDel="00000000" w:rsidP="00000000" w:rsidRDefault="00000000" w:rsidRPr="00000000" w14:paraId="000000DC">
      <w:pPr>
        <w:numPr>
          <w:ilvl w:val="0"/>
          <w:numId w:val="18"/>
        </w:numPr>
        <w:ind w:left="720" w:hanging="360"/>
        <w:rPr/>
      </w:pPr>
      <w:r w:rsidDel="00000000" w:rsidR="00000000" w:rsidRPr="00000000">
        <w:rPr>
          <w:rtl w:val="0"/>
        </w:rPr>
        <w:t xml:space="preserve">Utilities are sticky customers, but they are also brutal buyers with procurement leverage.</w:t>
      </w:r>
    </w:p>
    <w:p w:rsidR="00000000" w:rsidDel="00000000" w:rsidP="00000000" w:rsidRDefault="00000000" w:rsidRPr="00000000" w14:paraId="000000DD">
      <w:pPr>
        <w:numPr>
          <w:ilvl w:val="0"/>
          <w:numId w:val="18"/>
        </w:numPr>
        <w:ind w:left="720" w:hanging="360"/>
        <w:rPr/>
      </w:pPr>
      <w:r w:rsidDel="00000000" w:rsidR="00000000" w:rsidRPr="00000000">
        <w:rPr>
          <w:rtl w:val="0"/>
        </w:rPr>
        <w:t xml:space="preserve">Grid interconnection delays can push revenue recognition and cash conversion out by years.</w:t>
      </w:r>
    </w:p>
    <w:p w:rsidR="00000000" w:rsidDel="00000000" w:rsidP="00000000" w:rsidRDefault="00000000" w:rsidRPr="00000000" w14:paraId="000000DE">
      <w:pPr>
        <w:numPr>
          <w:ilvl w:val="0"/>
          <w:numId w:val="18"/>
        </w:numPr>
        <w:ind w:left="720" w:hanging="360"/>
        <w:rPr/>
      </w:pPr>
      <w:r w:rsidDel="00000000" w:rsidR="00000000" w:rsidRPr="00000000">
        <w:rPr>
          <w:rtl w:val="0"/>
        </w:rPr>
        <w:t xml:space="preserve">GridOS must prove it is more than a monitoring dashboard. If it is not mission-critical, the “software margin” story collapses.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Portfolio Fit &amp; Correlation Assessment</w:t>
      </w:r>
      <w:r w:rsidDel="00000000" w:rsidR="00000000" w:rsidRPr="00000000">
        <w:rPr>
          <w:rtl w:val="0"/>
        </w:rPr>
        <w:br w:type="textWrapping"/>
        <w:t xml:space="preserve">Current portfolio from the assessment:</w:t>
      </w:r>
    </w:p>
    <w:p w:rsidR="00000000" w:rsidDel="00000000" w:rsidP="00000000" w:rsidRDefault="00000000" w:rsidRPr="00000000" w14:paraId="000000E2">
      <w:pPr>
        <w:numPr>
          <w:ilvl w:val="0"/>
          <w:numId w:val="19"/>
        </w:numPr>
        <w:ind w:left="720" w:hanging="360"/>
        <w:rPr/>
      </w:pPr>
      <w:r w:rsidDel="00000000" w:rsidR="00000000" w:rsidRPr="00000000">
        <w:rPr>
          <w:b w:val="1"/>
          <w:bCs w:val="1"/>
          <w:rtl w:val="0"/>
        </w:rPr>
        <w:t xml:space="preserve">ASML:</w:t>
      </w:r>
      <w:r w:rsidDel="00000000" w:rsidR="00000000" w:rsidRPr="00000000">
        <w:rPr>
          <w:rtl w:val="0"/>
        </w:rPr>
        <w:t xml:space="preserve"> semiconductor / AI capex.</w:t>
      </w:r>
    </w:p>
    <w:p w:rsidR="00000000" w:rsidDel="00000000" w:rsidP="00000000" w:rsidRDefault="00000000" w:rsidRPr="00000000" w14:paraId="000000E3">
      <w:pPr>
        <w:numPr>
          <w:ilvl w:val="0"/>
          <w:numId w:val="19"/>
        </w:numPr>
        <w:ind w:left="720" w:hanging="360"/>
        <w:rPr/>
      </w:pPr>
      <w:r w:rsidDel="00000000" w:rsidR="00000000" w:rsidRPr="00000000">
        <w:rPr>
          <w:b w:val="1"/>
          <w:bCs w:val="1"/>
          <w:rtl w:val="0"/>
        </w:rPr>
        <w:t xml:space="preserve">NOVO-B:</w:t>
      </w:r>
      <w:r w:rsidDel="00000000" w:rsidR="00000000" w:rsidRPr="00000000">
        <w:rPr>
          <w:rtl w:val="0"/>
        </w:rPr>
        <w:t xml:space="preserve"> healthcare / pharma.</w:t>
      </w:r>
    </w:p>
    <w:p w:rsidR="00000000" w:rsidDel="00000000" w:rsidP="00000000" w:rsidRDefault="00000000" w:rsidRPr="00000000" w14:paraId="000000E4">
      <w:pPr>
        <w:numPr>
          <w:ilvl w:val="0"/>
          <w:numId w:val="19"/>
        </w:numPr>
        <w:ind w:left="720" w:hanging="360"/>
        <w:rPr/>
      </w:pPr>
      <w:r w:rsidDel="00000000" w:rsidR="00000000" w:rsidRPr="00000000">
        <w:rPr>
          <w:b w:val="1"/>
          <w:bCs w:val="1"/>
          <w:rtl w:val="0"/>
        </w:rPr>
        <w:t xml:space="preserve">PVH:</w:t>
      </w:r>
      <w:r w:rsidDel="00000000" w:rsidR="00000000" w:rsidRPr="00000000">
        <w:rPr>
          <w:rtl w:val="0"/>
        </w:rPr>
        <w:t xml:space="preserve"> consumer discretionary.</w:t>
      </w:r>
    </w:p>
    <w:p w:rsidR="00000000" w:rsidDel="00000000" w:rsidP="00000000" w:rsidRDefault="00000000" w:rsidRPr="00000000" w14:paraId="000000E5">
      <w:pPr>
        <w:numPr>
          <w:ilvl w:val="0"/>
          <w:numId w:val="19"/>
        </w:numPr>
        <w:ind w:left="720" w:hanging="360"/>
        <w:rPr/>
      </w:pPr>
      <w:r w:rsidDel="00000000" w:rsidR="00000000" w:rsidRPr="00000000">
        <w:rPr>
          <w:b w:val="1"/>
          <w:bCs w:val="1"/>
          <w:rtl w:val="0"/>
        </w:rPr>
        <w:t xml:space="preserve">XLU:</w:t>
      </w:r>
      <w:r w:rsidDel="00000000" w:rsidR="00000000" w:rsidRPr="00000000">
        <w:rPr>
          <w:rtl w:val="0"/>
        </w:rPr>
        <w:t xml:space="preserve"> utilities ETF.</w:t>
      </w:r>
    </w:p>
    <w:p w:rsidR="00000000" w:rsidDel="00000000" w:rsidP="00000000" w:rsidRDefault="00000000" w:rsidRPr="00000000" w14:paraId="000000E6">
      <w:pPr>
        <w:numPr>
          <w:ilvl w:val="0"/>
          <w:numId w:val="19"/>
        </w:numPr>
        <w:ind w:left="720" w:hanging="360"/>
        <w:rPr/>
      </w:pPr>
      <w:r w:rsidDel="00000000" w:rsidR="00000000" w:rsidRPr="00000000">
        <w:rPr>
          <w:b w:val="1"/>
          <w:bCs w:val="1"/>
          <w:rtl w:val="0"/>
        </w:rPr>
        <w:t xml:space="preserve">GLD:</w:t>
      </w:r>
      <w:r w:rsidDel="00000000" w:rsidR="00000000" w:rsidRPr="00000000">
        <w:rPr>
          <w:rtl w:val="0"/>
        </w:rPr>
        <w:t xml:space="preserve"> gold / real asset hedge.</w:t>
      </w:r>
    </w:p>
    <w:p w:rsidR="00000000" w:rsidDel="00000000" w:rsidP="00000000" w:rsidRDefault="00000000" w:rsidRPr="00000000" w14:paraId="000000E7">
      <w:pPr>
        <w:rPr/>
      </w:pPr>
      <w:r w:rsidDel="00000000" w:rsidR="00000000" w:rsidRPr="00000000">
        <w:rPr>
          <w:rtl w:val="0"/>
        </w:rPr>
        <w:t xml:space="preserve">EDEN strategy matters here. EDEN’s stated framework is long-term, capital-protective, all-weather inspired, with a Core portfolio for risk aversion and a Learn portfolio for active alpha. The Stocks sleeve is explicitly high-risk/high-reward and limited to a maximum of five single names. (</w:t>
      </w:r>
      <w:hyperlink r:id="rId7">
        <w:r w:rsidDel="00000000" w:rsidR="00000000" w:rsidRPr="00000000">
          <w:rPr>
            <w:color w:val="0563c1"/>
            <w:u w:val="single"/>
            <w:rtl w:val="0"/>
          </w:rPr>
          <w:t xml:space="preserve">ie.edu</w:t>
        </w:r>
      </w:hyperlink>
      <w:r w:rsidDel="00000000" w:rsidR="00000000" w:rsidRPr="00000000">
        <w:rPr>
          <w:rtl w:val="0"/>
        </w:rPr>
        <w:t xml:space="preserve">)</w:t>
      </w:r>
    </w:p>
    <w:p w:rsidR="00000000" w:rsidDel="00000000" w:rsidP="00000000" w:rsidRDefault="00000000" w:rsidRPr="00000000" w14:paraId="000000E8">
      <w:pPr>
        <w:rPr>
          <w:b w:val="1"/>
          <w:bCs w:val="1"/>
          <w:color w:val="ee0000"/>
          <w:sz w:val="36"/>
          <w:szCs w:val="36"/>
          <w:u w:val="single"/>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color w:val="ee0000"/>
          <w:sz w:val="36"/>
          <w:szCs w:val="36"/>
          <w:u w:val="single"/>
          <w:rtl w:val="0"/>
        </w:rPr>
        <w:t xml:space="preserve">Qualitative Correlation Matrix</w:t>
      </w:r>
      <w:r w:rsidDel="00000000" w:rsidR="00000000" w:rsidRPr="00000000">
        <w:rPr>
          <w:rtl w:val="0"/>
        </w:rPr>
      </w:r>
    </w:p>
    <w:tbl>
      <w:tblPr>
        <w:tblStyle w:val="Table2"/>
        <w:tblW w:w="9360.0" w:type="dxa"/>
        <w:jc w:val="left"/>
        <w:tblLayout w:type="fixed"/>
        <w:tblLook w:val="0400"/>
      </w:tblPr>
      <w:tblGrid>
        <w:gridCol w:w="2634"/>
        <w:gridCol w:w="2680"/>
        <w:gridCol w:w="4046"/>
        <w:tblGridChange w:id="0">
          <w:tblGrid>
            <w:gridCol w:w="2634"/>
            <w:gridCol w:w="2680"/>
            <w:gridCol w:w="4046"/>
          </w:tblGrid>
        </w:tblGridChange>
      </w:tblGrid>
      <w:tr>
        <w:trPr>
          <w:cantSplit w:val="0"/>
          <w:tblHeader w:val="1"/>
        </w:trPr>
        <w:tc>
          <w:tcPr>
            <w:vAlign w:val="center"/>
          </w:tcPr>
          <w:p w:rsidR="00000000" w:rsidDel="00000000" w:rsidP="00000000" w:rsidRDefault="00000000" w:rsidRPr="00000000" w14:paraId="000000EA">
            <w:pPr>
              <w:rPr>
                <w:b w:val="1"/>
                <w:bCs w:val="1"/>
              </w:rPr>
            </w:pPr>
            <w:r w:rsidDel="00000000" w:rsidR="00000000" w:rsidRPr="00000000">
              <w:rPr>
                <w:b w:val="1"/>
                <w:bCs w:val="1"/>
                <w:rtl w:val="0"/>
              </w:rPr>
              <w:t xml:space="preserve">Exposure</w:t>
            </w:r>
          </w:p>
        </w:tc>
        <w:tc>
          <w:tcPr>
            <w:vAlign w:val="center"/>
          </w:tcPr>
          <w:p w:rsidR="00000000" w:rsidDel="00000000" w:rsidP="00000000" w:rsidRDefault="00000000" w:rsidRPr="00000000" w14:paraId="000000EB">
            <w:pPr>
              <w:rPr>
                <w:b w:val="1"/>
                <w:bCs w:val="1"/>
              </w:rPr>
            </w:pPr>
            <w:r w:rsidDel="00000000" w:rsidR="00000000" w:rsidRPr="00000000">
              <w:rPr>
                <w:b w:val="1"/>
                <w:bCs w:val="1"/>
                <w:rtl w:val="0"/>
              </w:rPr>
              <w:t xml:space="preserve">Orion</w:t>
            </w:r>
          </w:p>
        </w:tc>
        <w:tc>
          <w:tcPr>
            <w:vAlign w:val="center"/>
          </w:tcPr>
          <w:p w:rsidR="00000000" w:rsidDel="00000000" w:rsidP="00000000" w:rsidRDefault="00000000" w:rsidRPr="00000000" w14:paraId="000000EC">
            <w:pPr>
              <w:rPr>
                <w:b w:val="1"/>
                <w:bCs w:val="1"/>
              </w:rPr>
            </w:pPr>
            <w:r w:rsidDel="00000000" w:rsidR="00000000" w:rsidRPr="00000000">
              <w:rPr>
                <w:b w:val="1"/>
                <w:bCs w:val="1"/>
                <w:rtl w:val="0"/>
              </w:rPr>
              <w:t xml:space="preserve">Cleanergy</w:t>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rtl w:val="0"/>
              </w:rPr>
              <w:t xml:space="preserve">ASML / semis / AI capex</w:t>
            </w:r>
          </w:p>
        </w:tc>
        <w:tc>
          <w:tcPr>
            <w:vAlign w:val="center"/>
          </w:tcPr>
          <w:p w:rsidR="00000000" w:rsidDel="00000000" w:rsidP="00000000" w:rsidRDefault="00000000" w:rsidRPr="00000000" w14:paraId="000000EE">
            <w:pPr>
              <w:rPr/>
            </w:pPr>
            <w:r w:rsidDel="00000000" w:rsidR="00000000" w:rsidRPr="00000000">
              <w:rPr>
                <w:rtl w:val="0"/>
              </w:rPr>
              <w:t xml:space="preserve">High</w:t>
            </w:r>
          </w:p>
        </w:tc>
        <w:tc>
          <w:tcPr>
            <w:vAlign w:val="center"/>
          </w:tcPr>
          <w:p w:rsidR="00000000" w:rsidDel="00000000" w:rsidP="00000000" w:rsidRDefault="00000000" w:rsidRPr="00000000" w14:paraId="000000EF">
            <w:pPr>
              <w:rPr/>
            </w:pPr>
            <w:r w:rsidDel="00000000" w:rsidR="00000000" w:rsidRPr="00000000">
              <w:rPr>
                <w:rtl w:val="0"/>
              </w:rPr>
              <w:t xml:space="preserve">Low</w:t>
            </w:r>
          </w:p>
        </w:tc>
      </w:tr>
      <w:tr>
        <w:trPr>
          <w:cantSplit w:val="0"/>
          <w:tblHeader w:val="0"/>
        </w:trPr>
        <w:tc>
          <w:tcPr>
            <w:vAlign w:val="center"/>
          </w:tcPr>
          <w:p w:rsidR="00000000" w:rsidDel="00000000" w:rsidP="00000000" w:rsidRDefault="00000000" w:rsidRPr="00000000" w14:paraId="000000F0">
            <w:pPr>
              <w:rPr/>
            </w:pPr>
            <w:r w:rsidDel="00000000" w:rsidR="00000000" w:rsidRPr="00000000">
              <w:rPr>
                <w:rtl w:val="0"/>
              </w:rPr>
              <w:t xml:space="preserve">XLU / regulated utilities</w:t>
            </w:r>
          </w:p>
        </w:tc>
        <w:tc>
          <w:tcPr>
            <w:vAlign w:val="center"/>
          </w:tcPr>
          <w:p w:rsidR="00000000" w:rsidDel="00000000" w:rsidP="00000000" w:rsidRDefault="00000000" w:rsidRPr="00000000" w14:paraId="000000F1">
            <w:pPr>
              <w:rPr/>
            </w:pPr>
            <w:r w:rsidDel="00000000" w:rsidR="00000000" w:rsidRPr="00000000">
              <w:rPr>
                <w:rtl w:val="0"/>
              </w:rPr>
              <w:t xml:space="preserve">Low-medium</w:t>
            </w:r>
          </w:p>
        </w:tc>
        <w:tc>
          <w:tcPr>
            <w:vAlign w:val="center"/>
          </w:tcPr>
          <w:p w:rsidR="00000000" w:rsidDel="00000000" w:rsidP="00000000" w:rsidRDefault="00000000" w:rsidRPr="00000000" w14:paraId="000000F2">
            <w:pPr>
              <w:rPr/>
            </w:pPr>
            <w:r w:rsidDel="00000000" w:rsidR="00000000" w:rsidRPr="00000000">
              <w:rPr>
                <w:rtl w:val="0"/>
              </w:rPr>
              <w:t xml:space="preserve">High</w:t>
            </w:r>
          </w:p>
        </w:tc>
      </w:tr>
      <w:tr>
        <w:trPr>
          <w:cantSplit w:val="0"/>
          <w:tblHeader w:val="0"/>
        </w:trPr>
        <w:tc>
          <w:tcPr>
            <w:vAlign w:val="center"/>
          </w:tcPr>
          <w:p w:rsidR="00000000" w:rsidDel="00000000" w:rsidP="00000000" w:rsidRDefault="00000000" w:rsidRPr="00000000" w14:paraId="000000F3">
            <w:pPr>
              <w:rPr/>
            </w:pPr>
            <w:r w:rsidDel="00000000" w:rsidR="00000000" w:rsidRPr="00000000">
              <w:rPr>
                <w:rtl w:val="0"/>
              </w:rPr>
              <w:t xml:space="preserve">GLD / crisis hedge</w:t>
            </w:r>
          </w:p>
        </w:tc>
        <w:tc>
          <w:tcPr>
            <w:vAlign w:val="center"/>
          </w:tcPr>
          <w:p w:rsidR="00000000" w:rsidDel="00000000" w:rsidP="00000000" w:rsidRDefault="00000000" w:rsidRPr="00000000" w14:paraId="000000F4">
            <w:pPr>
              <w:rPr/>
            </w:pPr>
            <w:r w:rsidDel="00000000" w:rsidR="00000000" w:rsidRPr="00000000">
              <w:rPr>
                <w:rtl w:val="0"/>
              </w:rPr>
              <w:t xml:space="preserve">Low</w:t>
            </w:r>
          </w:p>
        </w:tc>
        <w:tc>
          <w:tcPr>
            <w:vAlign w:val="center"/>
          </w:tcPr>
          <w:p w:rsidR="00000000" w:rsidDel="00000000" w:rsidP="00000000" w:rsidRDefault="00000000" w:rsidRPr="00000000" w14:paraId="000000F5">
            <w:pPr>
              <w:rPr/>
            </w:pPr>
            <w:r w:rsidDel="00000000" w:rsidR="00000000" w:rsidRPr="00000000">
              <w:rPr>
                <w:rtl w:val="0"/>
              </w:rPr>
              <w:t xml:space="preserve">Low</w:t>
            </w:r>
          </w:p>
        </w:tc>
      </w:tr>
      <w:tr>
        <w:trPr>
          <w:cantSplit w:val="0"/>
          <w:tblHeader w:val="0"/>
        </w:trPr>
        <w:tc>
          <w:tcPr>
            <w:vAlign w:val="center"/>
          </w:tcPr>
          <w:p w:rsidR="00000000" w:rsidDel="00000000" w:rsidP="00000000" w:rsidRDefault="00000000" w:rsidRPr="00000000" w14:paraId="000000F6">
            <w:pPr>
              <w:rPr/>
            </w:pPr>
            <w:r w:rsidDel="00000000" w:rsidR="00000000" w:rsidRPr="00000000">
              <w:rPr>
                <w:rtl w:val="0"/>
              </w:rPr>
              <w:t xml:space="preserve">NOVO-B / defensive healthcare</w:t>
            </w:r>
          </w:p>
        </w:tc>
        <w:tc>
          <w:tcPr>
            <w:vAlign w:val="center"/>
          </w:tcPr>
          <w:p w:rsidR="00000000" w:rsidDel="00000000" w:rsidP="00000000" w:rsidRDefault="00000000" w:rsidRPr="00000000" w14:paraId="000000F7">
            <w:pPr>
              <w:rPr/>
            </w:pPr>
            <w:r w:rsidDel="00000000" w:rsidR="00000000" w:rsidRPr="00000000">
              <w:rPr>
                <w:rtl w:val="0"/>
              </w:rPr>
              <w:t xml:space="preserve">Low</w:t>
            </w:r>
          </w:p>
        </w:tc>
        <w:tc>
          <w:tcPr>
            <w:vAlign w:val="center"/>
          </w:tcPr>
          <w:p w:rsidR="00000000" w:rsidDel="00000000" w:rsidP="00000000" w:rsidRDefault="00000000" w:rsidRPr="00000000" w14:paraId="000000F8">
            <w:pPr>
              <w:rPr/>
            </w:pPr>
            <w:r w:rsidDel="00000000" w:rsidR="00000000" w:rsidRPr="00000000">
              <w:rPr>
                <w:rtl w:val="0"/>
              </w:rPr>
              <w:t xml:space="preserve">Low</w:t>
            </w:r>
          </w:p>
        </w:tc>
      </w:tr>
      <w:tr>
        <w:trPr>
          <w:cantSplit w:val="0"/>
          <w:tblHeader w:val="0"/>
        </w:trPr>
        <w:tc>
          <w:tcPr>
            <w:vAlign w:val="center"/>
          </w:tcPr>
          <w:p w:rsidR="00000000" w:rsidDel="00000000" w:rsidP="00000000" w:rsidRDefault="00000000" w:rsidRPr="00000000" w14:paraId="000000F9">
            <w:pPr>
              <w:rPr/>
            </w:pPr>
            <w:r w:rsidDel="00000000" w:rsidR="00000000" w:rsidRPr="00000000">
              <w:rPr>
                <w:rtl w:val="0"/>
              </w:rPr>
              <w:t xml:space="preserve">PVH / consumer cycle</w:t>
            </w:r>
          </w:p>
        </w:tc>
        <w:tc>
          <w:tcPr>
            <w:vAlign w:val="center"/>
          </w:tcPr>
          <w:p w:rsidR="00000000" w:rsidDel="00000000" w:rsidP="00000000" w:rsidRDefault="00000000" w:rsidRPr="00000000" w14:paraId="000000FA">
            <w:pPr>
              <w:rPr/>
            </w:pPr>
            <w:r w:rsidDel="00000000" w:rsidR="00000000" w:rsidRPr="00000000">
              <w:rPr>
                <w:rtl w:val="0"/>
              </w:rPr>
              <w:t xml:space="preserve">Low</w:t>
            </w:r>
          </w:p>
        </w:tc>
        <w:tc>
          <w:tcPr>
            <w:vAlign w:val="center"/>
          </w:tcPr>
          <w:p w:rsidR="00000000" w:rsidDel="00000000" w:rsidP="00000000" w:rsidRDefault="00000000" w:rsidRPr="00000000" w14:paraId="000000FB">
            <w:pPr>
              <w:rPr/>
            </w:pPr>
            <w:r w:rsidDel="00000000" w:rsidR="00000000" w:rsidRPr="00000000">
              <w:rPr>
                <w:rtl w:val="0"/>
              </w:rPr>
              <w:t xml:space="preserve">Low-medium via macro rates/consumer demand</w:t>
            </w:r>
          </w:p>
        </w:tc>
      </w:tr>
      <w:tr>
        <w:trPr>
          <w:cantSplit w:val="0"/>
          <w:tblHeader w:val="0"/>
        </w:trPr>
        <w:tc>
          <w:tcPr>
            <w:vAlign w:val="center"/>
          </w:tcPr>
          <w:p w:rsidR="00000000" w:rsidDel="00000000" w:rsidP="00000000" w:rsidRDefault="00000000" w:rsidRPr="00000000" w14:paraId="000000FC">
            <w:pPr>
              <w:rPr/>
            </w:pPr>
            <w:r w:rsidDel="00000000" w:rsidR="00000000" w:rsidRPr="00000000">
              <w:rPr>
                <w:rtl w:val="0"/>
              </w:rPr>
              <w:t xml:space="preserve">Interest-rate sensitivity</w:t>
            </w:r>
          </w:p>
        </w:tc>
        <w:tc>
          <w:tcPr>
            <w:vAlign w:val="center"/>
          </w:tcPr>
          <w:p w:rsidR="00000000" w:rsidDel="00000000" w:rsidP="00000000" w:rsidRDefault="00000000" w:rsidRPr="00000000" w14:paraId="000000FD">
            <w:pPr>
              <w:rPr/>
            </w:pPr>
            <w:r w:rsidDel="00000000" w:rsidR="00000000" w:rsidRPr="00000000">
              <w:rPr>
                <w:rtl w:val="0"/>
              </w:rPr>
              <w:t xml:space="preserve">Medium</w:t>
            </w:r>
          </w:p>
        </w:tc>
        <w:tc>
          <w:tcPr>
            <w:vAlign w:val="center"/>
          </w:tcPr>
          <w:p w:rsidR="00000000" w:rsidDel="00000000" w:rsidP="00000000" w:rsidRDefault="00000000" w:rsidRPr="00000000" w14:paraId="000000FE">
            <w:pPr>
              <w:rPr/>
            </w:pPr>
            <w:r w:rsidDel="00000000" w:rsidR="00000000" w:rsidRPr="00000000">
              <w:rPr>
                <w:rtl w:val="0"/>
              </w:rPr>
              <w:t xml:space="preserve">High</w:t>
            </w:r>
          </w:p>
        </w:tc>
      </w:tr>
      <w:tr>
        <w:trPr>
          <w:cantSplit w:val="0"/>
          <w:tblHeader w:val="0"/>
        </w:trPr>
        <w:tc>
          <w:tcPr>
            <w:vAlign w:val="center"/>
          </w:tcPr>
          <w:p w:rsidR="00000000" w:rsidDel="00000000" w:rsidP="00000000" w:rsidRDefault="00000000" w:rsidRPr="00000000" w14:paraId="000000FF">
            <w:pPr>
              <w:rPr/>
            </w:pPr>
            <w:r w:rsidDel="00000000" w:rsidR="00000000" w:rsidRPr="00000000">
              <w:rPr>
                <w:rtl w:val="0"/>
              </w:rPr>
              <w:t xml:space="preserve">China / geopolitics</w:t>
            </w:r>
          </w:p>
        </w:tc>
        <w:tc>
          <w:tcPr>
            <w:vAlign w:val="center"/>
          </w:tcPr>
          <w:p w:rsidR="00000000" w:rsidDel="00000000" w:rsidP="00000000" w:rsidRDefault="00000000" w:rsidRPr="00000000" w14:paraId="00000100">
            <w:pPr>
              <w:rPr/>
            </w:pPr>
            <w:r w:rsidDel="00000000" w:rsidR="00000000" w:rsidRPr="00000000">
              <w:rPr>
                <w:rtl w:val="0"/>
              </w:rPr>
              <w:t xml:space="preserve">Medium-high via Taiwan/semis</w:t>
            </w:r>
          </w:p>
        </w:tc>
        <w:tc>
          <w:tcPr>
            <w:vAlign w:val="center"/>
          </w:tcPr>
          <w:p w:rsidR="00000000" w:rsidDel="00000000" w:rsidP="00000000" w:rsidRDefault="00000000" w:rsidRPr="00000000" w14:paraId="00000101">
            <w:pPr>
              <w:rPr/>
            </w:pPr>
            <w:r w:rsidDel="00000000" w:rsidR="00000000" w:rsidRPr="00000000">
              <w:rPr>
                <w:rtl w:val="0"/>
              </w:rPr>
              <w:t xml:space="preserve">High via CATL/battery supply chain</w:t>
            </w:r>
          </w:p>
        </w:tc>
      </w:tr>
      <w:tr>
        <w:trPr>
          <w:cantSplit w:val="0"/>
          <w:tblHeader w:val="0"/>
        </w:trPr>
        <w:tc>
          <w:tcPr>
            <w:vAlign w:val="center"/>
          </w:tcPr>
          <w:p w:rsidR="00000000" w:rsidDel="00000000" w:rsidP="00000000" w:rsidRDefault="00000000" w:rsidRPr="00000000" w14:paraId="00000102">
            <w:pPr>
              <w:rPr/>
            </w:pPr>
            <w:r w:rsidDel="00000000" w:rsidR="00000000" w:rsidRPr="00000000">
              <w:rPr>
                <w:rtl w:val="0"/>
              </w:rPr>
              <w:t xml:space="preserve">AI demand</w:t>
            </w:r>
          </w:p>
        </w:tc>
        <w:tc>
          <w:tcPr>
            <w:vAlign w:val="center"/>
          </w:tcPr>
          <w:p w:rsidR="00000000" w:rsidDel="00000000" w:rsidP="00000000" w:rsidRDefault="00000000" w:rsidRPr="00000000" w14:paraId="00000103">
            <w:pPr>
              <w:rPr/>
            </w:pPr>
            <w:r w:rsidDel="00000000" w:rsidR="00000000" w:rsidRPr="00000000">
              <w:rPr>
                <w:rtl w:val="0"/>
              </w:rPr>
              <w:t xml:space="preserve">High direct</w:t>
            </w:r>
          </w:p>
        </w:tc>
        <w:tc>
          <w:tcPr>
            <w:vAlign w:val="center"/>
          </w:tcPr>
          <w:p w:rsidR="00000000" w:rsidDel="00000000" w:rsidP="00000000" w:rsidRDefault="00000000" w:rsidRPr="00000000" w14:paraId="00000104">
            <w:pPr>
              <w:rPr/>
            </w:pPr>
            <w:r w:rsidDel="00000000" w:rsidR="00000000" w:rsidRPr="00000000">
              <w:rPr>
                <w:rtl w:val="0"/>
              </w:rPr>
              <w:t xml:space="preserve">Medium indirect via data-center power/storage</w:t>
            </w:r>
          </w:p>
        </w:tc>
      </w:tr>
      <w:tr>
        <w:trPr>
          <w:cantSplit w:val="0"/>
          <w:tblHeader w:val="0"/>
        </w:trPr>
        <w:tc>
          <w:tcPr>
            <w:vAlign w:val="center"/>
          </w:tcPr>
          <w:p w:rsidR="00000000" w:rsidDel="00000000" w:rsidP="00000000" w:rsidRDefault="00000000" w:rsidRPr="00000000" w14:paraId="00000105">
            <w:pPr>
              <w:rPr/>
            </w:pPr>
            <w:r w:rsidDel="00000000" w:rsidR="00000000" w:rsidRPr="00000000">
              <w:rPr>
                <w:rtl w:val="0"/>
              </w:rPr>
              <w:t xml:space="preserve">Energy transition</w:t>
            </w:r>
          </w:p>
        </w:tc>
        <w:tc>
          <w:tcPr>
            <w:vAlign w:val="center"/>
          </w:tcPr>
          <w:p w:rsidR="00000000" w:rsidDel="00000000" w:rsidP="00000000" w:rsidRDefault="00000000" w:rsidRPr="00000000" w14:paraId="00000106">
            <w:pPr>
              <w:rPr/>
            </w:pPr>
            <w:r w:rsidDel="00000000" w:rsidR="00000000" w:rsidRPr="00000000">
              <w:rPr>
                <w:rtl w:val="0"/>
              </w:rPr>
              <w:t xml:space="preserve">Low</w:t>
            </w:r>
          </w:p>
        </w:tc>
        <w:tc>
          <w:tcPr>
            <w:vAlign w:val="center"/>
          </w:tcPr>
          <w:p w:rsidR="00000000" w:rsidDel="00000000" w:rsidP="00000000" w:rsidRDefault="00000000" w:rsidRPr="00000000" w14:paraId="00000107">
            <w:pPr>
              <w:rPr/>
            </w:pPr>
            <w:r w:rsidDel="00000000" w:rsidR="00000000" w:rsidRPr="00000000">
              <w:rPr>
                <w:rtl w:val="0"/>
              </w:rPr>
              <w:t xml:space="preserve">High</w:t>
            </w:r>
          </w:p>
        </w:tc>
      </w:tr>
      <w:tr>
        <w:trPr>
          <w:cantSplit w:val="0"/>
          <w:tblHeader w:val="0"/>
        </w:trPr>
        <w:tc>
          <w:tcPr>
            <w:vAlign w:val="center"/>
          </w:tcPr>
          <w:p w:rsidR="00000000" w:rsidDel="00000000" w:rsidP="00000000" w:rsidRDefault="00000000" w:rsidRPr="00000000" w14:paraId="00000108">
            <w:pPr>
              <w:rPr/>
            </w:pPr>
            <w:r w:rsidDel="00000000" w:rsidR="00000000" w:rsidRPr="00000000">
              <w:rPr>
                <w:rtl w:val="0"/>
              </w:rPr>
              <w:t xml:space="preserve">Cyclical industrial capex</w:t>
            </w:r>
          </w:p>
        </w:tc>
        <w:tc>
          <w:tcPr>
            <w:vAlign w:val="center"/>
          </w:tcPr>
          <w:p w:rsidR="00000000" w:rsidDel="00000000" w:rsidP="00000000" w:rsidRDefault="00000000" w:rsidRPr="00000000" w14:paraId="00000109">
            <w:pPr>
              <w:rPr/>
            </w:pPr>
            <w:r w:rsidDel="00000000" w:rsidR="00000000" w:rsidRPr="00000000">
              <w:rPr>
                <w:rtl w:val="0"/>
              </w:rPr>
              <w:t xml:space="preserve">Medium</w:t>
            </w:r>
          </w:p>
        </w:tc>
        <w:tc>
          <w:tcPr>
            <w:vAlign w:val="center"/>
          </w:tcPr>
          <w:p w:rsidR="00000000" w:rsidDel="00000000" w:rsidP="00000000" w:rsidRDefault="00000000" w:rsidRPr="00000000" w14:paraId="0000010A">
            <w:pPr>
              <w:rPr/>
            </w:pPr>
            <w:r w:rsidDel="00000000" w:rsidR="00000000" w:rsidRPr="00000000">
              <w:rPr>
                <w:rtl w:val="0"/>
              </w:rPr>
              <w:t xml:space="preserve">Medium-high</w:t>
            </w:r>
          </w:p>
        </w:tc>
      </w:tr>
    </w:tbl>
    <w:p w:rsidR="00000000" w:rsidDel="00000000" w:rsidP="00000000" w:rsidRDefault="00000000" w:rsidRPr="00000000" w14:paraId="0000010B">
      <w:pPr>
        <w:rPr/>
      </w:pPr>
      <w:r w:rsidDel="00000000" w:rsidR="00000000" w:rsidRPr="00000000">
        <w:rPr>
          <w:b w:val="1"/>
          <w:bCs w:val="1"/>
          <w:rtl w:val="0"/>
        </w:rPr>
        <w:t xml:space="preserve">Portfolio interpretation</w:t>
      </w:r>
      <w:r w:rsidDel="00000000" w:rsidR="00000000" w:rsidRPr="00000000">
        <w:rPr>
          <w:rtl w:val="0"/>
        </w:rPr>
      </w:r>
    </w:p>
    <w:p w:rsidR="00000000" w:rsidDel="00000000" w:rsidP="00000000" w:rsidRDefault="00000000" w:rsidRPr="00000000" w14:paraId="0000010C">
      <w:pPr>
        <w:numPr>
          <w:ilvl w:val="0"/>
          <w:numId w:val="20"/>
        </w:numPr>
        <w:ind w:left="720" w:hanging="360"/>
        <w:rPr/>
      </w:pPr>
      <w:r w:rsidDel="00000000" w:rsidR="00000000" w:rsidRPr="00000000">
        <w:rPr>
          <w:b w:val="1"/>
          <w:bCs w:val="1"/>
          <w:rtl w:val="0"/>
        </w:rPr>
        <w:t xml:space="preserve">Orion increases concentration risk.</w:t>
      </w:r>
      <w:r w:rsidDel="00000000" w:rsidR="00000000" w:rsidRPr="00000000">
        <w:rPr>
          <w:rtl w:val="0"/>
        </w:rPr>
        <w:t xml:space="preserve"> It is not the same business as ASML, but it is tied to the same broad factor: AI semiconductor capex, advanced foundry capacity, and long-duration growth. ASML sells equipment into the semiconductor production chain; Orion buys scarce foundry capacity and sells chips. Different value-chain point, same macro quadrant.</w:t>
      </w:r>
    </w:p>
    <w:p w:rsidR="00000000" w:rsidDel="00000000" w:rsidP="00000000" w:rsidRDefault="00000000" w:rsidRPr="00000000" w14:paraId="0000010D">
      <w:pPr>
        <w:numPr>
          <w:ilvl w:val="0"/>
          <w:numId w:val="20"/>
        </w:numPr>
        <w:ind w:left="720" w:hanging="360"/>
        <w:rPr/>
      </w:pPr>
      <w:r w:rsidDel="00000000" w:rsidR="00000000" w:rsidRPr="00000000">
        <w:rPr>
          <w:b w:val="1"/>
          <w:bCs w:val="1"/>
          <w:rtl w:val="0"/>
        </w:rPr>
        <w:t xml:space="preserve">Cleanergy diversifies the active stock sleeve.</w:t>
      </w:r>
      <w:r w:rsidDel="00000000" w:rsidR="00000000" w:rsidRPr="00000000">
        <w:rPr>
          <w:rtl w:val="0"/>
        </w:rPr>
        <w:t xml:space="preserve"> It adds energy-transition and industrial infrastructure exposure, which the current single-name book lacks.</w:t>
      </w:r>
    </w:p>
    <w:p w:rsidR="00000000" w:rsidDel="00000000" w:rsidP="00000000" w:rsidRDefault="00000000" w:rsidRPr="00000000" w14:paraId="0000010E">
      <w:pPr>
        <w:numPr>
          <w:ilvl w:val="0"/>
          <w:numId w:val="20"/>
        </w:numPr>
        <w:ind w:left="720" w:hanging="360"/>
        <w:rPr/>
      </w:pPr>
      <w:r w:rsidDel="00000000" w:rsidR="00000000" w:rsidRPr="00000000">
        <w:rPr>
          <w:b w:val="1"/>
          <w:bCs w:val="1"/>
          <w:rtl w:val="0"/>
        </w:rPr>
        <w:t xml:space="preserve">Cleanergy is not uncorrelated with the total portfolio.</w:t>
      </w:r>
      <w:r w:rsidDel="00000000" w:rsidR="00000000" w:rsidRPr="00000000">
        <w:rPr>
          <w:rtl w:val="0"/>
        </w:rPr>
        <w:t xml:space="preserve"> It overlaps thematically with XLU because its customers are utilities, but that is not necessarily bad: XLU is the defensive utility index expression; Cleanergy is the higher-beta operating leverage expression.</w:t>
      </w:r>
    </w:p>
    <w:p w:rsidR="00000000" w:rsidDel="00000000" w:rsidP="00000000" w:rsidRDefault="00000000" w:rsidRPr="00000000" w14:paraId="0000010F">
      <w:pPr>
        <w:numPr>
          <w:ilvl w:val="0"/>
          <w:numId w:val="20"/>
        </w:numPr>
        <w:ind w:left="720" w:hanging="360"/>
        <w:rPr/>
      </w:pPr>
      <w:r w:rsidDel="00000000" w:rsidR="00000000" w:rsidRPr="00000000">
        <w:rPr>
          <w:b w:val="1"/>
          <w:bCs w:val="1"/>
          <w:rtl w:val="0"/>
        </w:rPr>
        <w:t xml:space="preserve">Mindset fit:</w:t>
      </w:r>
      <w:r w:rsidDel="00000000" w:rsidR="00000000" w:rsidRPr="00000000">
        <w:rPr>
          <w:rtl w:val="0"/>
        </w:rPr>
        <w:t xml:space="preserve"> Cleanergy fits the Learn sleeve’s high-risk/high-reward mandate better than the Core mandate. Orion fits “high-moat tech” better, but the portfolio already has a high-quality semiconductor expression in ASML.</w:t>
      </w:r>
    </w:p>
    <w:p w:rsidR="00000000" w:rsidDel="00000000" w:rsidP="00000000" w:rsidRDefault="00000000" w:rsidRPr="00000000" w14:paraId="00000110">
      <w:pPr>
        <w:rPr/>
      </w:pPr>
      <w:r w:rsidDel="00000000" w:rsidR="00000000" w:rsidRPr="00000000">
        <w:rPr>
          <w:b w:val="1"/>
          <w:bCs w:val="1"/>
          <w:rtl w:val="0"/>
        </w:rPr>
        <w:t xml:space="preserve">Final Recommendation</w:t>
      </w:r>
      <w:r w:rsidDel="00000000" w:rsidR="00000000" w:rsidRPr="00000000">
        <w:rPr>
          <w:rtl w:val="0"/>
        </w:rPr>
        <w:br w:type="textWrapping"/>
        <w:t xml:space="preserve">For the EDEN assessment, I would pitch:</w:t>
      </w:r>
    </w:p>
    <w:p w:rsidR="00000000" w:rsidDel="00000000" w:rsidP="00000000" w:rsidRDefault="00000000" w:rsidRPr="00000000" w14:paraId="00000111">
      <w:pPr>
        <w:rPr/>
      </w:pPr>
      <w:r w:rsidDel="00000000" w:rsidR="00000000" w:rsidRPr="00000000">
        <w:rPr>
          <w:b w:val="1"/>
          <w:bCs w:val="1"/>
          <w:rtl w:val="0"/>
        </w:rPr>
        <w:t xml:space="preserve">Primary portfolio recommendation: Cleanergy, provisional on diligence.</w:t>
      </w:r>
      <w:r w:rsidDel="00000000" w:rsidR="00000000" w:rsidRPr="00000000">
        <w:rPr>
          <w:rtl w:val="0"/>
        </w:rPr>
        <w:t xml:space="preserve"> The reason is not that it is the better company; it is that it solves a portfolio construction problem Orion worsens. The pitch should be honest: Cleanergy is the right fit only if the team can defend the lease economics, GridOS software differentiation, and 47% gross margin.</w:t>
      </w:r>
    </w:p>
    <w:p w:rsidR="00000000" w:rsidDel="00000000" w:rsidP="00000000" w:rsidRDefault="00000000" w:rsidRPr="00000000" w14:paraId="00000112">
      <w:pPr>
        <w:rPr/>
      </w:pPr>
      <w:r w:rsidDel="00000000" w:rsidR="00000000" w:rsidRPr="00000000">
        <w:rPr>
          <w:b w:val="1"/>
          <w:bCs w:val="1"/>
          <w:rtl w:val="0"/>
        </w:rPr>
        <w:t xml:space="preserve">Fallback recommendation: Orion.</w:t>
      </w:r>
      <w:r w:rsidDel="00000000" w:rsidR="00000000" w:rsidRPr="00000000">
        <w:rPr>
          <w:rtl w:val="0"/>
        </w:rPr>
        <w:t xml:space="preserve"> If Cleanergy’s margin cannot be proven, do not force the diversification argument. In that case, Orion becomes the better investable candidate, but the pitch must acknowledge that EDEN is deliberately overweighting semiconductors alongside ASML.</w:t>
      </w:r>
    </w:p>
    <w:p w:rsidR="00000000" w:rsidDel="00000000" w:rsidP="00000000" w:rsidRDefault="00000000" w:rsidRPr="00000000" w14:paraId="00000113">
      <w:pPr>
        <w:rPr/>
      </w:pPr>
      <w:r w:rsidDel="00000000" w:rsidR="00000000" w:rsidRPr="00000000">
        <w:rPr>
          <w:rtl w:val="0"/>
        </w:rPr>
        <w:t xml:space="preserve">The single most important diligence question:</w:t>
        <w:br w:type="textWrapping"/>
      </w:r>
      <w:r w:rsidDel="00000000" w:rsidR="00000000" w:rsidRPr="00000000">
        <w:rPr>
          <w:b w:val="1"/>
          <w:bCs w:val="1"/>
          <w:rtl w:val="0"/>
        </w:rPr>
        <w:t xml:space="preserve">Can Cleanergy prove that its 47% gross margin is driven by recurring software/service economics rather than accounting presentation or unrealistic hardware assumptions?</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Informational analysis only, not guaranteed investment advice.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ie.edu/eden-fund/strateg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Sn2Db1bGjUtw+RsvfaYNte/PsA==">CgMxLjA4AHIhMV8yR3lmcFZIV0JIdmlHMVdteURKalQyWnhnRGFodDhL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