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2"/>
          <w:szCs w:val="52"/>
        </w:rPr>
        <w:t xml:space="preserve">Distributed Solar Power Generation for Industrial</w:t>
      </w:r>
    </w:p>
    <w:p>
      <w:pPr>
        <w:spacing w:after="240" w:before="0"/>
        <w:jc w:val="center"/>
      </w:pPr>
      <w:r>
        <w:rPr>
          <w:rFonts w:ascii="Arial" w:cs="Arial" w:eastAsia="Arial" w:hAnsi="Arial"/>
          <w:b/>
          <w:bCs/>
          <w:color w:val="1F4E79"/>
          <w:sz w:val="52"/>
          <w:szCs w:val="52"/>
        </w:rPr>
        <w:t xml:space="preserve">Applications in Sub-Saharan Africa:</w:t>
      </w:r>
    </w:p>
    <w:p>
      <w:pPr>
        <w:spacing w:after="480" w:before="0"/>
        <w:jc w:val="center"/>
      </w:pPr>
      <w:r>
        <w:rPr>
          <w:rFonts w:ascii="Arial" w:cs="Arial" w:eastAsia="Arial" w:hAnsi="Arial"/>
          <w:b/>
          <w:bCs/>
          <w:color w:val="2E75B6"/>
          <w:sz w:val="40"/>
          <w:szCs w:val="40"/>
        </w:rPr>
        <w:t xml:space="preserve">A Zambia Case Study with Integrated Agri-Ecological Design</w:t>
      </w:r>
    </w:p>
    <w:p>
      <w:pPr>
        <w:pBdr>
          <w:bottom w:val="single" w:color="2E75B6" w:sz="4" w:space="1"/>
        </w:pBdr>
        <w:spacing w:after="240" w:before="240"/>
      </w:pPr>
      <w:r>
        <w:t xml:space="preserve"/>
      </w:r>
    </w:p>
    <w:p>
      <w:pPr>
        <w:spacing w:after="120" w:before="240"/>
        <w:jc w:val="center"/>
      </w:pPr>
      <w:r>
        <w:rPr>
          <w:rFonts w:ascii="Arial" w:cs="Arial" w:eastAsia="Arial" w:hAnsi="Arial"/>
          <w:color w:val="555555"/>
          <w:sz w:val="22"/>
          <w:szCs w:val="22"/>
        </w:rPr>
        <w:t xml:space="preserve">Working Paper — Energy Systems &amp; Sustainable Development</w:t>
      </w:r>
    </w:p>
    <w:p>
      <w:pPr>
        <w:spacing w:after="120" w:before="0"/>
        <w:jc w:val="center"/>
      </w:pPr>
      <w:r>
        <w:rPr>
          <w:rFonts w:ascii="Arial" w:cs="Arial" w:eastAsia="Arial" w:hAnsi="Arial"/>
          <w:color w:val="555555"/>
          <w:sz w:val="22"/>
          <w:szCs w:val="22"/>
        </w:rPr>
        <w:t xml:space="preserve">May 2025</w:t>
      </w:r>
    </w:p>
    <w:p>
      <w:pPr>
        <w:spacing w:after="600" w:before="0"/>
        <w:jc w:val="center"/>
      </w:pPr>
      <w:r>
        <w:rPr>
          <w:rFonts w:ascii="Arial" w:cs="Arial" w:eastAsia="Arial" w:hAnsi="Arial"/>
          <w:color w:val="555555"/>
          <w:sz w:val="22"/>
          <w:szCs w:val="22"/>
        </w:rPr>
        <w:t xml:space="preserve">Prepared for: Strategic Energy Development Research Programme</w:t>
      </w:r>
    </w:p>
    <w:p>
      <w:r>
        <w:br w:type="page"/>
      </w:r>
    </w:p>
    <w:p>
      <w:pPr>
        <w:pStyle w:val="Heading1"/>
        <w:spacing w:after="120" w:before="360"/>
      </w:pPr>
      <w:r>
        <w:rPr>
          <w:rFonts w:ascii="Arial" w:cs="Arial" w:eastAsia="Arial" w:hAnsi="Arial"/>
          <w:b/>
          <w:bCs/>
          <w:color w:val="1F4E79"/>
          <w:sz w:val="32"/>
          <w:szCs w:val="32"/>
        </w:rPr>
        <w:t xml:space="preserve">Abstract</w:t>
      </w:r>
    </w:p>
    <w:p>
      <w:pPr>
        <w:spacing w:after="180" w:before="0"/>
      </w:pPr>
      <w:r>
        <w:rPr>
          <w:rFonts w:ascii="Arial" w:cs="Arial" w:eastAsia="Arial" w:hAnsi="Arial"/>
          <w:b w:val="false"/>
          <w:bCs w:val="false"/>
          <w:sz w:val="22"/>
          <w:szCs w:val="22"/>
        </w:rPr>
        <w:t xml:space="preserve">This paper presents a comprehensive feasibility and design framework for deploying small-to-medium-scale solar photovoltaic (PV) generation systems in Zambia, targeting industrial off-takers through integration with existing grid infrastructure. Zambia faces a structural energy deficit driven by an over-reliance on hydroelectric power — which accounts for approximately 84% of installed generation capacity — rendered acutely vulnerable by the 2023–2024 drought that restricted Kariba Dam output to as low as 215 MW against a nameplate capacity of 1,080 MW. The mining sector alone accounts for 50–60% of national power demand, with ZESCO requesting mines to curtail consumption by 40% during peak crisis periods in 2024.</w:t>
      </w:r>
    </w:p>
    <w:p>
      <w:pPr>
        <w:spacing w:after="60" w:before="0"/>
      </w:pPr>
      <w:r>
        <w:t xml:space="preserve"/>
      </w:r>
    </w:p>
    <w:p>
      <w:pPr>
        <w:spacing w:after="180" w:before="0"/>
      </w:pPr>
      <w:r>
        <w:rPr>
          <w:rFonts w:ascii="Arial" w:cs="Arial" w:eastAsia="Arial" w:hAnsi="Arial"/>
          <w:b w:val="false"/>
          <w:bCs w:val="false"/>
          <w:sz w:val="22"/>
          <w:szCs w:val="22"/>
        </w:rPr>
        <w:t xml:space="preserve">Against this backdrop, the paper evaluates the technical performance of modern monocrystalline silicon PV panels (achieving 20–26% module efficiency with leading models such as the JinkoSolar Tiger Neo 3.0 and LONGi Hi-MO X10 at 24.8%), capital cost structures for utility-scale PV at African sites ($700–$1,200 per kWp installed), and the trade-off analysis between overhead and underground transmission infrastructure. The paper further develops the in-scope design framework, which constrains project scope exclusively to generation and supply — leveraging Zambia's existing ZESCO substation network to minimise capital expenditure — while integrating an agri-ecological co-location system that deploys panel wash-water irrigation, goat grazing, apiary management, and native wildflower habitat creation to generate secondary revenue and biodiversity co-benefits. Zambia's exceptional solar resource (5.5–5.78 kWh/m²/day average irradiance, 1,900–2,100 kWh/m² annual GHI) and the recent liberalisation of its electricity market under the 2024 Electricity (Open Access) Regulations together present a compelling investment environment for distributed industrial solar.</w:t>
      </w:r>
    </w:p>
    <w:p>
      <w:pPr>
        <w:spacing w:after="60" w:before="0"/>
      </w:pPr>
      <w:r>
        <w:t xml:space="preserve"/>
      </w:r>
    </w:p>
    <w:p>
      <w:pPr>
        <w:spacing w:after="180" w:before="0"/>
      </w:pPr>
      <w:r>
        <w:rPr>
          <w:rFonts w:ascii="Arial" w:cs="Arial" w:eastAsia="Arial" w:hAnsi="Arial"/>
          <w:b w:val="false"/>
          <w:bCs w:val="false"/>
          <w:sz w:val="22"/>
          <w:szCs w:val="22"/>
        </w:rPr>
        <w:t xml:space="preserve">Keywords: solar photovoltaics, Zambia, energy access, agrivoltaics, underground transmission, industrial power, sub-Saharan Africa, ZESCO, distributed generation</w:t>
      </w:r>
    </w:p>
    <w:p>
      <w:r>
        <w:br w:type="page"/>
      </w:r>
    </w:p>
    <w:p>
      <w:pPr>
        <w:pStyle w:val="Heading1"/>
        <w:spacing w:after="120" w:before="360"/>
      </w:pPr>
      <w:r>
        <w:rPr>
          <w:rFonts w:ascii="Arial" w:cs="Arial" w:eastAsia="Arial" w:hAnsi="Arial"/>
          <w:b/>
          <w:bCs/>
          <w:color w:val="1F4E79"/>
          <w:sz w:val="32"/>
          <w:szCs w:val="32"/>
        </w:rPr>
        <w:t xml:space="preserve">Table of Contents</w:t>
      </w:r>
    </w:p>
    <w:p>
      <w:pPr>
        <w:tabs>
          <w:tab w:val="right" w:pos="9026"/>
        </w:tabs>
        <w:spacing w:after="80" w:before="0"/>
      </w:pPr>
      <w:r>
        <w:rPr>
          <w:rFonts w:ascii="Arial" w:cs="Arial" w:eastAsia="Arial" w:hAnsi="Arial"/>
          <w:sz w:val="22"/>
          <w:szCs w:val="22"/>
        </w:rPr>
        <w:t xml:space="preserve">1.  Introduction</w:t>
      </w:r>
      <w:r>
        <w:rPr>
          <w:rFonts w:ascii="Arial" w:cs="Arial" w:eastAsia="Arial" w:hAnsi="Arial"/>
          <w:sz w:val="22"/>
          <w:szCs w:val="22"/>
        </w:rPr>
        <w:t xml:space="preserve">	4</w:t>
      </w:r>
    </w:p>
    <w:p>
      <w:pPr>
        <w:tabs>
          <w:tab w:val="right" w:pos="9026"/>
        </w:tabs>
        <w:spacing w:after="80" w:before="0"/>
      </w:pPr>
      <w:r>
        <w:rPr>
          <w:rFonts w:ascii="Arial" w:cs="Arial" w:eastAsia="Arial" w:hAnsi="Arial"/>
          <w:sz w:val="22"/>
          <w:szCs w:val="22"/>
        </w:rPr>
        <w:t xml:space="preserve">2.  Background and Country Context</w:t>
      </w:r>
      <w:r>
        <w:rPr>
          <w:rFonts w:ascii="Arial" w:cs="Arial" w:eastAsia="Arial" w:hAnsi="Arial"/>
          <w:sz w:val="22"/>
          <w:szCs w:val="22"/>
        </w:rPr>
        <w:t xml:space="preserve">	5</w:t>
      </w:r>
    </w:p>
    <w:p>
      <w:pPr>
        <w:tabs>
          <w:tab w:val="right" w:pos="9026"/>
        </w:tabs>
        <w:spacing w:after="80" w:before="0"/>
      </w:pPr>
      <w:r>
        <w:rPr>
          <w:rFonts w:ascii="Arial" w:cs="Arial" w:eastAsia="Arial" w:hAnsi="Arial"/>
          <w:sz w:val="22"/>
          <w:szCs w:val="22"/>
        </w:rPr>
        <w:t xml:space="preserve">3.  Solar Photovoltaic Technology Review</w:t>
      </w:r>
      <w:r>
        <w:rPr>
          <w:rFonts w:ascii="Arial" w:cs="Arial" w:eastAsia="Arial" w:hAnsi="Arial"/>
          <w:sz w:val="22"/>
          <w:szCs w:val="22"/>
        </w:rPr>
        <w:t xml:space="preserve">	7</w:t>
      </w:r>
    </w:p>
    <w:p>
      <w:pPr>
        <w:tabs>
          <w:tab w:val="right" w:pos="9026"/>
        </w:tabs>
        <w:spacing w:after="80" w:before="0"/>
      </w:pPr>
      <w:r>
        <w:rPr>
          <w:rFonts w:ascii="Arial" w:cs="Arial" w:eastAsia="Arial" w:hAnsi="Arial"/>
          <w:sz w:val="22"/>
          <w:szCs w:val="22"/>
        </w:rPr>
        <w:t xml:space="preserve">4.  Power Generation Capacity and Cost Analysis</w:t>
      </w:r>
      <w:r>
        <w:rPr>
          <w:rFonts w:ascii="Arial" w:cs="Arial" w:eastAsia="Arial" w:hAnsi="Arial"/>
          <w:sz w:val="22"/>
          <w:szCs w:val="22"/>
        </w:rPr>
        <w:t xml:space="preserve">	10</w:t>
      </w:r>
    </w:p>
    <w:p>
      <w:pPr>
        <w:tabs>
          <w:tab w:val="right" w:pos="9026"/>
        </w:tabs>
        <w:spacing w:after="80" w:before="0"/>
      </w:pPr>
      <w:r>
        <w:rPr>
          <w:rFonts w:ascii="Arial" w:cs="Arial" w:eastAsia="Arial" w:hAnsi="Arial"/>
          <w:sz w:val="22"/>
          <w:szCs w:val="22"/>
        </w:rPr>
        <w:t xml:space="preserve">5.  Transmission Infrastructure: Overhead vs. Underground</w:t>
      </w:r>
      <w:r>
        <w:rPr>
          <w:rFonts w:ascii="Arial" w:cs="Arial" w:eastAsia="Arial" w:hAnsi="Arial"/>
          <w:sz w:val="22"/>
          <w:szCs w:val="22"/>
        </w:rPr>
        <w:t xml:space="preserve">	13</w:t>
      </w:r>
    </w:p>
    <w:p>
      <w:pPr>
        <w:tabs>
          <w:tab w:val="right" w:pos="9026"/>
        </w:tabs>
        <w:spacing w:after="80" w:before="0"/>
      </w:pPr>
      <w:r>
        <w:rPr>
          <w:rFonts w:ascii="Arial" w:cs="Arial" w:eastAsia="Arial" w:hAnsi="Arial"/>
          <w:sz w:val="22"/>
          <w:szCs w:val="22"/>
        </w:rPr>
        <w:t xml:space="preserve">6.  Grid Integration via Existing Substations</w:t>
      </w:r>
      <w:r>
        <w:rPr>
          <w:rFonts w:ascii="Arial" w:cs="Arial" w:eastAsia="Arial" w:hAnsi="Arial"/>
          <w:sz w:val="22"/>
          <w:szCs w:val="22"/>
        </w:rPr>
        <w:t xml:space="preserve">	16</w:t>
      </w:r>
    </w:p>
    <w:p>
      <w:pPr>
        <w:tabs>
          <w:tab w:val="right" w:pos="9026"/>
        </w:tabs>
        <w:spacing w:after="80" w:before="0"/>
      </w:pPr>
      <w:r>
        <w:rPr>
          <w:rFonts w:ascii="Arial" w:cs="Arial" w:eastAsia="Arial" w:hAnsi="Arial"/>
          <w:sz w:val="22"/>
          <w:szCs w:val="22"/>
        </w:rPr>
        <w:t xml:space="preserve">7.  Agri-Ecological Co-location System</w:t>
      </w:r>
      <w:r>
        <w:rPr>
          <w:rFonts w:ascii="Arial" w:cs="Arial" w:eastAsia="Arial" w:hAnsi="Arial"/>
          <w:sz w:val="22"/>
          <w:szCs w:val="22"/>
        </w:rPr>
        <w:t xml:space="preserve">	17</w:t>
      </w:r>
    </w:p>
    <w:p>
      <w:pPr>
        <w:tabs>
          <w:tab w:val="right" w:pos="9026"/>
        </w:tabs>
        <w:spacing w:after="80" w:before="0"/>
      </w:pPr>
      <w:r>
        <w:rPr>
          <w:rFonts w:ascii="Arial" w:cs="Arial" w:eastAsia="Arial" w:hAnsi="Arial"/>
          <w:sz w:val="22"/>
          <w:szCs w:val="22"/>
        </w:rPr>
        <w:t xml:space="preserve">8.  Integrated Project Framework</w:t>
      </w:r>
      <w:r>
        <w:rPr>
          <w:rFonts w:ascii="Arial" w:cs="Arial" w:eastAsia="Arial" w:hAnsi="Arial"/>
          <w:sz w:val="22"/>
          <w:szCs w:val="22"/>
        </w:rPr>
        <w:t xml:space="preserve">	20</w:t>
      </w:r>
    </w:p>
    <w:p>
      <w:pPr>
        <w:tabs>
          <w:tab w:val="right" w:pos="9026"/>
        </w:tabs>
        <w:spacing w:after="80" w:before="0"/>
      </w:pPr>
      <w:r>
        <w:rPr>
          <w:rFonts w:ascii="Arial" w:cs="Arial" w:eastAsia="Arial" w:hAnsi="Arial"/>
          <w:sz w:val="22"/>
          <w:szCs w:val="22"/>
        </w:rPr>
        <w:t xml:space="preserve">9.  Discussion and Risk Analysis</w:t>
      </w:r>
      <w:r>
        <w:rPr>
          <w:rFonts w:ascii="Arial" w:cs="Arial" w:eastAsia="Arial" w:hAnsi="Arial"/>
          <w:sz w:val="22"/>
          <w:szCs w:val="22"/>
        </w:rPr>
        <w:t xml:space="preserve">	21</w:t>
      </w:r>
    </w:p>
    <w:p>
      <w:pPr>
        <w:tabs>
          <w:tab w:val="right" w:pos="9026"/>
        </w:tabs>
        <w:spacing w:after="80" w:before="0"/>
      </w:pPr>
      <w:r>
        <w:rPr>
          <w:rFonts w:ascii="Arial" w:cs="Arial" w:eastAsia="Arial" w:hAnsi="Arial"/>
          <w:sz w:val="22"/>
          <w:szCs w:val="22"/>
        </w:rPr>
        <w:t xml:space="preserve">10. Conclusion</w:t>
      </w:r>
      <w:r>
        <w:rPr>
          <w:rFonts w:ascii="Arial" w:cs="Arial" w:eastAsia="Arial" w:hAnsi="Arial"/>
          <w:sz w:val="22"/>
          <w:szCs w:val="22"/>
        </w:rPr>
        <w:t xml:space="preserve">	22</w:t>
      </w:r>
    </w:p>
    <w:p>
      <w:pPr>
        <w:tabs>
          <w:tab w:val="right" w:pos="9026"/>
        </w:tabs>
        <w:spacing w:after="80" w:before="0"/>
      </w:pPr>
      <w:r>
        <w:rPr>
          <w:rFonts w:ascii="Arial" w:cs="Arial" w:eastAsia="Arial" w:hAnsi="Arial"/>
          <w:sz w:val="22"/>
          <w:szCs w:val="22"/>
        </w:rPr>
        <w:t xml:space="preserve">11. References</w:t>
      </w:r>
      <w:r>
        <w:rPr>
          <w:rFonts w:ascii="Arial" w:cs="Arial" w:eastAsia="Arial" w:hAnsi="Arial"/>
          <w:sz w:val="22"/>
          <w:szCs w:val="22"/>
        </w:rPr>
        <w:t xml:space="preserve">	23</w:t>
      </w:r>
    </w:p>
    <w:p>
      <w:r>
        <w:br w:type="page"/>
      </w:r>
    </w:p>
    <w:p>
      <w:pPr>
        <w:pStyle w:val="Heading1"/>
        <w:spacing w:after="120" w:before="360"/>
      </w:pPr>
      <w:r>
        <w:rPr>
          <w:rFonts w:ascii="Arial" w:cs="Arial" w:eastAsia="Arial" w:hAnsi="Arial"/>
          <w:b/>
          <w:bCs/>
          <w:color w:val="1F4E79"/>
          <w:sz w:val="32"/>
          <w:szCs w:val="32"/>
        </w:rPr>
        <w:t xml:space="preserve">1. Introduction</w:t>
      </w:r>
    </w:p>
    <w:p>
      <w:pPr>
        <w:spacing w:after="180" w:before="0"/>
      </w:pPr>
      <w:r>
        <w:rPr>
          <w:rFonts w:ascii="Arial" w:cs="Arial" w:eastAsia="Arial" w:hAnsi="Arial"/>
          <w:b w:val="false"/>
          <w:bCs w:val="false"/>
          <w:sz w:val="22"/>
          <w:szCs w:val="22"/>
        </w:rPr>
        <w:t xml:space="preserve">Access to reliable, affordable electricity is a foundational prerequisite for industrial productivity and economic development. In Zambia — a country endowed with one of sub-Saharan Africa's richest solar resources — the energy supply challenge is paradoxical: vast renewable potential sits largely untapped while the dominant hydroelectric system buckles under climate-induced hydrological stress. The 2023–2024 El Niño-associated drought precipitated the worst electricity crisis in the country's recent history, forcing Zambia Electricity Supply Corporation (ZESCO) to impose load-shedding of up to 12 hours per day for residential consumers and requesting a 40% power curtailment from the mining industry (Bloomberg, 2024; Ministry of Energy, 2024).</w:t>
      </w:r>
    </w:p>
    <w:p>
      <w:pPr>
        <w:spacing w:after="60" w:before="0"/>
      </w:pPr>
      <w:r>
        <w:t xml:space="preserve"/>
      </w:r>
    </w:p>
    <w:p>
      <w:pPr>
        <w:spacing w:after="180" w:before="0"/>
      </w:pPr>
      <w:r>
        <w:rPr>
          <w:rFonts w:ascii="Arial" w:cs="Arial" w:eastAsia="Arial" w:hAnsi="Arial"/>
          <w:b w:val="false"/>
          <w:bCs w:val="false"/>
          <w:sz w:val="22"/>
          <w:szCs w:val="22"/>
        </w:rPr>
        <w:t xml:space="preserve">The structural vulnerability of Zambia's energy system — with hydropower constituting approximately 84% of installed generation capacity (ScienceDirect, 2025) — has catalysed a decisive policy shift. The government's introduction of the Electricity (Open Access) Regulations 2024 has dismantled the previous single-buyer model that positioned ZESCO as the sole electricity purchaser, opening the market to independent power producers (IPPs), power traders, and direct corporate power purchase agreements (PPAs). This legislative evolution creates a commercially viable pathway for distributed solar generation serving industrial off-takers directly.</w:t>
      </w:r>
    </w:p>
    <w:p>
      <w:pPr>
        <w:spacing w:after="60" w:before="0"/>
      </w:pPr>
      <w:r>
        <w:t xml:space="preserve"/>
      </w:r>
    </w:p>
    <w:p>
      <w:pPr>
        <w:spacing w:after="180" w:before="0"/>
      </w:pPr>
      <w:r>
        <w:rPr>
          <w:rFonts w:ascii="Arial" w:cs="Arial" w:eastAsia="Arial" w:hAnsi="Arial"/>
          <w:b w:val="false"/>
          <w:bCs w:val="false"/>
          <w:sz w:val="22"/>
          <w:szCs w:val="22"/>
        </w:rPr>
        <w:t xml:space="preserve">This paper develops a design and feasibility framework for small-to-medium-scale solar PV plants in Zambia operating within a strictly defined project scope: generation and supply only. The project does not propose new grid infrastructure but instead integrates generated power into existing ZESCO substations through the open access framework. Transmission is recommended via underground cabling to preserve habitat and reduce long-term maintenance liabilities. A complementary agri-ecological system co-locates panel-wash water irrigation, goat grazing, and apiculture to enhance land value and generate secondary revenue from otherwise unproductive land.</w:t>
      </w:r>
    </w:p>
    <w:p>
      <w:r>
        <w:br w:type="page"/>
      </w:r>
    </w:p>
    <w:p>
      <w:pPr>
        <w:pStyle w:val="Heading1"/>
        <w:spacing w:after="120" w:before="360"/>
      </w:pPr>
      <w:r>
        <w:rPr>
          <w:rFonts w:ascii="Arial" w:cs="Arial" w:eastAsia="Arial" w:hAnsi="Arial"/>
          <w:b/>
          <w:bCs/>
          <w:color w:val="1F4E79"/>
          <w:sz w:val="32"/>
          <w:szCs w:val="32"/>
        </w:rPr>
        <w:t xml:space="preserve">2. Background and Country Context</w:t>
      </w:r>
    </w:p>
    <w:p>
      <w:pPr>
        <w:pStyle w:val="Heading2"/>
        <w:spacing w:after="80" w:before="240"/>
      </w:pPr>
      <w:r>
        <w:rPr>
          <w:rFonts w:ascii="Arial" w:cs="Arial" w:eastAsia="Arial" w:hAnsi="Arial"/>
          <w:b/>
          <w:bCs/>
          <w:color w:val="2E75B6"/>
          <w:sz w:val="26"/>
          <w:szCs w:val="26"/>
        </w:rPr>
        <w:t xml:space="preserve">2.1 Zambia's Energy Profile</w:t>
      </w:r>
    </w:p>
    <w:p>
      <w:pPr>
        <w:spacing w:after="180" w:before="0"/>
      </w:pPr>
      <w:r>
        <w:rPr>
          <w:rFonts w:ascii="Arial" w:cs="Arial" w:eastAsia="Arial" w:hAnsi="Arial"/>
          <w:b w:val="false"/>
          <w:bCs w:val="false"/>
          <w:sz w:val="22"/>
          <w:szCs w:val="22"/>
        </w:rPr>
        <w:t xml:space="preserve">Zambia is a landlocked country of approximately 19 million people covering 752,618 km² in south-central Africa. Historically, its electricity sector has been dominated by large hydroelectric installations on the Kafue and Zambezi river systems. The Kariba North Bank Extension (360 MW) and Kafue Gorge Lower (750 MW) together constitute the backbone of national supply, alongside smaller run-of-river schemes and the Maamba coal plant (300 MW thermal). As of 2024, total installed capacity sits at approximately 3,985 MW, of which over 80% is hydroelectric (African Mining Online, 2026).</w:t>
      </w:r>
    </w:p>
    <w:p>
      <w:pPr>
        <w:spacing w:after="60" w:before="0"/>
      </w:pPr>
      <w:r>
        <w:t xml:space="preserve"/>
      </w:r>
    </w:p>
    <w:p>
      <w:pPr>
        <w:spacing w:after="180" w:before="0"/>
      </w:pPr>
      <w:r>
        <w:rPr>
          <w:rFonts w:ascii="Arial" w:cs="Arial" w:eastAsia="Arial" w:hAnsi="Arial"/>
          <w:b w:val="false"/>
          <w:bCs w:val="false"/>
          <w:sz w:val="22"/>
          <w:szCs w:val="22"/>
        </w:rPr>
        <w:t xml:space="preserve">This concentration has made Zambia acutely sensitive to rainfall variability. During the 2023–2024 drought, Kariba Dam — the world's largest man-made reservoir by volume — was reduced to operational output of just 215 MW against its nameplate capacity of 1,080 MW. ZESCO's consequent deficit forced the utility to import 250 MW from South Africa's Eskom, equivalent to over 10% of normal national demand, with plans to double that import volume (Mining Weekly, 2024). The economic cost was severe: GDP growth projections were revised down to 2.3% for 2024, and mines — which account for an estimated 50–60% of total national power consumption — were forced to curtail operations.</w:t>
      </w:r>
    </w:p>
    <w:p>
      <w:pPr>
        <w:spacing w:after="60" w:before="0"/>
      </w:pPr>
      <w:r>
        <w:t xml:space="preserve"/>
      </w:r>
    </w:p>
    <w:p>
      <w:pPr>
        <w:spacing w:after="180" w:before="0"/>
      </w:pPr>
      <w:r>
        <w:rPr>
          <w:rFonts w:ascii="Arial" w:cs="Arial" w:eastAsia="Arial" w:hAnsi="Arial"/>
          <w:b w:val="false"/>
          <w:bCs w:val="false"/>
          <w:sz w:val="22"/>
          <w:szCs w:val="22"/>
        </w:rPr>
        <w:t xml:space="preserve">Solar capacity as of 2024 stood at approximately 124 MW installed, contributing roughly 5.5% of the generation mix. This represents a significant growth opportunity: Zambia's Integrated Resource Plan (IRP) of 2023 targets substantial renewable energy diversification, and the solar project pipeline is projected to increase solar capacity tenfold by 2028 (African Energy, 2024).</w:t>
      </w:r>
    </w:p>
    <w:p>
      <w:pPr>
        <w:spacing w:after="60" w:before="0"/>
      </w:pPr>
      <w:r>
        <w:t xml:space="preserve"/>
      </w:r>
    </w:p>
    <w:p>
      <w:pPr>
        <w:pStyle w:val="Heading2"/>
        <w:spacing w:after="80" w:before="240"/>
      </w:pPr>
      <w:r>
        <w:rPr>
          <w:rFonts w:ascii="Arial" w:cs="Arial" w:eastAsia="Arial" w:hAnsi="Arial"/>
          <w:b/>
          <w:bCs/>
          <w:color w:val="2E75B6"/>
          <w:sz w:val="26"/>
          <w:szCs w:val="26"/>
        </w:rPr>
        <w:t xml:space="preserve">2.2 Electrification Status and Industrial Demand</w:t>
      </w:r>
    </w:p>
    <w:p>
      <w:pPr>
        <w:spacing w:after="180" w:before="0"/>
      </w:pPr>
      <w:r>
        <w:rPr>
          <w:rFonts w:ascii="Arial" w:cs="Arial" w:eastAsia="Arial" w:hAnsi="Arial"/>
          <w:b w:val="false"/>
          <w:bCs w:val="false"/>
          <w:sz w:val="22"/>
          <w:szCs w:val="22"/>
        </w:rPr>
        <w:t xml:space="preserve">Overall electrification in Zambia stood at approximately 51% in 2023 under the business-as-usual scenario, with rural electrification at just 8.1% (ScienceDirect, 2025). Urban areas receive 20–23 hours of electricity per day on average; rural areas, 15–18 hours — figures that deteriorated sharply during the 2024 crisis. Households were receiving as little as three hours per day in some regions.</w:t>
      </w:r>
    </w:p>
    <w:p>
      <w:pPr>
        <w:spacing w:after="60" w:before="0"/>
      </w:pPr>
      <w:r>
        <w:t xml:space="preserve"/>
      </w:r>
    </w:p>
    <w:p>
      <w:pPr>
        <w:spacing w:after="180" w:before="0"/>
      </w:pPr>
      <w:r>
        <w:rPr>
          <w:rFonts w:ascii="Arial" w:cs="Arial" w:eastAsia="Arial" w:hAnsi="Arial"/>
          <w:b w:val="false"/>
          <w:bCs w:val="false"/>
          <w:sz w:val="22"/>
          <w:szCs w:val="22"/>
        </w:rPr>
        <w:t xml:space="preserve">Industrial demand — and the mining sector in particular — represents the most commercially attractive target for new generation capacity. The Copperbelt, centred on Kitwe, Ndola, and Solwezi, is home to major copper and cobalt operations including First Quantum Minerals (which accounts for over half of Zambia's copper output), Glencore, and Barrick Gold. Mining companies paid USD 9.3 cents per kWh as of 2024 — tariff levels that still fail to cover ZESCO's cost of supply but are significantly above the heavily subsidised residential tariff of USD 2.2 cents per kWh (PVKNOWHOW, 2025; IISD). Solar PV generation at current installed cost levels can produce electricity at a levelised cost (LCOE) of USD 3–6 cents per kWh in Zambia's conditions, making solar commercially compelling for direct industrial supply.</w:t>
      </w:r>
    </w:p>
    <w:p>
      <w:pPr>
        <w:spacing w:after="60" w:before="0"/>
      </w:pPr>
      <w:r>
        <w:t xml:space="preserve"/>
      </w:r>
    </w:p>
    <w:p>
      <w:pPr>
        <w:pStyle w:val="Heading2"/>
        <w:spacing w:after="80" w:before="240"/>
      </w:pPr>
      <w:r>
        <w:rPr>
          <w:rFonts w:ascii="Arial" w:cs="Arial" w:eastAsia="Arial" w:hAnsi="Arial"/>
          <w:b/>
          <w:bCs/>
          <w:color w:val="2E75B6"/>
          <w:sz w:val="26"/>
          <w:szCs w:val="26"/>
        </w:rPr>
        <w:t xml:space="preserve">2.3 Policy and Market Framework</w:t>
      </w:r>
    </w:p>
    <w:p>
      <w:pPr>
        <w:spacing w:after="180" w:before="0"/>
      </w:pPr>
      <w:r>
        <w:rPr>
          <w:rFonts w:ascii="Arial" w:cs="Arial" w:eastAsia="Arial" w:hAnsi="Arial"/>
          <w:b w:val="false"/>
          <w:bCs w:val="false"/>
          <w:sz w:val="22"/>
          <w:szCs w:val="22"/>
        </w:rPr>
        <w:t xml:space="preserve">The Electricity (Open Access) Regulations 2024 represent the most significant structural reform to Zambia's electricity market in decades. The regulations:</w:t>
      </w:r>
    </w:p>
    <w:p>
      <w:pPr>
        <w:pStyle w:val="ListParagraph"/>
        <w:numPr>
          <w:ilvl w:val="0"/>
          <w:numId w:val="2"/>
        </w:numPr>
        <w:spacing w:after="80" w:before="0"/>
      </w:pPr>
      <w:r>
        <w:rPr>
          <w:rFonts w:ascii="Arial" w:cs="Arial" w:eastAsia="Arial" w:hAnsi="Arial"/>
          <w:sz w:val="22"/>
          <w:szCs w:val="22"/>
        </w:rPr>
        <w:t xml:space="preserve">Allow large consumers to source power directly from any generator through the ZESCO transmission network via wheeling arrangements.</w:t>
      </w:r>
    </w:p>
    <w:p>
      <w:pPr>
        <w:pStyle w:val="ListParagraph"/>
        <w:numPr>
          <w:ilvl w:val="0"/>
          <w:numId w:val="2"/>
        </w:numPr>
        <w:spacing w:after="80" w:before="0"/>
      </w:pPr>
      <w:r>
        <w:rPr>
          <w:rFonts w:ascii="Arial" w:cs="Arial" w:eastAsia="Arial" w:hAnsi="Arial"/>
          <w:sz w:val="22"/>
          <w:szCs w:val="22"/>
        </w:rPr>
        <w:t xml:space="preserve">Permit power traders to operate openly, creating a competitive market for renewable energy.</w:t>
      </w:r>
    </w:p>
    <w:p>
      <w:pPr>
        <w:pStyle w:val="ListParagraph"/>
        <w:numPr>
          <w:ilvl w:val="0"/>
          <w:numId w:val="2"/>
        </w:numPr>
        <w:spacing w:after="80" w:before="0"/>
      </w:pPr>
      <w:r>
        <w:rPr>
          <w:rFonts w:ascii="Arial" w:cs="Arial" w:eastAsia="Arial" w:hAnsi="Arial"/>
          <w:sz w:val="22"/>
          <w:szCs w:val="22"/>
        </w:rPr>
        <w:t xml:space="preserve">Introduced Electricity (Net Metering) Regulations 2024, allowing generators to offset consumption against their grid injection.</w:t>
      </w:r>
    </w:p>
    <w:p>
      <w:pPr>
        <w:pStyle w:val="ListParagraph"/>
        <w:numPr>
          <w:ilvl w:val="0"/>
          <w:numId w:val="2"/>
        </w:numPr>
        <w:spacing w:after="80" w:before="0"/>
      </w:pPr>
      <w:r>
        <w:rPr>
          <w:rFonts w:ascii="Arial" w:cs="Arial" w:eastAsia="Arial" w:hAnsi="Arial"/>
          <w:sz w:val="22"/>
          <w:szCs w:val="22"/>
        </w:rPr>
        <w:t xml:space="preserve">Remove ZESCO's single-buyer monopoly, enabling IPPs to sign direct PPAs with industrial off-takers.</w:t>
      </w:r>
    </w:p>
    <w:p>
      <w:pPr>
        <w:spacing w:after="60" w:before="0"/>
      </w:pPr>
      <w:r>
        <w:t xml:space="preserve"/>
      </w:r>
    </w:p>
    <w:p>
      <w:pPr>
        <w:spacing w:after="180" w:before="0"/>
      </w:pPr>
      <w:r>
        <w:rPr>
          <w:rFonts w:ascii="Arial" w:cs="Arial" w:eastAsia="Arial" w:hAnsi="Arial"/>
          <w:b w:val="false"/>
          <w:bCs w:val="false"/>
          <w:sz w:val="22"/>
          <w:szCs w:val="22"/>
        </w:rPr>
        <w:t xml:space="preserve">These regulatory changes directly enable the project framework described in this paper. A solar IPP can generate power, wheel it through ZESCO's existing 33kV or 132kV transmission network, and sell it under a long-term PPA directly to a mine or processing facility — without requiring ZESCO to purchase the power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Indicator</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3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Total installed capacity (2024)</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~3,985 MW</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African Mining Online, 2026</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Hydropower share</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&gt;80%</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ScienceDirect, 2025</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Solar installed (2024)</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~124 MW (5.5%)</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PVKNOWHOW, 2025</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Overall electrification rate</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~51%</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ScienceDirect, 2025</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Rural electrification rate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8.1%</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ScienceDirect, 2025</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Mining share of power demand</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50–60%</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Zambia Mining / Bloomberg</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Kariba capacity (drought 2024)</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215 MW (of 1,080 MW)</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ScienceDirect, 2025</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Load-shedding peak (2024)</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12 hours/day</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Ministry of Energy, 2024</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Mining tariff (2024)</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USD 0.093 /kWh</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IISD</w:t>
            </w:r>
          </w:p>
        </w:tc>
      </w:tr>
    </w:tbl>
    <w:p>
      <w:pPr>
        <w:spacing w:after="180" w:before="60"/>
      </w:pPr>
      <w:r>
        <w:rPr>
          <w:rFonts w:ascii="Arial" w:cs="Arial" w:eastAsia="Arial" w:hAnsi="Arial"/>
          <w:color w:val="555555"/>
          <w:sz w:val="18"/>
          <w:szCs w:val="18"/>
        </w:rPr>
        <w:t xml:space="preserve">Table 1: Key energy sector indicators for Zambia (2024).</w:t>
      </w:r>
    </w:p>
    <w:p>
      <w:r>
        <w:br w:type="page"/>
      </w:r>
    </w:p>
    <w:p>
      <w:pPr>
        <w:pStyle w:val="Heading1"/>
        <w:spacing w:after="120" w:before="360"/>
      </w:pPr>
      <w:r>
        <w:rPr>
          <w:rFonts w:ascii="Arial" w:cs="Arial" w:eastAsia="Arial" w:hAnsi="Arial"/>
          <w:b/>
          <w:bCs/>
          <w:color w:val="1F4E79"/>
          <w:sz w:val="32"/>
          <w:szCs w:val="32"/>
        </w:rPr>
        <w:t xml:space="preserve">3. Solar Photovoltaic Technology Review</w:t>
      </w:r>
    </w:p>
    <w:p>
      <w:pPr>
        <w:pStyle w:val="Heading2"/>
        <w:spacing w:after="80" w:before="240"/>
      </w:pPr>
      <w:r>
        <w:rPr>
          <w:rFonts w:ascii="Arial" w:cs="Arial" w:eastAsia="Arial" w:hAnsi="Arial"/>
          <w:b/>
          <w:bCs/>
          <w:color w:val="2E75B6"/>
          <w:sz w:val="26"/>
          <w:szCs w:val="26"/>
        </w:rPr>
        <w:t xml:space="preserve">3.1 Technology Evolution and Market Status</w:t>
      </w:r>
    </w:p>
    <w:p>
      <w:pPr>
        <w:spacing w:after="180" w:before="0"/>
      </w:pPr>
      <w:r>
        <w:rPr>
          <w:rFonts w:ascii="Arial" w:cs="Arial" w:eastAsia="Arial" w:hAnsi="Arial"/>
          <w:b w:val="false"/>
          <w:bCs w:val="false"/>
          <w:sz w:val="22"/>
          <w:szCs w:val="22"/>
        </w:rPr>
        <w:t xml:space="preserve">The solar PV market has undergone a fundamental technology consolidation over the past decade. As confirmed by the National Renewable Energy Laboratory (NREL) and the International Energy Agency (IEA) in 2024–2025 analyses, polycrystalline silicon panels have been entirely phased out of commercial manufacturing, achieving effectively 0% market share. Monocrystalline silicon technology now commands virtually 100% of the commercial PV market (Solar Tech Online, 2025). This consolidation has been driven by the superior performance characteristics of monocrystalline cells and the elimination of the historical cost premium through manufacturing scale.</w:t>
      </w:r>
    </w:p>
    <w:p>
      <w:pPr>
        <w:spacing w:after="60" w:before="0"/>
      </w:pPr>
      <w:r>
        <w:t xml:space="preserve"/>
      </w:r>
    </w:p>
    <w:p>
      <w:pPr>
        <w:spacing w:after="180" w:before="0"/>
      </w:pPr>
      <w:r>
        <w:rPr>
          <w:rFonts w:ascii="Arial" w:cs="Arial" w:eastAsia="Arial" w:hAnsi="Arial"/>
          <w:b w:val="false"/>
          <w:bCs w:val="false"/>
          <w:sz w:val="22"/>
          <w:szCs w:val="22"/>
        </w:rPr>
        <w:t xml:space="preserve">Within monocrystalline technology, several advanced cell architectures have achieved commercial maturity and are relevant to a Zambia deployment context:</w:t>
      </w:r>
    </w:p>
    <w:p>
      <w:pPr>
        <w:spacing w:after="60" w:before="0"/>
      </w:pPr>
      <w:r>
        <w:t xml:space="preserve"/>
      </w:r>
    </w:p>
    <w:p>
      <w:pPr>
        <w:pStyle w:val="Heading3"/>
        <w:spacing w:after="60" w:before="160"/>
      </w:pPr>
      <w:r>
        <w:rPr>
          <w:rFonts w:ascii="Arial" w:cs="Arial" w:eastAsia="Arial" w:hAnsi="Arial"/>
          <w:b/>
          <w:bCs/>
          <w:color w:val="2E4057"/>
          <w:sz w:val="22"/>
          <w:szCs w:val="22"/>
        </w:rPr>
        <w:t xml:space="preserve">3.1.1 Standard Monocrystalline PERC</w:t>
      </w:r>
    </w:p>
    <w:p>
      <w:pPr>
        <w:spacing w:after="180" w:before="0"/>
      </w:pPr>
      <w:r>
        <w:rPr>
          <w:rFonts w:ascii="Arial" w:cs="Arial" w:eastAsia="Arial" w:hAnsi="Arial"/>
          <w:b w:val="false"/>
          <w:bCs w:val="false"/>
          <w:sz w:val="22"/>
          <w:szCs w:val="22"/>
        </w:rPr>
        <w:t xml:space="preserve">Passivated Emitter Rear Cell (PERC) technology adds a rear passivation layer that reflects unused photons back through the silicon substrate, boosting efficiency relative to conventional cells. Commercial PERC modules achieve 20–22% module efficiency and represent the baseline cost-performance option for utility-scale projects. Cost: USD 0.85–1.10 per watt (equipment only).</w:t>
      </w:r>
    </w:p>
    <w:p>
      <w:pPr>
        <w:spacing w:after="60" w:before="0"/>
      </w:pPr>
      <w:r>
        <w:t xml:space="preserve"/>
      </w:r>
    </w:p>
    <w:p>
      <w:pPr>
        <w:pStyle w:val="Heading3"/>
        <w:spacing w:after="60" w:before="160"/>
      </w:pPr>
      <w:r>
        <w:rPr>
          <w:rFonts w:ascii="Arial" w:cs="Arial" w:eastAsia="Arial" w:hAnsi="Arial"/>
          <w:b/>
          <w:bCs/>
          <w:color w:val="2E4057"/>
          <w:sz w:val="22"/>
          <w:szCs w:val="22"/>
        </w:rPr>
        <w:t xml:space="preserve">3.1.2 Bifacial Modules</w:t>
      </w:r>
    </w:p>
    <w:p>
      <w:pPr>
        <w:spacing w:after="180" w:before="0"/>
      </w:pPr>
      <w:r>
        <w:rPr>
          <w:rFonts w:ascii="Arial" w:cs="Arial" w:eastAsia="Arial" w:hAnsi="Arial"/>
          <w:b w:val="false"/>
          <w:bCs w:val="false"/>
          <w:sz w:val="22"/>
          <w:szCs w:val="22"/>
        </w:rPr>
        <w:t xml:space="preserve">Bifacial panels capture reflected irradiance from both the front and rear surfaces. In ground-mounted installations — which characterise utility-scale solar farms — reflected albedo from soil or vegetation beneath the array can increase energy yield by 10–30% relative to equivalent monofacial modules (Cedar Creek Energy, 2024). In Zambia's context, the agri-ecological co-location system (described in Section 7) creates an irrigated grass sward beneath the panels; the sustained green coverage provides a higher albedo surface and a more consistent rear-side irradiance input compared to bare soil.</w:t>
      </w:r>
    </w:p>
    <w:p>
      <w:pPr>
        <w:spacing w:after="60" w:before="0"/>
      </w:pPr>
      <w:r>
        <w:t xml:space="preserve"/>
      </w:r>
    </w:p>
    <w:p>
      <w:pPr>
        <w:pStyle w:val="Heading3"/>
        <w:spacing w:after="60" w:before="160"/>
      </w:pPr>
      <w:r>
        <w:rPr>
          <w:rFonts w:ascii="Arial" w:cs="Arial" w:eastAsia="Arial" w:hAnsi="Arial"/>
          <w:b/>
          <w:bCs/>
          <w:color w:val="2E4057"/>
          <w:sz w:val="22"/>
          <w:szCs w:val="22"/>
        </w:rPr>
        <w:t xml:space="preserve">3.1.3 TOPCon and HJT High-Efficiency Modules</w:t>
      </w:r>
    </w:p>
    <w:p>
      <w:pPr>
        <w:spacing w:after="180" w:before="0"/>
      </w:pPr>
      <w:r>
        <w:rPr>
          <w:rFonts w:ascii="Arial" w:cs="Arial" w:eastAsia="Arial" w:hAnsi="Arial"/>
          <w:b w:val="false"/>
          <w:bCs w:val="false"/>
          <w:sz w:val="22"/>
          <w:szCs w:val="22"/>
        </w:rPr>
        <w:t xml:space="preserve">Tunnel Oxide Passivated Contact (TOPCon) technology, deployed by manufacturers including JinkoSolar and LONGi, achieves up to 24.8% module efficiency in commercially available products as of 2025. Heterojunction (HJT) technology from manufacturers including AIKO (Neostar, 24.3%) and SunPower (Maxeon 7, 24.1%) represents the current commercial efficiency frontier. Premium monocrystalline modules in this tier cost USD 0.90–1.30 per watt.</w:t>
      </w:r>
    </w:p>
    <w:p>
      <w:pPr>
        <w:spacing w:after="60" w:before="0"/>
      </w:pPr>
      <w:r>
        <w:t xml:space="preserve"/>
      </w:r>
    </w:p>
    <w:p>
      <w:pPr>
        <w:spacing w:after="180" w:before="0"/>
      </w:pPr>
      <w:r>
        <w:rPr>
          <w:rFonts w:ascii="Arial" w:cs="Arial" w:eastAsia="Arial" w:hAnsi="Arial"/>
          <w:b w:val="false"/>
          <w:bCs w:val="false"/>
          <w:sz w:val="22"/>
          <w:szCs w:val="22"/>
        </w:rPr>
        <w:t xml:space="preserve">For Zambia, the technology selection recommendation is bifacial TOPCon or PERC modules at the 22–24% efficiency tier. The incremental cost over standard PERC is partially offset by higher energy yield per unit of land, reducing balance-of-system and land costs — a particularly important consideration where land acquisition may involve community negotiations.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60"/>
      </w:tblGrid>
      <w:tr>
        <w:trPr>
          <w:tblHeader/>
        </w:trPr>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Module Efficiency</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Cost (USD/W)</w:t>
            </w:r>
          </w:p>
        </w:tc>
        <w:tc>
          <w:tcPr>
            <w:tcW w:type="dxa" w:w="3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Key Advantage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Standard monocrystalline PERC</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20–22%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$0.85–$1.10</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Proven, lowest cost</w:t>
            </w:r>
          </w:p>
        </w:tc>
      </w:tr>
      <w:tr>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Bifacial monocrystalline</w:t>
            </w:r>
          </w:p>
        </w:tc>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21–23%</w:t>
            </w:r>
          </w:p>
        </w:tc>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$0.90–$1.20</w:t>
            </w:r>
          </w:p>
        </w:tc>
        <w:tc>
          <w:tcPr>
            <w:tcW w:type="dxa" w:w="3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+10–30% yield from rear</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TOPCon (JinkoSolar Tiger Neo, LONGi Hi-MO)</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24–24.8%</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$1.00–$1.30</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Highest commercial efficiency</w:t>
            </w:r>
          </w:p>
        </w:tc>
      </w:tr>
      <w:tr>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HJT (SunPower Maxeon, AIKO)</w:t>
            </w:r>
          </w:p>
        </w:tc>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24.1–26%</w:t>
            </w:r>
          </w:p>
        </w:tc>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$1.20–$1.50</w:t>
            </w:r>
          </w:p>
        </w:tc>
        <w:tc>
          <w:tcPr>
            <w:tcW w:type="dxa" w:w="3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Superior low-light performance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Thin-film (CdTe, CIGS)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10–13%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$0.50–$0.80</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Large area; low cost per m²</w:t>
            </w:r>
          </w:p>
        </w:tc>
      </w:tr>
    </w:tbl>
    <w:p>
      <w:pPr>
        <w:spacing w:after="180" w:before="60"/>
      </w:pPr>
      <w:r>
        <w:rPr>
          <w:rFonts w:ascii="Arial" w:cs="Arial" w:eastAsia="Arial" w:hAnsi="Arial"/>
          <w:color w:val="555555"/>
          <w:sz w:val="18"/>
          <w:szCs w:val="18"/>
        </w:rPr>
        <w:t xml:space="preserve">Table 2: Commercial solar PV technology comparison (2025 market data). Source: Solar Tech Online (2025); Cedar Creek Energy (2024); Hometown Station (2025).</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3.2 Performance in Zambia's Climate</w:t>
      </w:r>
    </w:p>
    <w:p>
      <w:pPr>
        <w:spacing w:after="180" w:before="0"/>
      </w:pPr>
      <w:r>
        <w:rPr>
          <w:rFonts w:ascii="Arial" w:cs="Arial" w:eastAsia="Arial" w:hAnsi="Arial"/>
          <w:b w:val="false"/>
          <w:bCs w:val="false"/>
          <w:sz w:val="22"/>
          <w:szCs w:val="22"/>
        </w:rPr>
        <w:t xml:space="preserve">Zambia's solar resource is exceptional by global standards. The World Bank Solar Resource Atlas (2019), commissioned by the Government of Zambia, documents the following resource characteristics:</w:t>
      </w:r>
    </w:p>
    <w:p>
      <w:pPr>
        <w:pStyle w:val="ListParagraph"/>
        <w:numPr>
          <w:ilvl w:val="0"/>
          <w:numId w:val="2"/>
        </w:numPr>
        <w:spacing w:after="80" w:before="0"/>
      </w:pPr>
      <w:r>
        <w:rPr>
          <w:rFonts w:ascii="Arial" w:cs="Arial" w:eastAsia="Arial" w:hAnsi="Arial"/>
          <w:sz w:val="22"/>
          <w:szCs w:val="22"/>
        </w:rPr>
        <w:t xml:space="preserve">Global Horizontal Irradiation (GHI): 1,900–2,100 kWh/m²/year across most of the country.</w:t>
      </w:r>
    </w:p>
    <w:p>
      <w:pPr>
        <w:pStyle w:val="ListParagraph"/>
        <w:numPr>
          <w:ilvl w:val="0"/>
          <w:numId w:val="2"/>
        </w:numPr>
        <w:spacing w:after="80" w:before="0"/>
      </w:pPr>
      <w:r>
        <w:rPr>
          <w:rFonts w:ascii="Arial" w:cs="Arial" w:eastAsia="Arial" w:hAnsi="Arial"/>
          <w:sz w:val="22"/>
          <w:szCs w:val="22"/>
        </w:rPr>
        <w:t xml:space="preserve">Daily average irradiance: 5.5–5.78 kWh/m²/day.</w:t>
      </w:r>
    </w:p>
    <w:p>
      <w:pPr>
        <w:pStyle w:val="ListParagraph"/>
        <w:numPr>
          <w:ilvl w:val="0"/>
          <w:numId w:val="2"/>
        </w:numPr>
        <w:spacing w:after="80" w:before="0"/>
      </w:pPr>
      <w:r>
        <w:rPr>
          <w:rFonts w:ascii="Arial" w:cs="Arial" w:eastAsia="Arial" w:hAnsi="Arial"/>
          <w:sz w:val="22"/>
          <w:szCs w:val="22"/>
        </w:rPr>
        <w:t xml:space="preserve">Annual sunshine hours: approximately 4,403 hours.</w:t>
      </w:r>
    </w:p>
    <w:p>
      <w:pPr>
        <w:pStyle w:val="ListParagraph"/>
        <w:numPr>
          <w:ilvl w:val="0"/>
          <w:numId w:val="2"/>
        </w:numPr>
        <w:spacing w:after="80" w:before="0"/>
      </w:pPr>
      <w:r>
        <w:rPr>
          <w:rFonts w:ascii="Arial" w:cs="Arial" w:eastAsia="Arial" w:hAnsi="Arial"/>
          <w:sz w:val="22"/>
          <w:szCs w:val="22"/>
        </w:rPr>
        <w:t xml:space="preserve">Specific PV electricity output: 1,550–1,700 kWh/kWp/year.</w:t>
      </w:r>
    </w:p>
    <w:p>
      <w:pPr>
        <w:pStyle w:val="ListParagraph"/>
        <w:numPr>
          <w:ilvl w:val="0"/>
          <w:numId w:val="2"/>
        </w:numPr>
        <w:spacing w:after="80" w:before="0"/>
      </w:pPr>
      <w:r>
        <w:rPr>
          <w:rFonts w:ascii="Arial" w:cs="Arial" w:eastAsia="Arial" w:hAnsi="Arial"/>
          <w:sz w:val="22"/>
          <w:szCs w:val="22"/>
        </w:rPr>
        <w:t xml:space="preserve">Low seasonal variability relative to comparable latitudes — a critical bankability advantage.</w:t>
      </w:r>
    </w:p>
    <w:p>
      <w:pPr>
        <w:spacing w:after="60" w:before="0"/>
      </w:pPr>
      <w:r>
        <w:t xml:space="preserve"/>
      </w:r>
    </w:p>
    <w:p>
      <w:pPr>
        <w:spacing w:after="180" w:before="0"/>
      </w:pPr>
      <w:r>
        <w:rPr>
          <w:rFonts w:ascii="Arial" w:cs="Arial" w:eastAsia="Arial" w:hAnsi="Arial"/>
          <w:b w:val="false"/>
          <w:bCs w:val="false"/>
          <w:sz w:val="22"/>
          <w:szCs w:val="22"/>
        </w:rPr>
        <w:t xml:space="preserve">The seasonal distribution of irradiance is favourable for industrial operations. Zambia's dry season (May–October) aligns with the period of lowest hydropower availability — precisely when energy shortages are most acute — while solar resources remain strong. This counter-cyclical relationship between solar and hydro generation is a fundamental strategic argument for solar as a drought resilience complement to the existing generation mix.</w:t>
      </w:r>
    </w:p>
    <w:p>
      <w:pPr>
        <w:spacing w:after="60" w:before="0"/>
      </w:pPr>
      <w:r>
        <w:t xml:space="preserve"/>
      </w:r>
    </w:p>
    <w:p>
      <w:pPr>
        <w:spacing w:after="180" w:before="0"/>
      </w:pPr>
      <w:r>
        <w:rPr>
          <w:rFonts w:ascii="Arial" w:cs="Arial" w:eastAsia="Arial" w:hAnsi="Arial"/>
          <w:b w:val="false"/>
          <w:bCs w:val="false"/>
          <w:sz w:val="22"/>
          <w:szCs w:val="22"/>
        </w:rPr>
        <w:t xml:space="preserve">Temperature coefficients are relevant to performance projections. Monocrystalline silicon exhibits a typical temperature coefficient of approximately -0.35% per °C above the standard test condition of 25°C. Zambia's ambient temperatures regularly reach 30–35°C in summer, generating cell temperatures of 50–60°C under full irradiance. This results in an effective derating of approximately 8–12% relative to nameplate under peak conditions. Bifacial modules and HJT technology exhibit lower temperature coefficients (-0.25 to -0.30%/°C), making them particularly well-suited to Zambia's climate.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Region / Parameter</w:t>
            </w:r>
          </w:p>
        </w:tc>
        <w:tc>
          <w:tcPr>
            <w:tcW w:type="dxa" w:w="4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GHI (annual)</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1,900–2,100 kWh/m²</w:t>
            </w:r>
          </w:p>
        </w:tc>
      </w:tr>
      <w:tr>
        <w:tc>
          <w:tcPr>
            <w:tcW w:type="dxa" w:w="5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Average daily irradiance</w:t>
            </w:r>
          </w:p>
        </w:tc>
        <w:tc>
          <w:tcPr>
            <w:tcW w:type="dxa" w:w="4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5.5–5.78 kWh/m²/day</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Annual sunshine hours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~4,403 hours/year</w:t>
            </w:r>
          </w:p>
        </w:tc>
      </w:tr>
      <w:tr>
        <w:tc>
          <w:tcPr>
            <w:tcW w:type="dxa" w:w="5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Specific PV yield</w:t>
            </w:r>
          </w:p>
        </w:tc>
        <w:tc>
          <w:tcPr>
            <w:tcW w:type="dxa" w:w="4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1,550–1,700 kWh/kWp/year</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Seasonal variability</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Low (favourable for bankability)</w:t>
            </w:r>
          </w:p>
        </w:tc>
      </w:tr>
      <w:tr>
        <w:tc>
          <w:tcPr>
            <w:tcW w:type="dxa" w:w="5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Peak summer temperature</w:t>
            </w:r>
          </w:p>
        </w:tc>
        <w:tc>
          <w:tcPr>
            <w:tcW w:type="dxa" w:w="4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30–35°C ambient; 50–60°C cell</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Temperature derating (mono PERC)</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~8–12% at peak conditions</w:t>
            </w:r>
          </w:p>
        </w:tc>
      </w:tr>
    </w:tbl>
    <w:p>
      <w:pPr>
        <w:spacing w:after="180" w:before="60"/>
      </w:pPr>
      <w:r>
        <w:rPr>
          <w:rFonts w:ascii="Arial" w:cs="Arial" w:eastAsia="Arial" w:hAnsi="Arial"/>
          <w:color w:val="555555"/>
          <w:sz w:val="18"/>
          <w:szCs w:val="18"/>
        </w:rPr>
        <w:t xml:space="preserve">Table 3: Zambia solar resource data. Source: World Bank Solar Resource Atlas (2019); Assessment of Solar Energy Source Distribution and Potential in Zambia (ResearchGate, 2017).</w:t>
      </w:r>
    </w:p>
    <w:p>
      <w:r>
        <w:br w:type="page"/>
      </w:r>
    </w:p>
    <w:p>
      <w:pPr>
        <w:pStyle w:val="Heading1"/>
        <w:spacing w:after="120" w:before="360"/>
      </w:pPr>
      <w:r>
        <w:rPr>
          <w:rFonts w:ascii="Arial" w:cs="Arial" w:eastAsia="Arial" w:hAnsi="Arial"/>
          <w:b/>
          <w:bCs/>
          <w:color w:val="1F4E79"/>
          <w:sz w:val="32"/>
          <w:szCs w:val="32"/>
        </w:rPr>
        <w:t xml:space="preserve">4. Power Generation Capacity and Cost Analysis</w:t>
      </w:r>
    </w:p>
    <w:p>
      <w:pPr>
        <w:pStyle w:val="Heading2"/>
        <w:spacing w:after="80" w:before="240"/>
      </w:pPr>
      <w:r>
        <w:rPr>
          <w:rFonts w:ascii="Arial" w:cs="Arial" w:eastAsia="Arial" w:hAnsi="Arial"/>
          <w:b/>
          <w:bCs/>
          <w:color w:val="2E75B6"/>
          <w:sz w:val="26"/>
          <w:szCs w:val="26"/>
        </w:rPr>
        <w:t xml:space="preserve">4.1 Plant Scale Definition</w:t>
      </w:r>
    </w:p>
    <w:p>
      <w:pPr>
        <w:spacing w:after="180" w:before="0"/>
      </w:pPr>
      <w:r>
        <w:rPr>
          <w:rFonts w:ascii="Arial" w:cs="Arial" w:eastAsia="Arial" w:hAnsi="Arial"/>
          <w:b w:val="false"/>
          <w:bCs w:val="false"/>
          <w:sz w:val="22"/>
          <w:szCs w:val="22"/>
        </w:rPr>
        <w:t xml:space="preserve">The in-scope project framework targets small-to-medium-scale PV plants, defined for this analysis as installations in the 1–50 MW range. This scale is selected for the following strategic reasons:</w:t>
      </w:r>
    </w:p>
    <w:p>
      <w:pPr>
        <w:pStyle w:val="ListParagraph"/>
        <w:numPr>
          <w:ilvl w:val="0"/>
          <w:numId w:val="2"/>
        </w:numPr>
        <w:spacing w:after="80" w:before="0"/>
      </w:pPr>
      <w:r>
        <w:rPr>
          <w:rFonts w:ascii="Arial" w:cs="Arial" w:eastAsia="Arial" w:hAnsi="Arial"/>
          <w:sz w:val="22"/>
          <w:szCs w:val="22"/>
        </w:rPr>
        <w:t xml:space="preserve">Proximity to demand: Smaller plants can be sited adjacent to or within industrial facilities, minimising transmission run lengths and associated losses and costs.</w:t>
      </w:r>
    </w:p>
    <w:p>
      <w:pPr>
        <w:pStyle w:val="ListParagraph"/>
        <w:numPr>
          <w:ilvl w:val="0"/>
          <w:numId w:val="2"/>
        </w:numPr>
        <w:spacing w:after="80" w:before="0"/>
      </w:pPr>
      <w:r>
        <w:rPr>
          <w:rFonts w:ascii="Arial" w:cs="Arial" w:eastAsia="Arial" w:hAnsi="Arial"/>
          <w:sz w:val="22"/>
          <w:szCs w:val="22"/>
        </w:rPr>
        <w:t xml:space="preserve">Permitting and land acquisition: Plants below ~10 MW in Zambia face lighter regulatory processes and shorter lead times — typically 18–30 months from conception to commercial operation vs. 4–6 years for large-scale projects (Energy for Growth Hub).</w:t>
      </w:r>
    </w:p>
    <w:p>
      <w:pPr>
        <w:pStyle w:val="ListParagraph"/>
        <w:numPr>
          <w:ilvl w:val="0"/>
          <w:numId w:val="2"/>
        </w:numPr>
        <w:spacing w:after="80" w:before="0"/>
      </w:pPr>
      <w:r>
        <w:rPr>
          <w:rFonts w:ascii="Arial" w:cs="Arial" w:eastAsia="Arial" w:hAnsi="Arial"/>
          <w:sz w:val="22"/>
          <w:szCs w:val="22"/>
        </w:rPr>
        <w:t xml:space="preserve">Modular bankability: Each plant can be financed and insured as a discrete project with a single anchor off-taker PPA, reducing complexity.</w:t>
      </w:r>
    </w:p>
    <w:p>
      <w:pPr>
        <w:pStyle w:val="ListParagraph"/>
        <w:numPr>
          <w:ilvl w:val="0"/>
          <w:numId w:val="2"/>
        </w:numPr>
        <w:spacing w:after="80" w:before="0"/>
      </w:pPr>
      <w:r>
        <w:rPr>
          <w:rFonts w:ascii="Arial" w:cs="Arial" w:eastAsia="Arial" w:hAnsi="Arial"/>
          <w:sz w:val="22"/>
          <w:szCs w:val="22"/>
        </w:rPr>
        <w:t xml:space="preserve">Grid integration compatibility: Integration at existing 33kV substations — the most common voltage tier in Zambia's distribution network — is feasible for plants up to approximately 20–30 MW without requiring new high-voltage infrastructure.</w:t>
      </w:r>
    </w:p>
    <w:p>
      <w:pPr>
        <w:spacing w:after="60" w:before="0"/>
      </w:pPr>
      <w:r>
        <w:t xml:space="preserve"/>
      </w:r>
    </w:p>
    <w:p>
      <w:pPr>
        <w:pStyle w:val="Heading2"/>
        <w:spacing w:after="80" w:before="240"/>
      </w:pPr>
      <w:r>
        <w:rPr>
          <w:rFonts w:ascii="Arial" w:cs="Arial" w:eastAsia="Arial" w:hAnsi="Arial"/>
          <w:b/>
          <w:bCs/>
          <w:color w:val="2E75B6"/>
          <w:sz w:val="26"/>
          <w:szCs w:val="26"/>
        </w:rPr>
        <w:t xml:space="preserve">4.2 Generation Yield Modelling</w:t>
      </w:r>
    </w:p>
    <w:p>
      <w:pPr>
        <w:spacing w:after="180" w:before="0"/>
      </w:pPr>
      <w:r>
        <w:rPr>
          <w:rFonts w:ascii="Arial" w:cs="Arial" w:eastAsia="Arial" w:hAnsi="Arial"/>
          <w:b w:val="false"/>
          <w:bCs w:val="false"/>
          <w:sz w:val="22"/>
          <w:szCs w:val="22"/>
        </w:rPr>
        <w:t xml:space="preserve">For a reference 10 MW plant using bifacial TOPCon modules (22% efficiency, 1.5 kWp/system), located in the Copperbelt region with a GHI of 2,050 kWh/m²/year:</w:t>
      </w:r>
    </w:p>
    <w:p>
      <w:pPr>
        <w:spacing w:after="60" w:before="0"/>
      </w:pPr>
      <w:r>
        <w:t xml:space="preserve"/>
      </w:r>
    </w:p>
    <w:p>
      <w:pPr>
        <w:spacing w:after="180" w:before="0"/>
      </w:pPr>
      <w:r>
        <w:rPr>
          <w:rFonts w:ascii="Arial" w:cs="Arial" w:eastAsia="Arial" w:hAnsi="Arial"/>
          <w:b/>
          <w:bCs/>
          <w:sz w:val="22"/>
          <w:szCs w:val="22"/>
        </w:rPr>
        <w:t xml:space="preserve">Annual generation = Installed capacity × Specific yield × Performance ratio</w:t>
      </w:r>
    </w:p>
    <w:p>
      <w:pPr>
        <w:spacing w:after="180" w:before="0"/>
        <w:ind w:left="720"/>
      </w:pPr>
      <w:r>
        <w:rPr>
          <w:rFonts w:ascii="Arial" w:cs="Arial" w:eastAsia="Arial" w:hAnsi="Arial"/>
          <w:b w:val="false"/>
          <w:bCs w:val="false"/>
          <w:sz w:val="22"/>
          <w:szCs w:val="22"/>
        </w:rPr>
        <w:t xml:space="preserve">= 10 MWp × 1,600 kWh/kWp × 0.82 (PR)</w:t>
      </w:r>
    </w:p>
    <w:p>
      <w:pPr>
        <w:spacing w:after="180" w:before="0"/>
        <w:ind w:left="720"/>
      </w:pPr>
      <w:r>
        <w:rPr>
          <w:rFonts w:ascii="Arial" w:cs="Arial" w:eastAsia="Arial" w:hAnsi="Arial"/>
          <w:b w:val="false"/>
          <w:bCs w:val="false"/>
          <w:sz w:val="22"/>
          <w:szCs w:val="22"/>
        </w:rPr>
        <w:t xml:space="preserve">= 13,120 MWh/year</w:t>
      </w:r>
    </w:p>
    <w:p>
      <w:pPr>
        <w:spacing w:after="60" w:before="0"/>
      </w:pPr>
      <w:r>
        <w:t xml:space="preserve"/>
      </w:r>
    </w:p>
    <w:p>
      <w:pPr>
        <w:spacing w:after="180" w:before="0"/>
      </w:pPr>
      <w:r>
        <w:rPr>
          <w:rFonts w:ascii="Arial" w:cs="Arial" w:eastAsia="Arial" w:hAnsi="Arial"/>
          <w:b w:val="false"/>
          <w:bCs w:val="false"/>
          <w:sz w:val="22"/>
          <w:szCs w:val="22"/>
        </w:rPr>
        <w:t xml:space="preserve">Where a Performance Ratio (PR) of 0.82 accounts for inverter losses (~3%), cable losses (~1.5%), soiling (~3%), temperature derating (~8%), and availability (~2%). Panel cleaning — using water recycled through the agri-ecological irrigation system described in Section 7 — maintains soiling losses at the lower end of the 2–5% typical range.</w:t>
      </w:r>
    </w:p>
    <w:p>
      <w:pPr>
        <w:spacing w:after="60" w:before="0"/>
      </w:pPr>
      <w:r>
        <w:t xml:space="preserve"/>
      </w:r>
    </w:p>
    <w:p>
      <w:pPr>
        <w:spacing w:after="180" w:before="0"/>
      </w:pPr>
      <w:r>
        <w:rPr>
          <w:rFonts w:ascii="Arial" w:cs="Arial" w:eastAsia="Arial" w:hAnsi="Arial"/>
          <w:b w:val="false"/>
          <w:bCs w:val="false"/>
          <w:sz w:val="22"/>
          <w:szCs w:val="22"/>
        </w:rPr>
        <w:t xml:space="preserve">For a 10 MW plant, this 13,120 MWh annual yield represents approximately:</w:t>
      </w:r>
    </w:p>
    <w:p>
      <w:pPr>
        <w:pStyle w:val="ListParagraph"/>
        <w:numPr>
          <w:ilvl w:val="0"/>
          <w:numId w:val="2"/>
        </w:numPr>
        <w:spacing w:after="80" w:before="0"/>
      </w:pPr>
      <w:r>
        <w:rPr>
          <w:rFonts w:ascii="Arial" w:cs="Arial" w:eastAsia="Arial" w:hAnsi="Arial"/>
          <w:sz w:val="22"/>
          <w:szCs w:val="22"/>
        </w:rPr>
        <w:t xml:space="preserve">Equivalent to powering 13,000 average Zambian urban households for a year.</w:t>
      </w:r>
    </w:p>
    <w:p>
      <w:pPr>
        <w:pStyle w:val="ListParagraph"/>
        <w:numPr>
          <w:ilvl w:val="0"/>
          <w:numId w:val="2"/>
        </w:numPr>
        <w:spacing w:after="80" w:before="0"/>
      </w:pPr>
      <w:r>
        <w:rPr>
          <w:rFonts w:ascii="Arial" w:cs="Arial" w:eastAsia="Arial" w:hAnsi="Arial"/>
          <w:sz w:val="22"/>
          <w:szCs w:val="22"/>
        </w:rPr>
        <w:t xml:space="preserve">Sufficient to supply the processing needs of a mid-scale copper beneficiation facility operating 24/7 at approximately 1.5 MW average demand.</w:t>
      </w:r>
    </w:p>
    <w:p>
      <w:pPr>
        <w:pStyle w:val="ListParagraph"/>
        <w:numPr>
          <w:ilvl w:val="0"/>
          <w:numId w:val="2"/>
        </w:numPr>
        <w:spacing w:after="80" w:before="0"/>
      </w:pPr>
      <w:r>
        <w:rPr>
          <w:rFonts w:ascii="Arial" w:cs="Arial" w:eastAsia="Arial" w:hAnsi="Arial"/>
          <w:sz w:val="22"/>
          <w:szCs w:val="22"/>
        </w:rPr>
        <w:t xml:space="preserve">Equivalent to displacing approximately 9,000 tonnes of CO₂ annually compared to diesel generation (at an emission factor of 0.69 kg CO₂/kWh).</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700"/>
        <w:gridCol w:w="1700"/>
        <w:gridCol w:w="2860"/>
      </w:tblGrid>
      <w:tr>
        <w:trPr>
          <w:tblHeader/>
        </w:trPr>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Plant Scale</w:t>
            </w:r>
          </w:p>
        </w:tc>
        <w:tc>
          <w:tcPr>
            <w:tcW w:type="dxa" w:w="1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Annual Yield (MWh)</w:t>
            </w:r>
          </w:p>
        </w:tc>
        <w:tc>
          <w:tcPr>
            <w:tcW w:type="dxa" w:w="1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Land Required (ha)</w:t>
            </w:r>
          </w:p>
        </w:tc>
        <w:tc>
          <w:tcPr>
            <w:tcW w:type="dxa" w:w="1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CO₂ Displaced (t/yr)</w:t>
            </w:r>
          </w:p>
        </w:tc>
        <w:tc>
          <w:tcPr>
            <w:tcW w:type="dxa" w:w="28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Approx. Revenue @ $0.07/kWh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MW</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1,312</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2–3</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900</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$91,840</w:t>
            </w:r>
          </w:p>
        </w:tc>
      </w:tr>
      <w:tr>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 MW</w:t>
            </w:r>
          </w:p>
        </w:tc>
        <w:tc>
          <w:tcPr>
            <w:tcW w:type="dxa" w:w="1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6,560</w:t>
            </w:r>
          </w:p>
        </w:tc>
        <w:tc>
          <w:tcPr>
            <w:tcW w:type="dxa" w:w="1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8–12</w:t>
            </w:r>
          </w:p>
        </w:tc>
        <w:tc>
          <w:tcPr>
            <w:tcW w:type="dxa" w:w="1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4,500</w:t>
            </w:r>
          </w:p>
        </w:tc>
        <w:tc>
          <w:tcPr>
            <w:tcW w:type="dxa" w:w="2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$459,200</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 MW</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13,120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16–22</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9,000</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$918,400</w:t>
            </w:r>
          </w:p>
        </w:tc>
      </w:tr>
      <w:tr>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25 MW</w:t>
            </w:r>
          </w:p>
        </w:tc>
        <w:tc>
          <w:tcPr>
            <w:tcW w:type="dxa" w:w="1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32,800</w:t>
            </w:r>
          </w:p>
        </w:tc>
        <w:tc>
          <w:tcPr>
            <w:tcW w:type="dxa" w:w="1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40–55</w:t>
            </w:r>
          </w:p>
        </w:tc>
        <w:tc>
          <w:tcPr>
            <w:tcW w:type="dxa" w:w="1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22,650</w:t>
            </w:r>
          </w:p>
        </w:tc>
        <w:tc>
          <w:tcPr>
            <w:tcW w:type="dxa" w:w="2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$2,296,000</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50 MW</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65,600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80–110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45,300</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$4,592,000</w:t>
            </w:r>
          </w:p>
        </w:tc>
      </w:tr>
    </w:tbl>
    <w:p>
      <w:pPr>
        <w:spacing w:after="180" w:before="60"/>
      </w:pPr>
      <w:r>
        <w:rPr>
          <w:rFonts w:ascii="Arial" w:cs="Arial" w:eastAsia="Arial" w:hAnsi="Arial"/>
          <w:color w:val="555555"/>
          <w:sz w:val="18"/>
          <w:szCs w:val="18"/>
        </w:rPr>
        <w:t xml:space="preserve">Table 4: Modelled generation yields and indicative revenues for different plant scales. Assumes bifacial TOPCon modules, GHI 2,050 kWh/m²/yr, PR 0.82, PPA rate $0.07/kWh. Land estimate at 6–8 panels/m², 2.2 kWp/panel, with access roads and setbacks.</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4.3 Capital Cost Analysis</w:t>
      </w:r>
    </w:p>
    <w:p>
      <w:pPr>
        <w:spacing w:after="180" w:before="0"/>
      </w:pPr>
      <w:r>
        <w:rPr>
          <w:rFonts w:ascii="Arial" w:cs="Arial" w:eastAsia="Arial" w:hAnsi="Arial"/>
          <w:b w:val="false"/>
          <w:bCs w:val="false"/>
          <w:sz w:val="22"/>
          <w:szCs w:val="22"/>
        </w:rPr>
        <w:t xml:space="preserve">Capital costs for utility-scale solar PV in sub-Saharan Africa have fallen dramatically. IRENA data shows an 89% reduction in the cost of producing 1 kWh of utility-scale solar PV between 2010 and 2022. The installed cost structure for a Zambia-based project in the 5–25 MW range is estimated as follows: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400"/>
        <w:gridCol w:w="3460"/>
      </w:tblGrid>
      <w:tr>
        <w:trPr>
          <w:tblHeader/>
        </w:trP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Cost Component</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USD/kWp</w:t>
            </w:r>
          </w:p>
        </w:tc>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 of Total</w:t>
            </w:r>
          </w:p>
        </w:tc>
        <w:tc>
          <w:tcPr>
            <w:tcW w:type="dxa" w:w="34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PV modules (bifacial TOPCon)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$250–$350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30–35%</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Ex-works; freight adds ~5%</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Inverters (string/central)</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$60–$90</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8–10%</w:t>
            </w:r>
          </w:p>
        </w:tc>
        <w:tc>
          <w:tcPr>
            <w:tcW w:type="dxa" w:w="34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String inverters preferred for reliability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Mounting structures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$80–$120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10–12%</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Ground-mount steel; galvanised</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DC and AC cabling</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$40–$70</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6–8%</w:t>
            </w:r>
          </w:p>
        </w:tc>
        <w:tc>
          <w:tcPr>
            <w:tcW w:type="dxa" w:w="34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Underground AC to substation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Substation interconnection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$30–$60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4–6%</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Protection relays, switchgear</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Civil works and ground prep</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$50–$80</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7–9%</w:t>
            </w:r>
          </w:p>
        </w:tc>
        <w:tc>
          <w:tcPr>
            <w:tcW w:type="dxa" w:w="34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Fencing, roads, cable trenching</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EPC management and engineering</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$60–$90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8–10%</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Local EPC preferred</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Logistics and customs (Zambia)</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$30–$50</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4–5%</w:t>
            </w:r>
          </w:p>
        </w:tc>
        <w:tc>
          <w:tcPr>
            <w:tcW w:type="dxa" w:w="34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Zambia VAT exemptions for renewables apply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Contingency and commissioning</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$40–$70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5–7%</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Total installed cost</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$640–$980</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100%</w:t>
            </w:r>
          </w:p>
        </w:tc>
        <w:tc>
          <w:tcPr>
            <w:tcW w:type="dxa" w:w="34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Average ~$800/kWp</w:t>
            </w:r>
          </w:p>
        </w:tc>
      </w:tr>
    </w:tbl>
    <w:p>
      <w:pPr>
        <w:spacing w:after="180" w:before="60"/>
      </w:pPr>
      <w:r>
        <w:rPr>
          <w:rFonts w:ascii="Arial" w:cs="Arial" w:eastAsia="Arial" w:hAnsi="Arial"/>
          <w:color w:val="555555"/>
          <w:sz w:val="18"/>
          <w:szCs w:val="18"/>
        </w:rPr>
        <w:t xml:space="preserve">Table 5: Indicative installed cost structure for a 5–25 MW solar PV plant in Zambia (2025 prices). Sources: RatedPower (2021); IRENA Solar PV in Africa (2016); field benchmarks from comparable African projects.</w:t>
      </w:r>
    </w:p>
    <w:p>
      <w:pPr>
        <w:spacing w:after="120" w:before="0"/>
      </w:pPr>
      <w:r>
        <w:t xml:space="preserve"/>
      </w:r>
    </w:p>
    <w:p>
      <w:pPr>
        <w:spacing w:after="180" w:before="0"/>
      </w:pPr>
      <w:r>
        <w:rPr>
          <w:rFonts w:ascii="Arial" w:cs="Arial" w:eastAsia="Arial" w:hAnsi="Arial"/>
          <w:b w:val="false"/>
          <w:bCs w:val="false"/>
          <w:sz w:val="22"/>
          <w:szCs w:val="22"/>
        </w:rPr>
        <w:t xml:space="preserve">For comparison, South Africa's average module installation cost reaches approximately USD 557/kW (42.2% of total plant costs), reflecting mature supply chains and higher labour rates. Zambia's lower labour cost — approximately USD 100/month average for installation workers — partially offsets the disadvantage of higher logistics costs associated with being a landlocked country.</w:t>
      </w:r>
    </w:p>
    <w:p>
      <w:pPr>
        <w:spacing w:after="60" w:before="0"/>
      </w:pPr>
      <w:r>
        <w:t xml:space="preserve"/>
      </w:r>
    </w:p>
    <w:p>
      <w:pPr>
        <w:spacing w:after="180" w:before="0"/>
      </w:pPr>
      <w:r>
        <w:rPr>
          <w:rFonts w:ascii="Arial" w:cs="Arial" w:eastAsia="Arial" w:hAnsi="Arial"/>
          <w:b w:val="false"/>
          <w:bCs w:val="false"/>
          <w:sz w:val="22"/>
          <w:szCs w:val="22"/>
        </w:rPr>
        <w:t xml:space="preserve">Based on these cost structures, a 10 MW plant has the following financial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Financial Parameter</w:t>
            </w:r>
          </w:p>
        </w:tc>
        <w:tc>
          <w:tcPr>
            <w:tcW w:type="dxa" w:w="48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Total capital cost (10 MW)</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USD 8.0–9.8 million</w:t>
            </w:r>
          </w:p>
        </w:tc>
      </w:tr>
      <w:tr>
        <w:tc>
          <w:tcPr>
            <w:tcW w:type="dxa" w:w="4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Annual generation</w:t>
            </w:r>
          </w:p>
        </w:tc>
        <w:tc>
          <w:tcPr>
            <w:tcW w:type="dxa" w:w="4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13,120 MWh</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PPA tariff (indicative)</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USD 0.065–0.085/kWh</w:t>
            </w:r>
          </w:p>
        </w:tc>
      </w:tr>
      <w:tr>
        <w:tc>
          <w:tcPr>
            <w:tcW w:type="dxa" w:w="4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Annual revenue (at $0.075/kWh)</w:t>
            </w:r>
          </w:p>
        </w:tc>
        <w:tc>
          <w:tcPr>
            <w:tcW w:type="dxa" w:w="4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USD 984,000</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Annual O&amp;M cost (1.5% of CAPEX)</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USD 135,000</w:t>
            </w:r>
          </w:p>
        </w:tc>
      </w:tr>
      <w:tr>
        <w:tc>
          <w:tcPr>
            <w:tcW w:type="dxa" w:w="4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Net annual cash flow (pre-debt)</w:t>
            </w:r>
          </w:p>
        </w:tc>
        <w:tc>
          <w:tcPr>
            <w:tcW w:type="dxa" w:w="4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USD ~849,000</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Simple payback period</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10–12 years</w:t>
            </w:r>
          </w:p>
        </w:tc>
      </w:tr>
      <w:tr>
        <w:tc>
          <w:tcPr>
            <w:tcW w:type="dxa" w:w="4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Levelised Cost of Electricity (LCOE)</w:t>
            </w:r>
          </w:p>
        </w:tc>
        <w:tc>
          <w:tcPr>
            <w:tcW w:type="dxa" w:w="4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USD 0.038–0.055/kWh</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IRR (equity, 25-year project)</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12–18%</w:t>
            </w:r>
          </w:p>
        </w:tc>
      </w:tr>
    </w:tbl>
    <w:p>
      <w:pPr>
        <w:spacing w:after="180" w:before="60"/>
      </w:pPr>
      <w:r>
        <w:rPr>
          <w:rFonts w:ascii="Arial" w:cs="Arial" w:eastAsia="Arial" w:hAnsi="Arial"/>
          <w:color w:val="555555"/>
          <w:sz w:val="18"/>
          <w:szCs w:val="18"/>
        </w:rPr>
        <w:t xml:space="preserve">Table 6: Indicative financial summary for a 10 MW solar PV plant in Zambia. LCOE calculated over 25-year project life at 8% discount rate.</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4.4 Operating Cost Considerations</w:t>
      </w:r>
    </w:p>
    <w:p>
      <w:pPr>
        <w:spacing w:after="180" w:before="0"/>
      </w:pPr>
      <w:r>
        <w:rPr>
          <w:rFonts w:ascii="Arial" w:cs="Arial" w:eastAsia="Arial" w:hAnsi="Arial"/>
          <w:b w:val="false"/>
          <w:bCs w:val="false"/>
          <w:sz w:val="22"/>
          <w:szCs w:val="22"/>
        </w:rPr>
        <w:t xml:space="preserve">Annual operations and maintenance (O&amp;M) costs for solar PV in African conditions are typically in the range of 1.0–2.0% of capital cost per annum, or USD 8–15/kWp/year. The primary cost components are:</w:t>
      </w:r>
    </w:p>
    <w:p>
      <w:pPr>
        <w:pStyle w:val="ListParagraph"/>
        <w:numPr>
          <w:ilvl w:val="0"/>
          <w:numId w:val="2"/>
        </w:numPr>
        <w:spacing w:after="80" w:before="0"/>
      </w:pPr>
      <w:r>
        <w:rPr>
          <w:rFonts w:ascii="Arial" w:cs="Arial" w:eastAsia="Arial" w:hAnsi="Arial"/>
          <w:sz w:val="22"/>
          <w:szCs w:val="22"/>
        </w:rPr>
        <w:t xml:space="preserve">Module cleaning: Zambia's dry season generates significant dust accumulation. The agri-ecological system described in Section 7 deploys a water capture and reuse system from panel cleaning activities, reducing the net cost of this O&amp;M item while distributing water to the irrigated understorey.</w:t>
      </w:r>
    </w:p>
    <w:p>
      <w:pPr>
        <w:pStyle w:val="ListParagraph"/>
        <w:numPr>
          <w:ilvl w:val="0"/>
          <w:numId w:val="2"/>
        </w:numPr>
        <w:spacing w:after="80" w:before="0"/>
      </w:pPr>
      <w:r>
        <w:rPr>
          <w:rFonts w:ascii="Arial" w:cs="Arial" w:eastAsia="Arial" w:hAnsi="Arial"/>
          <w:sz w:val="22"/>
          <w:szCs w:val="22"/>
        </w:rPr>
        <w:t xml:space="preserve">Inverter maintenance: String inverters typically require component replacement at 10–12 years. Provisioning for this in the O&amp;M budget is advisable.</w:t>
      </w:r>
    </w:p>
    <w:p>
      <w:pPr>
        <w:pStyle w:val="ListParagraph"/>
        <w:numPr>
          <w:ilvl w:val="0"/>
          <w:numId w:val="2"/>
        </w:numPr>
        <w:spacing w:after="80" w:before="0"/>
      </w:pPr>
      <w:r>
        <w:rPr>
          <w:rFonts w:ascii="Arial" w:cs="Arial" w:eastAsia="Arial" w:hAnsi="Arial"/>
          <w:sz w:val="22"/>
          <w:szCs w:val="22"/>
        </w:rPr>
        <w:t xml:space="preserve">Security and site management: Zambia's improving security environment nonetheless necessitates perimeter fencing and remote monitoring. CCTV and IoT-based performance monitoring add approximately USD 0.50/kWp/year.</w:t>
      </w:r>
    </w:p>
    <w:p>
      <w:pPr>
        <w:pStyle w:val="ListParagraph"/>
        <w:numPr>
          <w:ilvl w:val="0"/>
          <w:numId w:val="2"/>
        </w:numPr>
        <w:spacing w:after="80" w:before="0"/>
      </w:pPr>
      <w:r>
        <w:rPr>
          <w:rFonts w:ascii="Arial" w:cs="Arial" w:eastAsia="Arial" w:hAnsi="Arial"/>
          <w:sz w:val="22"/>
          <w:szCs w:val="22"/>
        </w:rPr>
        <w:t xml:space="preserve">Vegetation management: Replaced by the goat grazing system (Section 7), eliminating the typical USD 1–3/kWp/year mowing cost entirely.</w:t>
      </w:r>
    </w:p>
    <w:p>
      <w:r>
        <w:br w:type="page"/>
      </w:r>
    </w:p>
    <w:p>
      <w:pPr>
        <w:pStyle w:val="Heading1"/>
        <w:spacing w:after="120" w:before="360"/>
      </w:pPr>
      <w:r>
        <w:rPr>
          <w:rFonts w:ascii="Arial" w:cs="Arial" w:eastAsia="Arial" w:hAnsi="Arial"/>
          <w:b/>
          <w:bCs/>
          <w:color w:val="1F4E79"/>
          <w:sz w:val="32"/>
          <w:szCs w:val="32"/>
        </w:rPr>
        <w:t xml:space="preserve">5. Transmission Infrastructure: Overhead vs. Underground</w:t>
      </w:r>
    </w:p>
    <w:p>
      <w:pPr>
        <w:pStyle w:val="Heading2"/>
        <w:spacing w:after="80" w:before="240"/>
      </w:pPr>
      <w:r>
        <w:rPr>
          <w:rFonts w:ascii="Arial" w:cs="Arial" w:eastAsia="Arial" w:hAnsi="Arial"/>
          <w:b/>
          <w:bCs/>
          <w:color w:val="2E75B6"/>
          <w:sz w:val="26"/>
          <w:szCs w:val="26"/>
        </w:rPr>
        <w:t xml:space="preserve">5.1 Overview of Options</w:t>
      </w:r>
    </w:p>
    <w:p>
      <w:pPr>
        <w:spacing w:after="180" w:before="0"/>
      </w:pPr>
      <w:r>
        <w:rPr>
          <w:rFonts w:ascii="Arial" w:cs="Arial" w:eastAsia="Arial" w:hAnsi="Arial"/>
          <w:b w:val="false"/>
          <w:bCs w:val="false"/>
          <w:sz w:val="22"/>
          <w:szCs w:val="22"/>
        </w:rPr>
        <w:t xml:space="preserve">Transmission of generated power from a solar plant to an existing substation requires a decision between overhead lines (OHL) and underground cables (UGC). This is one of the most cost-sensitive engineering decisions in the project scope, as transmission infrastructure can represent 10–20% of total project cost depending on the distance and voltage level involved.</w:t>
      </w:r>
    </w:p>
    <w:p>
      <w:pPr>
        <w:spacing w:after="60" w:before="0"/>
      </w:pPr>
      <w:r>
        <w:t xml:space="preserve"/>
      </w:r>
    </w:p>
    <w:p>
      <w:pPr>
        <w:spacing w:after="180" w:before="0"/>
      </w:pPr>
      <w:r>
        <w:rPr>
          <w:rFonts w:ascii="Arial" w:cs="Arial" w:eastAsia="Arial" w:hAnsi="Arial"/>
          <w:b w:val="false"/>
          <w:bCs w:val="false"/>
          <w:sz w:val="22"/>
          <w:szCs w:val="22"/>
        </w:rPr>
        <w:t xml:space="preserve">The in-scope project framework strongly recommends underground transmission for all connections from the solar plant to the integration substation, subject to a distance threshold analysis. This recommendation is based on habitat, maintenance, and whole-life cost considerations specific to the Zambian context. The full trade-off analysis is presented below.</w:t>
      </w:r>
    </w:p>
    <w:p>
      <w:pPr>
        <w:spacing w:after="60" w:before="0"/>
      </w:pPr>
      <w:r>
        <w:t xml:space="preserve"/>
      </w:r>
    </w:p>
    <w:p>
      <w:pPr>
        <w:pStyle w:val="Heading2"/>
        <w:spacing w:after="80" w:before="240"/>
      </w:pPr>
      <w:r>
        <w:rPr>
          <w:rFonts w:ascii="Arial" w:cs="Arial" w:eastAsia="Arial" w:hAnsi="Arial"/>
          <w:b/>
          <w:bCs/>
          <w:color w:val="2E75B6"/>
          <w:sz w:val="26"/>
          <w:szCs w:val="26"/>
        </w:rPr>
        <w:t xml:space="preserve">5.2 Overhead Transmission Lines (OHL)</w:t>
      </w:r>
    </w:p>
    <w:p>
      <w:pPr>
        <w:pStyle w:val="Heading3"/>
        <w:spacing w:after="60" w:before="160"/>
      </w:pPr>
      <w:r>
        <w:rPr>
          <w:rFonts w:ascii="Arial" w:cs="Arial" w:eastAsia="Arial" w:hAnsi="Arial"/>
          <w:b/>
          <w:bCs/>
          <w:color w:val="2E4057"/>
          <w:sz w:val="22"/>
          <w:szCs w:val="22"/>
        </w:rPr>
        <w:t xml:space="preserve">5.2.1 Capital Costs</w:t>
      </w:r>
    </w:p>
    <w:p>
      <w:pPr>
        <w:spacing w:after="180" w:before="0"/>
      </w:pPr>
      <w:r>
        <w:rPr>
          <w:rFonts w:ascii="Arial" w:cs="Arial" w:eastAsia="Arial" w:hAnsi="Arial"/>
          <w:b w:val="false"/>
          <w:bCs w:val="false"/>
          <w:sz w:val="22"/>
          <w:szCs w:val="22"/>
        </w:rPr>
        <w:t xml:space="preserve">Overhead transmission lines remain the global default for long-distance, high-voltage transmission due to their substantially lower capital cost. Published data from the US Public Service Commission of Wisconsin, referenced in industry literature, indicates the following benchmark costs:</w:t>
      </w:r>
    </w:p>
    <w:p>
      <w:pPr>
        <w:pStyle w:val="ListParagraph"/>
        <w:numPr>
          <w:ilvl w:val="0"/>
          <w:numId w:val="2"/>
        </w:numPr>
        <w:spacing w:after="80" w:before="0"/>
      </w:pPr>
      <w:r>
        <w:rPr>
          <w:rFonts w:ascii="Arial" w:cs="Arial" w:eastAsia="Arial" w:hAnsi="Arial"/>
          <w:sz w:val="22"/>
          <w:szCs w:val="22"/>
        </w:rPr>
        <w:t xml:space="preserve">69 kV single-circuit OHL: approximately USD 285,000 per mile (~USD 177,000/km).</w:t>
      </w:r>
    </w:p>
    <w:p>
      <w:pPr>
        <w:pStyle w:val="ListParagraph"/>
        <w:numPr>
          <w:ilvl w:val="0"/>
          <w:numId w:val="2"/>
        </w:numPr>
        <w:spacing w:after="80" w:before="0"/>
      </w:pPr>
      <w:r>
        <w:rPr>
          <w:rFonts w:ascii="Arial" w:cs="Arial" w:eastAsia="Arial" w:hAnsi="Arial"/>
          <w:sz w:val="22"/>
          <w:szCs w:val="22"/>
        </w:rPr>
        <w:t xml:space="preserve">138 kV OHL: approximately USD 390,000 per mile (~USD 242,000/km).</w:t>
      </w:r>
    </w:p>
    <w:p>
      <w:pPr>
        <w:spacing w:after="120" w:before="0"/>
      </w:pPr>
      <w:r>
        <w:rPr>
          <w:rFonts w:ascii="Arial" w:cs="Arial" w:eastAsia="Arial" w:hAnsi="Arial"/>
          <w:b w:val="false"/>
          <w:bCs w:val="false"/>
          <w:sz w:val="22"/>
          <w:szCs w:val="22"/>
        </w:rPr>
        <w:t xml:space="preserve">In Zambia, lower labour costs and locally available structural steel reduce OHL costs by approximately 20–30% compared to US benchmarks. A 33 kV OHL (the standard distribution voltage in Zambia) can be estimated at USD 60,000–100,000 per km in Zambian conditions.</w:t>
      </w:r>
    </w:p>
    <w:p>
      <w:pPr>
        <w:spacing w:after="60" w:before="0"/>
      </w:pPr>
      <w:r>
        <w:t xml:space="preserve"/>
      </w:r>
    </w:p>
    <w:p>
      <w:pPr>
        <w:pStyle w:val="Heading3"/>
        <w:spacing w:after="60" w:before="160"/>
      </w:pPr>
      <w:r>
        <w:rPr>
          <w:rFonts w:ascii="Arial" w:cs="Arial" w:eastAsia="Arial" w:hAnsi="Arial"/>
          <w:b/>
          <w:bCs/>
          <w:color w:val="2E4057"/>
          <w:sz w:val="22"/>
          <w:szCs w:val="22"/>
        </w:rPr>
        <w:t xml:space="preserve">5.2.2 Advantages</w:t>
      </w:r>
    </w:p>
    <w:p>
      <w:pPr>
        <w:pStyle w:val="ListParagraph"/>
        <w:numPr>
          <w:ilvl w:val="0"/>
          <w:numId w:val="2"/>
        </w:numPr>
        <w:spacing w:after="80" w:before="0"/>
      </w:pPr>
      <w:r>
        <w:rPr>
          <w:rFonts w:ascii="Arial" w:cs="Arial" w:eastAsia="Arial" w:hAnsi="Arial"/>
          <w:sz w:val="22"/>
          <w:szCs w:val="22"/>
        </w:rPr>
        <w:t xml:space="preserve">Lower upfront capital cost — typically 4 to 14 times cheaper per km than underground equivalents for the same voltage and capacity (Public Service Commission of Wisconsin).</w:t>
      </w:r>
    </w:p>
    <w:p>
      <w:pPr>
        <w:pStyle w:val="ListParagraph"/>
        <w:numPr>
          <w:ilvl w:val="0"/>
          <w:numId w:val="2"/>
        </w:numPr>
        <w:spacing w:after="80" w:before="0"/>
      </w:pPr>
      <w:r>
        <w:rPr>
          <w:rFonts w:ascii="Arial" w:cs="Arial" w:eastAsia="Arial" w:hAnsi="Arial"/>
          <w:sz w:val="22"/>
          <w:szCs w:val="22"/>
        </w:rPr>
        <w:t xml:space="preserve">Easier fault location and repair — visual inspection identifies faults; repair time typically hours to days.</w:t>
      </w:r>
    </w:p>
    <w:p>
      <w:pPr>
        <w:pStyle w:val="ListParagraph"/>
        <w:numPr>
          <w:ilvl w:val="0"/>
          <w:numId w:val="2"/>
        </w:numPr>
        <w:spacing w:after="80" w:before="0"/>
      </w:pPr>
      <w:r>
        <w:rPr>
          <w:rFonts w:ascii="Arial" w:cs="Arial" w:eastAsia="Arial" w:hAnsi="Arial"/>
          <w:sz w:val="22"/>
          <w:szCs w:val="22"/>
        </w:rPr>
        <w:t xml:space="preserve">No thermal derating issues — OHL can be operated at full capacity continuously without reactive power compensation.</w:t>
      </w:r>
    </w:p>
    <w:p>
      <w:pPr>
        <w:pStyle w:val="ListParagraph"/>
        <w:numPr>
          <w:ilvl w:val="0"/>
          <w:numId w:val="2"/>
        </w:numPr>
        <w:spacing w:after="80" w:before="0"/>
      </w:pPr>
      <w:r>
        <w:rPr>
          <w:rFonts w:ascii="Arial" w:cs="Arial" w:eastAsia="Arial" w:hAnsi="Arial"/>
          <w:sz w:val="22"/>
          <w:szCs w:val="22"/>
        </w:rPr>
        <w:t xml:space="preserve">Established local expertise — ZESCO maintains extensive OHL maintenance capability throughout Zambia.</w:t>
      </w:r>
    </w:p>
    <w:p>
      <w:pPr>
        <w:spacing w:after="60" w:before="0"/>
      </w:pPr>
      <w:r>
        <w:t xml:space="preserve"/>
      </w:r>
    </w:p>
    <w:p>
      <w:pPr>
        <w:pStyle w:val="Heading3"/>
        <w:spacing w:after="60" w:before="160"/>
      </w:pPr>
      <w:r>
        <w:rPr>
          <w:rFonts w:ascii="Arial" w:cs="Arial" w:eastAsia="Arial" w:hAnsi="Arial"/>
          <w:b/>
          <w:bCs/>
          <w:color w:val="2E4057"/>
          <w:sz w:val="22"/>
          <w:szCs w:val="22"/>
        </w:rPr>
        <w:t xml:space="preserve">5.2.3 Disadvantages</w:t>
      </w:r>
    </w:p>
    <w:p>
      <w:pPr>
        <w:pStyle w:val="ListParagraph"/>
        <w:numPr>
          <w:ilvl w:val="0"/>
          <w:numId w:val="2"/>
        </w:numPr>
        <w:spacing w:after="80" w:before="0"/>
      </w:pPr>
      <w:r>
        <w:rPr>
          <w:rFonts w:ascii="Arial" w:cs="Arial" w:eastAsia="Arial" w:hAnsi="Arial"/>
          <w:sz w:val="22"/>
          <w:szCs w:val="22"/>
        </w:rPr>
        <w:t xml:space="preserve">Habitat fragmentation: OHL requires right-of-way (ROW) clearing of 10–30m width, destroying vegetation corridors, displacing wildlife, and generating land use conflicts — directly contrary to the project's agri-ecological design principles.</w:t>
      </w:r>
    </w:p>
    <w:p>
      <w:pPr>
        <w:pStyle w:val="ListParagraph"/>
        <w:numPr>
          <w:ilvl w:val="0"/>
          <w:numId w:val="2"/>
        </w:numPr>
        <w:spacing w:after="80" w:before="0"/>
      </w:pPr>
      <w:r>
        <w:rPr>
          <w:rFonts w:ascii="Arial" w:cs="Arial" w:eastAsia="Arial" w:hAnsi="Arial"/>
          <w:sz w:val="22"/>
          <w:szCs w:val="22"/>
        </w:rPr>
        <w:t xml:space="preserve">Storm and lightning vulnerability: Zambia's summer wet season brings electrical storms. OHL is vulnerable to lightning strikes, conductor galloping, and tree-on-line failures, requiring higher reliability provisions.</w:t>
      </w:r>
    </w:p>
    <w:p>
      <w:pPr>
        <w:pStyle w:val="ListParagraph"/>
        <w:numPr>
          <w:ilvl w:val="0"/>
          <w:numId w:val="2"/>
        </w:numPr>
        <w:spacing w:after="80" w:before="0"/>
      </w:pPr>
      <w:r>
        <w:rPr>
          <w:rFonts w:ascii="Arial" w:cs="Arial" w:eastAsia="Arial" w:hAnsi="Arial"/>
          <w:sz w:val="22"/>
          <w:szCs w:val="22"/>
        </w:rPr>
        <w:t xml:space="preserve">Visual impact and community relations: Pylons and OHL affect landscape character and can create friction in community land negotiations — a material risk for project permitting.</w:t>
      </w:r>
    </w:p>
    <w:p>
      <w:pPr>
        <w:pStyle w:val="ListParagraph"/>
        <w:numPr>
          <w:ilvl w:val="0"/>
          <w:numId w:val="2"/>
        </w:numPr>
        <w:spacing w:after="80" w:before="0"/>
      </w:pPr>
      <w:r>
        <w:rPr>
          <w:rFonts w:ascii="Arial" w:cs="Arial" w:eastAsia="Arial" w:hAnsi="Arial"/>
          <w:sz w:val="22"/>
          <w:szCs w:val="22"/>
        </w:rPr>
        <w:t xml:space="preserve">Ongoing ROW maintenance: Regular clearing of vegetation under OHL is required, adding to lifecycle O&amp;M costs.</w:t>
      </w:r>
    </w:p>
    <w:p>
      <w:pPr>
        <w:spacing w:after="60" w:before="0"/>
      </w:pPr>
      <w:r>
        <w:t xml:space="preserve"/>
      </w:r>
    </w:p>
    <w:p>
      <w:pPr>
        <w:pStyle w:val="Heading2"/>
        <w:spacing w:after="80" w:before="240"/>
      </w:pPr>
      <w:r>
        <w:rPr>
          <w:rFonts w:ascii="Arial" w:cs="Arial" w:eastAsia="Arial" w:hAnsi="Arial"/>
          <w:b/>
          <w:bCs/>
          <w:color w:val="2E75B6"/>
          <w:sz w:val="26"/>
          <w:szCs w:val="26"/>
        </w:rPr>
        <w:t xml:space="preserve">5.3 Underground Cables (UGC)</w:t>
      </w:r>
    </w:p>
    <w:p>
      <w:pPr>
        <w:pStyle w:val="Heading3"/>
        <w:spacing w:after="60" w:before="160"/>
      </w:pPr>
      <w:r>
        <w:rPr>
          <w:rFonts w:ascii="Arial" w:cs="Arial" w:eastAsia="Arial" w:hAnsi="Arial"/>
          <w:b/>
          <w:bCs/>
          <w:color w:val="2E4057"/>
          <w:sz w:val="22"/>
          <w:szCs w:val="22"/>
        </w:rPr>
        <w:t xml:space="preserve">5.3.1 Capital Costs</w:t>
      </w:r>
    </w:p>
    <w:p>
      <w:pPr>
        <w:spacing w:after="180" w:before="0"/>
      </w:pPr>
      <w:r>
        <w:rPr>
          <w:rFonts w:ascii="Arial" w:cs="Arial" w:eastAsia="Arial" w:hAnsi="Arial"/>
          <w:b w:val="false"/>
          <w:bCs w:val="false"/>
          <w:sz w:val="22"/>
          <w:szCs w:val="22"/>
        </w:rPr>
        <w:t xml:space="preserve">Underground cable installation is significantly more expensive upfront. A life cycle cost comparison published in Scientific Reports (2026) of 33 kV systems found that underground cables have larger embodied material impacts and capital expenditure, whereas overhead lines have larger operational losses per unit of delivered electricity. Published benchmarks:</w:t>
      </w:r>
    </w:p>
    <w:p>
      <w:pPr>
        <w:pStyle w:val="ListParagraph"/>
        <w:numPr>
          <w:ilvl w:val="0"/>
          <w:numId w:val="2"/>
        </w:numPr>
        <w:spacing w:after="80" w:before="0"/>
      </w:pPr>
      <w:r>
        <w:rPr>
          <w:rFonts w:ascii="Arial" w:cs="Arial" w:eastAsia="Arial" w:hAnsi="Arial"/>
          <w:sz w:val="22"/>
          <w:szCs w:val="22"/>
        </w:rPr>
        <w:t xml:space="preserve">69 kV UGC: approximately USD 1.5 million per mile (~USD 932,000/km) without terminals (Public Service Commission of Wisconsin).</w:t>
      </w:r>
    </w:p>
    <w:p>
      <w:pPr>
        <w:pStyle w:val="ListParagraph"/>
        <w:numPr>
          <w:ilvl w:val="0"/>
          <w:numId w:val="2"/>
        </w:numPr>
        <w:spacing w:after="80" w:before="0"/>
      </w:pPr>
      <w:r>
        <w:rPr>
          <w:rFonts w:ascii="Arial" w:cs="Arial" w:eastAsia="Arial" w:hAnsi="Arial"/>
          <w:sz w:val="22"/>
          <w:szCs w:val="22"/>
        </w:rPr>
        <w:t xml:space="preserve">138 kV UGC: approximately USD 2 million per mile (~USD 1.24 million/km) without terminals.</w:t>
      </w:r>
    </w:p>
    <w:p>
      <w:pPr>
        <w:pStyle w:val="ListParagraph"/>
        <w:numPr>
          <w:ilvl w:val="0"/>
          <w:numId w:val="2"/>
        </w:numPr>
        <w:spacing w:after="80" w:before="0"/>
      </w:pPr>
      <w:r>
        <w:rPr>
          <w:rFonts w:ascii="Arial" w:cs="Arial" w:eastAsia="Arial" w:hAnsi="Arial"/>
          <w:sz w:val="22"/>
          <w:szCs w:val="22"/>
        </w:rPr>
        <w:t xml:space="preserve">33 kV UGC (Zambia conditions): estimated USD 150,000–350,000/km, depending on terrain, cable specification, and trenching conditions.</w:t>
      </w:r>
    </w:p>
    <w:p>
      <w:pPr>
        <w:spacing w:after="120" w:before="0"/>
      </w:pPr>
      <w:r>
        <w:rPr>
          <w:rFonts w:ascii="Arial" w:cs="Arial" w:eastAsia="Arial" w:hAnsi="Arial"/>
          <w:b w:val="false"/>
          <w:bCs w:val="false"/>
          <w:sz w:val="22"/>
          <w:szCs w:val="22"/>
        </w:rPr>
        <w:t xml:space="preserve">The IET (Institute of Engineering and Technology, 2025) notes that lifetime costs of underground HVAC links are 1.6–1.7 times those of equivalent overhead lines, while HVDC underground links may be 4–7 times more expensive on a per-MW/km basis.</w:t>
      </w:r>
    </w:p>
    <w:p>
      <w:pPr>
        <w:spacing w:after="60" w:before="0"/>
      </w:pPr>
      <w:r>
        <w:t xml:space="preserve"/>
      </w:r>
    </w:p>
    <w:p>
      <w:pPr>
        <w:pStyle w:val="Heading3"/>
        <w:spacing w:after="60" w:before="160"/>
      </w:pPr>
      <w:r>
        <w:rPr>
          <w:rFonts w:ascii="Arial" w:cs="Arial" w:eastAsia="Arial" w:hAnsi="Arial"/>
          <w:b/>
          <w:bCs/>
          <w:color w:val="2E4057"/>
          <w:sz w:val="22"/>
          <w:szCs w:val="22"/>
        </w:rPr>
        <w:t xml:space="preserve">5.3.2 Advantages</w:t>
      </w:r>
    </w:p>
    <w:p>
      <w:pPr>
        <w:pStyle w:val="ListParagraph"/>
        <w:numPr>
          <w:ilvl w:val="0"/>
          <w:numId w:val="2"/>
        </w:numPr>
        <w:spacing w:after="80" w:before="0"/>
      </w:pPr>
      <w:r>
        <w:rPr>
          <w:rFonts w:ascii="Arial" w:cs="Arial" w:eastAsia="Arial" w:hAnsi="Arial"/>
          <w:sz w:val="22"/>
          <w:szCs w:val="22"/>
        </w:rPr>
        <w:t xml:space="preserve">Zero habitat fragmentation: Cables are buried at 0.8–1.2m depth. No ROW clearing is required, no pylons are erected, and the surface above the cable route returns to its natural or agricultural state within months of installation.</w:t>
      </w:r>
    </w:p>
    <w:p>
      <w:pPr>
        <w:pStyle w:val="ListParagraph"/>
        <w:numPr>
          <w:ilvl w:val="0"/>
          <w:numId w:val="2"/>
        </w:numPr>
        <w:spacing w:after="80" w:before="0"/>
      </w:pPr>
      <w:r>
        <w:rPr>
          <w:rFonts w:ascii="Arial" w:cs="Arial" w:eastAsia="Arial" w:hAnsi="Arial"/>
          <w:sz w:val="22"/>
          <w:szCs w:val="22"/>
        </w:rPr>
        <w:t xml:space="preserve">Dramatically lower storm vulnerability: Underground cables are unaffected by lightning, wind loading, or falling trees — a significant reliability advantage in Zambia's wet season.</w:t>
      </w:r>
    </w:p>
    <w:p>
      <w:pPr>
        <w:pStyle w:val="ListParagraph"/>
        <w:numPr>
          <w:ilvl w:val="0"/>
          <w:numId w:val="2"/>
        </w:numPr>
        <w:spacing w:after="80" w:before="0"/>
      </w:pPr>
      <w:r>
        <w:rPr>
          <w:rFonts w:ascii="Arial" w:cs="Arial" w:eastAsia="Arial" w:hAnsi="Arial"/>
          <w:sz w:val="22"/>
          <w:szCs w:val="22"/>
        </w:rPr>
        <w:t xml:space="preserve">No mowing or ROW maintenance: The surface above buried cables requires no ongoing clearance, eliminating a recurring O&amp;M cost category.</w:t>
      </w:r>
    </w:p>
    <w:p>
      <w:pPr>
        <w:pStyle w:val="ListParagraph"/>
        <w:numPr>
          <w:ilvl w:val="0"/>
          <w:numId w:val="2"/>
        </w:numPr>
        <w:spacing w:after="80" w:before="0"/>
      </w:pPr>
      <w:r>
        <w:rPr>
          <w:rFonts w:ascii="Arial" w:cs="Arial" w:eastAsia="Arial" w:hAnsi="Arial"/>
          <w:sz w:val="22"/>
          <w:szCs w:val="22"/>
        </w:rPr>
        <w:t xml:space="preserve">Compatibility with agrivoltaic land use: Surface land above cable routes can be grazed by goats and bees can forage freely — impossible with OHL corridors.</w:t>
      </w:r>
    </w:p>
    <w:p>
      <w:pPr>
        <w:pStyle w:val="ListParagraph"/>
        <w:numPr>
          <w:ilvl w:val="0"/>
          <w:numId w:val="2"/>
        </w:numPr>
        <w:spacing w:after="80" w:before="0"/>
      </w:pPr>
      <w:r>
        <w:rPr>
          <w:rFonts w:ascii="Arial" w:cs="Arial" w:eastAsia="Arial" w:hAnsi="Arial"/>
          <w:sz w:val="22"/>
          <w:szCs w:val="22"/>
        </w:rPr>
        <w:t xml:space="preserve">Lower transmission losses in short-distance applications: Underground cables at 33 kV over short distances (under 10 km) exhibit lower resistive losses than overhead lines, which experience additional losses from skin effect and corona discharge.</w:t>
      </w:r>
    </w:p>
    <w:p>
      <w:pPr>
        <w:pStyle w:val="ListParagraph"/>
        <w:numPr>
          <w:ilvl w:val="0"/>
          <w:numId w:val="2"/>
        </w:numPr>
        <w:spacing w:after="80" w:before="0"/>
      </w:pPr>
      <w:r>
        <w:rPr>
          <w:rFonts w:ascii="Arial" w:cs="Arial" w:eastAsia="Arial" w:hAnsi="Arial"/>
          <w:sz w:val="22"/>
          <w:szCs w:val="22"/>
        </w:rPr>
        <w:t xml:space="preserve">Community and permitting acceptance: Invisible infrastructure generates significantly less community opposition and simplifies land agreements.</w:t>
      </w:r>
    </w:p>
    <w:p>
      <w:pPr>
        <w:spacing w:after="60" w:before="0"/>
      </w:pPr>
      <w:r>
        <w:t xml:space="preserve"/>
      </w:r>
    </w:p>
    <w:p>
      <w:pPr>
        <w:pStyle w:val="Heading3"/>
        <w:spacing w:after="60" w:before="160"/>
      </w:pPr>
      <w:r>
        <w:rPr>
          <w:rFonts w:ascii="Arial" w:cs="Arial" w:eastAsia="Arial" w:hAnsi="Arial"/>
          <w:b/>
          <w:bCs/>
          <w:color w:val="2E4057"/>
          <w:sz w:val="22"/>
          <w:szCs w:val="22"/>
        </w:rPr>
        <w:t xml:space="preserve">5.3.3 Disadvantages</w:t>
      </w:r>
    </w:p>
    <w:p>
      <w:pPr>
        <w:pStyle w:val="ListParagraph"/>
        <w:numPr>
          <w:ilvl w:val="0"/>
          <w:numId w:val="2"/>
        </w:numPr>
        <w:spacing w:after="80" w:before="0"/>
      </w:pPr>
      <w:r>
        <w:rPr>
          <w:rFonts w:ascii="Arial" w:cs="Arial" w:eastAsia="Arial" w:hAnsi="Arial"/>
          <w:sz w:val="22"/>
          <w:szCs w:val="22"/>
        </w:rPr>
        <w:t xml:space="preserve">Capital cost: The 4–10x capital cost premium (in the 33 kV range) is the primary disadvantage and requires careful distance and whole-life cost analysis.</w:t>
      </w:r>
    </w:p>
    <w:p>
      <w:pPr>
        <w:pStyle w:val="ListParagraph"/>
        <w:numPr>
          <w:ilvl w:val="0"/>
          <w:numId w:val="2"/>
        </w:numPr>
        <w:spacing w:after="80" w:before="0"/>
      </w:pPr>
      <w:r>
        <w:rPr>
          <w:rFonts w:ascii="Arial" w:cs="Arial" w:eastAsia="Arial" w:hAnsi="Arial"/>
          <w:sz w:val="22"/>
          <w:szCs w:val="22"/>
        </w:rPr>
        <w:t xml:space="preserve">Fault location difficulty: Underground faults require specialist time-domain reflectometry (TDR) equipment. Repair times are longer — days to weeks — and repair costs higher.</w:t>
      </w:r>
    </w:p>
    <w:p>
      <w:pPr>
        <w:pStyle w:val="ListParagraph"/>
        <w:numPr>
          <w:ilvl w:val="0"/>
          <w:numId w:val="2"/>
        </w:numPr>
        <w:spacing w:after="80" w:before="0"/>
      </w:pPr>
      <w:r>
        <w:rPr>
          <w:rFonts w:ascii="Arial" w:cs="Arial" w:eastAsia="Arial" w:hAnsi="Arial"/>
          <w:sz w:val="22"/>
          <w:szCs w:val="22"/>
        </w:rPr>
        <w:t xml:space="preserve">Thermal management: Underground cables must be derated in high soil temperatures or where cable bundles reduce thermal dissipation. In Zambia's climate, thermal derating should be evaluated.</w:t>
      </w:r>
    </w:p>
    <w:p>
      <w:pPr>
        <w:pStyle w:val="ListParagraph"/>
        <w:numPr>
          <w:ilvl w:val="0"/>
          <w:numId w:val="2"/>
        </w:numPr>
        <w:spacing w:after="80" w:before="0"/>
      </w:pPr>
      <w:r>
        <w:rPr>
          <w:rFonts w:ascii="Arial" w:cs="Arial" w:eastAsia="Arial" w:hAnsi="Arial"/>
          <w:sz w:val="22"/>
          <w:szCs w:val="22"/>
        </w:rPr>
        <w:t xml:space="preserve">Reactive power compensation: Long UGC runs generate significant capacitive reactive current, requiring compensation at both ends for runs exceeding approximately 5–8 km at 33 kV.</w:t>
      </w:r>
    </w:p>
    <w:p>
      <w:pPr>
        <w:spacing w:after="60" w:before="0"/>
      </w:pPr>
      <w:r>
        <w:t xml:space="preserve"/>
      </w:r>
    </w:p>
    <w:p>
      <w:pPr>
        <w:pStyle w:val="Heading2"/>
        <w:spacing w:after="80" w:before="240"/>
      </w:pPr>
      <w:r>
        <w:rPr>
          <w:rFonts w:ascii="Arial" w:cs="Arial" w:eastAsia="Arial" w:hAnsi="Arial"/>
          <w:b/>
          <w:bCs/>
          <w:color w:val="2E75B6"/>
          <w:sz w:val="26"/>
          <w:szCs w:val="26"/>
        </w:rPr>
        <w:t xml:space="preserve">5.4 Trade-off Analysis and Recommendation</w:t>
      </w:r>
    </w:p>
    <w:p>
      <w:pPr>
        <w:spacing w:after="180" w:before="0"/>
      </w:pPr>
      <w:r>
        <w:rPr>
          <w:rFonts w:ascii="Arial" w:cs="Arial" w:eastAsia="Arial" w:hAnsi="Arial"/>
          <w:b w:val="false"/>
          <w:bCs w:val="false"/>
          <w:sz w:val="22"/>
          <w:szCs w:val="22"/>
        </w:rPr>
        <w:t xml:space="preserve">The economic case for underground versus overhead transmission is primarily a function of distance. For short connections (under 5 km) from a solar plant to an existing substation — the typical case in the in-scope project framework, where plants are sited proximate to existing industrial substations — the premium for underground cable is modest in absolute terms relative to total project CAPEX:</w:t>
      </w:r>
    </w:p>
    <w:p>
      <w:pPr>
        <w:spacing w:after="60" w:before="0"/>
      </w:pPr>
      <w:r>
        <w:t xml:space="preserve"/>
      </w:r>
    </w:p>
    <w:p>
      <w:pPr>
        <w:spacing w:after="180" w:before="0"/>
      </w:pPr>
      <w:r>
        <w:rPr>
          <w:rFonts w:ascii="Arial" w:cs="Arial" w:eastAsia="Arial" w:hAnsi="Arial"/>
          <w:b/>
          <w:bCs/>
          <w:sz w:val="22"/>
          <w:szCs w:val="22"/>
        </w:rPr>
        <w:t xml:space="preserve">At a 33 kV connection over 3 km distance:</w:t>
      </w:r>
    </w:p>
    <w:p>
      <w:pPr>
        <w:pStyle w:val="ListParagraph"/>
        <w:numPr>
          <w:ilvl w:val="0"/>
          <w:numId w:val="2"/>
        </w:numPr>
        <w:spacing w:after="80" w:before="0"/>
      </w:pPr>
      <w:r>
        <w:rPr>
          <w:rFonts w:ascii="Arial" w:cs="Arial" w:eastAsia="Arial" w:hAnsi="Arial"/>
          <w:sz w:val="22"/>
          <w:szCs w:val="22"/>
        </w:rPr>
        <w:t xml:space="preserve">OHL capital cost: ~USD 90,000–300,000 (3 km × USD 30,000–100,000/km)</w:t>
      </w:r>
    </w:p>
    <w:p>
      <w:pPr>
        <w:pStyle w:val="ListParagraph"/>
        <w:numPr>
          <w:ilvl w:val="0"/>
          <w:numId w:val="2"/>
        </w:numPr>
        <w:spacing w:after="80" w:before="0"/>
      </w:pPr>
      <w:r>
        <w:rPr>
          <w:rFonts w:ascii="Arial" w:cs="Arial" w:eastAsia="Arial" w:hAnsi="Arial"/>
          <w:sz w:val="22"/>
          <w:szCs w:val="22"/>
        </w:rPr>
        <w:t xml:space="preserve">UGC capital cost: ~USD 450,000–1,050,000 (3 km × USD 150,000–350,000/km)</w:t>
      </w:r>
    </w:p>
    <w:p>
      <w:pPr>
        <w:pStyle w:val="ListParagraph"/>
        <w:numPr>
          <w:ilvl w:val="0"/>
          <w:numId w:val="2"/>
        </w:numPr>
        <w:spacing w:after="80" w:before="0"/>
      </w:pPr>
      <w:r>
        <w:rPr>
          <w:rFonts w:ascii="Arial" w:cs="Arial" w:eastAsia="Arial" w:hAnsi="Arial"/>
          <w:sz w:val="22"/>
          <w:szCs w:val="22"/>
        </w:rPr>
        <w:t xml:space="preserve">Premium for underground: USD 360,000–750,000</w:t>
      </w:r>
    </w:p>
    <w:p>
      <w:pPr>
        <w:pStyle w:val="ListParagraph"/>
        <w:numPr>
          <w:ilvl w:val="0"/>
          <w:numId w:val="2"/>
        </w:numPr>
        <w:spacing w:after="80" w:before="0"/>
      </w:pPr>
      <w:r>
        <w:rPr>
          <w:rFonts w:ascii="Arial" w:cs="Arial" w:eastAsia="Arial" w:hAnsi="Arial"/>
          <w:sz w:val="22"/>
          <w:szCs w:val="22"/>
        </w:rPr>
        <w:t xml:space="preserve">As % of 10 MW plant CAPEX: 3.7–9.4%</w:t>
      </w:r>
    </w:p>
    <w:p>
      <w:pPr>
        <w:spacing w:after="180" w:before="0"/>
      </w:pPr>
      <w:r>
        <w:rPr>
          <w:rFonts w:ascii="Arial" w:cs="Arial" w:eastAsia="Arial" w:hAnsi="Arial"/>
          <w:b w:val="false"/>
          <w:bCs w:val="false"/>
          <w:sz w:val="22"/>
          <w:szCs w:val="22"/>
        </w:rPr>
        <w:t xml:space="preserve">This premium is justified by the elimination of ongoing ROW maintenance, improved storm resilience, compatibility with the agri-ecological system, and superior community acceptance — particularly when weighed against the reputational and operational risks of OHL in ecologically sensitive areas.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000"/>
        <w:gridCol w:w="1660"/>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Factor</w:t>
            </w:r>
          </w:p>
        </w:tc>
        <w:tc>
          <w:tcPr>
            <w:tcW w:type="dxa" w:w="1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Overhead Line</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Underground Cable</w:t>
            </w:r>
          </w:p>
        </w:tc>
        <w:tc>
          <w:tcPr>
            <w:tcW w:type="dxa" w:w="16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Weight (1–5)</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Capital cost (short run &lt;5 km)</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Low</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High (4–10× OHL)</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Capital cost (long run &gt;20 km)</w:t>
            </w:r>
          </w:p>
        </w:tc>
        <w:tc>
          <w:tcPr>
            <w:tcW w:type="dxa" w:w="1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Low</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Very high</w:t>
            </w:r>
          </w:p>
        </w:tc>
        <w:tc>
          <w:tcPr>
            <w:tcW w:type="dxa" w:w="16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Habitat and ecological impact</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High impact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Negligible impact</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Storm/lightning resilience</w:t>
            </w:r>
          </w:p>
        </w:tc>
        <w:tc>
          <w:tcPr>
            <w:tcW w:type="dxa" w:w="1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Low</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High</w:t>
            </w:r>
          </w:p>
        </w:tc>
        <w:tc>
          <w:tcPr>
            <w:tcW w:type="dxa" w:w="16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Fault repair time and cost</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Days; moderate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Weeks; high</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ROW maintenance cost</w:t>
            </w:r>
          </w:p>
        </w:tc>
        <w:tc>
          <w:tcPr>
            <w:tcW w:type="dxa" w:w="1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Ongoing; moderate</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None</w:t>
            </w:r>
          </w:p>
        </w:tc>
        <w:tc>
          <w:tcPr>
            <w:tcW w:type="dxa" w:w="16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Community acceptance</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Low-moderate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High</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Agrivoltaic compatibility</w:t>
            </w:r>
          </w:p>
        </w:tc>
        <w:tc>
          <w:tcPr>
            <w:tcW w:type="dxa" w:w="1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Incompatible</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Fully compatible</w:t>
            </w:r>
          </w:p>
        </w:tc>
        <w:tc>
          <w:tcPr>
            <w:tcW w:type="dxa" w:w="16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Reactive power (short run)</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Negligible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Low-moderate</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Local expertise availability</w:t>
            </w:r>
          </w:p>
        </w:tc>
        <w:tc>
          <w:tcPr>
            <w:tcW w:type="dxa" w:w="1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High (ZESCO)</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Moderate</w:t>
            </w:r>
          </w:p>
        </w:tc>
        <w:tc>
          <w:tcPr>
            <w:tcW w:type="dxa" w:w="16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w:t>
            </w:r>
          </w:p>
        </w:tc>
      </w:tr>
    </w:tbl>
    <w:p>
      <w:pPr>
        <w:spacing w:after="180" w:before="60"/>
      </w:pPr>
      <w:r>
        <w:rPr>
          <w:rFonts w:ascii="Arial" w:cs="Arial" w:eastAsia="Arial" w:hAnsi="Arial"/>
          <w:color w:val="555555"/>
          <w:sz w:val="18"/>
          <w:szCs w:val="18"/>
        </w:rPr>
        <w:t xml:space="preserve">Table 7: Qualitative trade-off matrix for OHL vs. UGC in the Zambia project context. Weight reflects strategic importance given the in-scope agri-ecological design objective.</w:t>
      </w:r>
    </w:p>
    <w:p>
      <w:pPr>
        <w:spacing w:after="120" w:before="0"/>
      </w:pPr>
      <w:r>
        <w:t xml:space="preserve"/>
      </w:r>
    </w:p>
    <w:p>
      <w:pPr>
        <w:spacing w:after="180" w:before="0"/>
      </w:pPr>
      <w:r>
        <w:rPr>
          <w:rFonts w:ascii="Arial" w:cs="Arial" w:eastAsia="Arial" w:hAnsi="Arial"/>
          <w:b w:val="false"/>
          <w:bCs w:val="false"/>
          <w:sz w:val="22"/>
          <w:szCs w:val="22"/>
        </w:rPr>
        <w:t xml:space="preserve">Recommendation: Underground cable (33 kV XLPE armoured) is recommended for all plant-to-substation connections up to approximately 8–10 km. For longer connections, a hybrid approach — underground cable for the plant proximity section and the final substation connection, with OHL for the intervening section in remote terrain — provides a cost-optimised compromise. The hybrid approach preserves the ecological and community benefits at the most visible project interfaces while controlling CAPEX on remote rural sections.</w:t>
      </w:r>
    </w:p>
    <w:p>
      <w:pPr>
        <w:spacing w:after="60" w:before="0"/>
      </w:pPr>
      <w:r>
        <w:t xml:space="preserve"/>
      </w:r>
    </w:p>
    <w:p>
      <w:pPr>
        <w:pStyle w:val="Heading2"/>
        <w:spacing w:after="80" w:before="240"/>
      </w:pPr>
      <w:r>
        <w:rPr>
          <w:rFonts w:ascii="Arial" w:cs="Arial" w:eastAsia="Arial" w:hAnsi="Arial"/>
          <w:b/>
          <w:bCs/>
          <w:color w:val="2E75B6"/>
          <w:sz w:val="26"/>
          <w:szCs w:val="26"/>
        </w:rPr>
        <w:t xml:space="preserve">5.5 Transmission Losses</w:t>
      </w:r>
    </w:p>
    <w:p>
      <w:pPr>
        <w:spacing w:after="180" w:before="0"/>
      </w:pPr>
      <w:r>
        <w:rPr>
          <w:rFonts w:ascii="Arial" w:cs="Arial" w:eastAsia="Arial" w:hAnsi="Arial"/>
          <w:b w:val="false"/>
          <w:bCs w:val="false"/>
          <w:sz w:val="22"/>
          <w:szCs w:val="22"/>
        </w:rPr>
        <w:t xml:space="preserve">Transmission losses in the in-scope project scenario are low. For a 33 kV XLPE underground cable of 95 mm² cross-section over 3 km, carrying 10 MW at 0.9 power factor:</w:t>
      </w:r>
    </w:p>
    <w:p>
      <w:pPr>
        <w:pStyle w:val="ListParagraph"/>
        <w:numPr>
          <w:ilvl w:val="0"/>
          <w:numId w:val="2"/>
        </w:numPr>
        <w:spacing w:after="80" w:before="0"/>
      </w:pPr>
      <w:r>
        <w:rPr>
          <w:rFonts w:ascii="Arial" w:cs="Arial" w:eastAsia="Arial" w:hAnsi="Arial"/>
          <w:sz w:val="22"/>
          <w:szCs w:val="22"/>
        </w:rPr>
        <w:t xml:space="preserve">Resistive (I²R) losses: approximately 1.5–2.5% of transmitted power.</w:t>
      </w:r>
    </w:p>
    <w:p>
      <w:pPr>
        <w:pStyle w:val="ListParagraph"/>
        <w:numPr>
          <w:ilvl w:val="0"/>
          <w:numId w:val="2"/>
        </w:numPr>
        <w:spacing w:after="80" w:before="0"/>
      </w:pPr>
      <w:r>
        <w:rPr>
          <w:rFonts w:ascii="Arial" w:cs="Arial" w:eastAsia="Arial" w:hAnsi="Arial"/>
          <w:sz w:val="22"/>
          <w:szCs w:val="22"/>
        </w:rPr>
        <w:t xml:space="preserve">Dielectric losses: &lt;0.1% for XLPE insulation at 33 kV.</w:t>
      </w:r>
    </w:p>
    <w:p>
      <w:pPr>
        <w:pStyle w:val="ListParagraph"/>
        <w:numPr>
          <w:ilvl w:val="0"/>
          <w:numId w:val="2"/>
        </w:numPr>
        <w:spacing w:after="80" w:before="0"/>
      </w:pPr>
      <w:r>
        <w:rPr>
          <w:rFonts w:ascii="Arial" w:cs="Arial" w:eastAsia="Arial" w:hAnsi="Arial"/>
          <w:sz w:val="22"/>
          <w:szCs w:val="22"/>
        </w:rPr>
        <w:t xml:space="preserve">Total transmission losses: approximately 1.5–3%.</w:t>
      </w:r>
    </w:p>
    <w:p>
      <w:pPr>
        <w:spacing w:after="180" w:before="0"/>
      </w:pPr>
      <w:r>
        <w:rPr>
          <w:rFonts w:ascii="Arial" w:cs="Arial" w:eastAsia="Arial" w:hAnsi="Arial"/>
          <w:b w:val="false"/>
          <w:bCs w:val="false"/>
          <w:sz w:val="22"/>
          <w:szCs w:val="22"/>
        </w:rPr>
        <w:t xml:space="preserve">Research published in Paripex Indian Journal of Research (November 2024) confirms that underground lines in hot climate conditions can exhibit lower resistive losses than overhead lines, as soil temperatures in the 0.8–1.2m burial depth range (typically 20–28°C) are lower than peak ambient air temperatures experienced by OHL conductors during Zambian summers, reducing conductor resistance. This partially offsets the higher capital cost of underground cabling on a whole-life energy basis.</w:t>
      </w:r>
    </w:p>
    <w:p>
      <w:r>
        <w:br w:type="page"/>
      </w:r>
    </w:p>
    <w:p>
      <w:pPr>
        <w:pStyle w:val="Heading1"/>
        <w:spacing w:after="120" w:before="360"/>
      </w:pPr>
      <w:r>
        <w:rPr>
          <w:rFonts w:ascii="Arial" w:cs="Arial" w:eastAsia="Arial" w:hAnsi="Arial"/>
          <w:b/>
          <w:bCs/>
          <w:color w:val="1F4E79"/>
          <w:sz w:val="32"/>
          <w:szCs w:val="32"/>
        </w:rPr>
        <w:t xml:space="preserve">6. Grid Integration via Existing Substations</w:t>
      </w:r>
    </w:p>
    <w:p>
      <w:pPr>
        <w:pStyle w:val="Heading2"/>
        <w:spacing w:after="80" w:before="240"/>
      </w:pPr>
      <w:r>
        <w:rPr>
          <w:rFonts w:ascii="Arial" w:cs="Arial" w:eastAsia="Arial" w:hAnsi="Arial"/>
          <w:b/>
          <w:bCs/>
          <w:color w:val="2E75B6"/>
          <w:sz w:val="26"/>
          <w:szCs w:val="26"/>
        </w:rPr>
        <w:t xml:space="preserve">6.1 Strategic Rationale</w:t>
      </w:r>
    </w:p>
    <w:p>
      <w:pPr>
        <w:spacing w:after="180" w:before="0"/>
      </w:pPr>
      <w:r>
        <w:rPr>
          <w:rFonts w:ascii="Arial" w:cs="Arial" w:eastAsia="Arial" w:hAnsi="Arial"/>
          <w:b w:val="false"/>
          <w:bCs w:val="false"/>
          <w:sz w:val="22"/>
          <w:szCs w:val="22"/>
        </w:rPr>
        <w:t xml:space="preserve">A defining feature of the in-scope project framework is the exclusive reliance on existing ZESCO substation infrastructure for grid integration. This is the single most important cost reduction lever in the project design, and it is enabled by Zambia's 2024 open access regulations.</w:t>
      </w:r>
    </w:p>
    <w:p>
      <w:pPr>
        <w:spacing w:after="60" w:before="0"/>
      </w:pPr>
      <w:r>
        <w:t xml:space="preserve"/>
      </w:r>
    </w:p>
    <w:p>
      <w:pPr>
        <w:spacing w:after="180" w:before="0"/>
      </w:pPr>
      <w:r>
        <w:rPr>
          <w:rFonts w:ascii="Arial" w:cs="Arial" w:eastAsia="Arial" w:hAnsi="Arial"/>
          <w:b w:val="false"/>
          <w:bCs w:val="false"/>
          <w:sz w:val="22"/>
          <w:szCs w:val="22"/>
        </w:rPr>
        <w:t xml:space="preserve">Building a new substation for a 10 MW solar project would add approximately USD 500,000–1,500,000 to project costs, extend permitting timelines by 12–24 months, and require significantly more complex negotiations with ZESCO. By connecting to an existing 33 kV busbar — of which ZESCO operates extensive networks across the Copperbelt, Lusaka corridor, and major provincial centres — the project avoids this cost entirely.</w:t>
      </w:r>
    </w:p>
    <w:p>
      <w:pPr>
        <w:spacing w:after="60" w:before="0"/>
      </w:pPr>
      <w:r>
        <w:t xml:space="preserve"/>
      </w:r>
    </w:p>
    <w:p>
      <w:pPr>
        <w:pStyle w:val="Heading2"/>
        <w:spacing w:after="80" w:before="240"/>
      </w:pPr>
      <w:r>
        <w:rPr>
          <w:rFonts w:ascii="Arial" w:cs="Arial" w:eastAsia="Arial" w:hAnsi="Arial"/>
          <w:b/>
          <w:bCs/>
          <w:color w:val="2E75B6"/>
          <w:sz w:val="26"/>
          <w:szCs w:val="26"/>
        </w:rPr>
        <w:t xml:space="preserve">6.2 Integration Requirements</w:t>
      </w:r>
    </w:p>
    <w:p>
      <w:pPr>
        <w:spacing w:after="180" w:before="0"/>
      </w:pPr>
      <w:r>
        <w:rPr>
          <w:rFonts w:ascii="Arial" w:cs="Arial" w:eastAsia="Arial" w:hAnsi="Arial"/>
          <w:b w:val="false"/>
          <w:bCs w:val="false"/>
          <w:sz w:val="22"/>
          <w:szCs w:val="22"/>
        </w:rPr>
        <w:t xml:space="preserve">Connecting a solar IPP to an existing ZESCO substation under the open access framework requires the following engineering provisions:</w:t>
      </w:r>
    </w:p>
    <w:p>
      <w:pPr>
        <w:pStyle w:val="ListParagraph"/>
        <w:numPr>
          <w:ilvl w:val="0"/>
          <w:numId w:val="2"/>
        </w:numPr>
        <w:spacing w:after="80" w:before="0"/>
      </w:pPr>
      <w:r>
        <w:rPr>
          <w:rFonts w:ascii="Arial" w:cs="Arial" w:eastAsia="Arial" w:hAnsi="Arial"/>
          <w:sz w:val="22"/>
          <w:szCs w:val="22"/>
        </w:rPr>
        <w:t xml:space="preserve">Protection relay upgrades: Anti-islanding protection, directional overcurrent relays, and under/over voltage and frequency relays at the point of common coupling (PCC). Cost: USD 20,000–60,000 depending on substation age and existing relay specification.</w:t>
      </w:r>
    </w:p>
    <w:p>
      <w:pPr>
        <w:pStyle w:val="ListParagraph"/>
        <w:numPr>
          <w:ilvl w:val="0"/>
          <w:numId w:val="2"/>
        </w:numPr>
        <w:spacing w:after="80" w:before="0"/>
      </w:pPr>
      <w:r>
        <w:rPr>
          <w:rFonts w:ascii="Arial" w:cs="Arial" w:eastAsia="Arial" w:hAnsi="Arial"/>
          <w:sz w:val="22"/>
          <w:szCs w:val="22"/>
        </w:rPr>
        <w:t xml:space="preserve">Metering and communications: Revenue-grade bidirectional metering (class 0.5S) and communications for real-time SCADA integration with ZESCO. Cost: USD 15,000–40,000.</w:t>
      </w:r>
    </w:p>
    <w:p>
      <w:pPr>
        <w:pStyle w:val="ListParagraph"/>
        <w:numPr>
          <w:ilvl w:val="0"/>
          <w:numId w:val="2"/>
        </w:numPr>
        <w:spacing w:after="80" w:before="0"/>
      </w:pPr>
      <w:r>
        <w:rPr>
          <w:rFonts w:ascii="Arial" w:cs="Arial" w:eastAsia="Arial" w:hAnsi="Arial"/>
          <w:sz w:val="22"/>
          <w:szCs w:val="22"/>
        </w:rPr>
        <w:t xml:space="preserve">Power quality compliance: Harmonic filters may be required depending on inverter type. Modern string inverters with active filtering capability typically satisfy Zambia's grid code requirements without additional hardware.</w:t>
      </w:r>
    </w:p>
    <w:p>
      <w:pPr>
        <w:pStyle w:val="ListParagraph"/>
        <w:numPr>
          <w:ilvl w:val="0"/>
          <w:numId w:val="2"/>
        </w:numPr>
        <w:spacing w:after="80" w:before="0"/>
      </w:pPr>
      <w:r>
        <w:rPr>
          <w:rFonts w:ascii="Arial" w:cs="Arial" w:eastAsia="Arial" w:hAnsi="Arial"/>
          <w:sz w:val="22"/>
          <w:szCs w:val="22"/>
        </w:rPr>
        <w:t xml:space="preserve">Reactive power capability: ZESCO may require the plant to provide reactive power support. Modern inverters with dynamic VAR control capability meet this requirement at no additional hardware cost.</w:t>
      </w:r>
    </w:p>
    <w:p>
      <w:pPr>
        <w:pStyle w:val="ListParagraph"/>
        <w:numPr>
          <w:ilvl w:val="0"/>
          <w:numId w:val="2"/>
        </w:numPr>
        <w:spacing w:after="80" w:before="0"/>
      </w:pPr>
      <w:r>
        <w:rPr>
          <w:rFonts w:ascii="Arial" w:cs="Arial" w:eastAsia="Arial" w:hAnsi="Arial"/>
          <w:sz w:val="22"/>
          <w:szCs w:val="22"/>
        </w:rPr>
        <w:t xml:space="preserve">Wheeling agreement: A formal interconnection and wheeling agreement with ZESCO is required. The 2024 regulations provide a framework for this; lead time is estimated at 3–6 months under the new regulatory framework.</w:t>
      </w:r>
    </w:p>
    <w:p>
      <w:pPr>
        <w:spacing w:after="60" w:before="0"/>
      </w:pPr>
      <w:r>
        <w:t xml:space="preserve"/>
      </w:r>
    </w:p>
    <w:p>
      <w:pPr>
        <w:pStyle w:val="Heading2"/>
        <w:spacing w:after="80" w:before="240"/>
      </w:pPr>
      <w:r>
        <w:rPr>
          <w:rFonts w:ascii="Arial" w:cs="Arial" w:eastAsia="Arial" w:hAnsi="Arial"/>
          <w:b/>
          <w:bCs/>
          <w:color w:val="2E75B6"/>
          <w:sz w:val="26"/>
          <w:szCs w:val="26"/>
        </w:rPr>
        <w:t xml:space="preserve">6.3 Copperbelt Substation Network</w:t>
      </w:r>
    </w:p>
    <w:p>
      <w:pPr>
        <w:spacing w:after="180" w:before="0"/>
      </w:pPr>
      <w:r>
        <w:rPr>
          <w:rFonts w:ascii="Arial" w:cs="Arial" w:eastAsia="Arial" w:hAnsi="Arial"/>
          <w:b w:val="false"/>
          <w:bCs w:val="false"/>
          <w:sz w:val="22"/>
          <w:szCs w:val="22"/>
        </w:rPr>
        <w:t xml:space="preserve">The Copperbelt — Zambia's primary industrial region — has the densest existing substation network in the country, with 33 kV and 66 kV substations serving major mining operations at Kitwe, Ndola, Mufulira, Chingola, and Solwezi. The Copperbelt Energy Corporation (CEC) operates a parallel transmission network serving mines directly. A 10–25 MW solar plant located within 5–8 km of any Copperbelt substation can connect with minimal new infrastructure, making the Copperbelt the primary target geography for the first project phase.</w:t>
      </w:r>
    </w:p>
    <w:p>
      <w:pPr>
        <w:spacing w:after="60" w:before="0"/>
      </w:pPr>
      <w:r>
        <w:t xml:space="preserve"/>
      </w:r>
    </w:p>
    <w:p>
      <w:pPr>
        <w:spacing w:after="180" w:before="0"/>
      </w:pPr>
      <w:r>
        <w:rPr>
          <w:rFonts w:ascii="Arial" w:cs="Arial" w:eastAsia="Arial" w:hAnsi="Arial"/>
          <w:b w:val="false"/>
          <w:bCs w:val="false"/>
          <w:sz w:val="22"/>
          <w:szCs w:val="22"/>
        </w:rPr>
        <w:t xml:space="preserve">The 33 MWp Kitwe solar plant commissioned in February 2023 and the 60 MW Copperbelt Energy solar PV plant are established precedents demonstrating the technical and commercial feasibility of solar integration at Copperbelt substations (Afrik21, 2023; Africa Energy).</w:t>
      </w:r>
    </w:p>
    <w:p>
      <w:r>
        <w:br w:type="page"/>
      </w:r>
    </w:p>
    <w:p>
      <w:pPr>
        <w:pStyle w:val="Heading1"/>
        <w:spacing w:after="120" w:before="360"/>
      </w:pPr>
      <w:r>
        <w:rPr>
          <w:rFonts w:ascii="Arial" w:cs="Arial" w:eastAsia="Arial" w:hAnsi="Arial"/>
          <w:b/>
          <w:bCs/>
          <w:color w:val="1F4E79"/>
          <w:sz w:val="32"/>
          <w:szCs w:val="32"/>
        </w:rPr>
        <w:t xml:space="preserve">7. Agri-Ecological Co-location System</w:t>
      </w:r>
    </w:p>
    <w:p>
      <w:pPr>
        <w:pStyle w:val="Heading2"/>
        <w:spacing w:after="80" w:before="240"/>
      </w:pPr>
      <w:r>
        <w:rPr>
          <w:rFonts w:ascii="Arial" w:cs="Arial" w:eastAsia="Arial" w:hAnsi="Arial"/>
          <w:b/>
          <w:bCs/>
          <w:color w:val="2E75B6"/>
          <w:sz w:val="26"/>
          <w:szCs w:val="26"/>
        </w:rPr>
        <w:t xml:space="preserve">7.1 Concept and Scientific Foundation</w:t>
      </w:r>
    </w:p>
    <w:p>
      <w:pPr>
        <w:spacing w:after="180" w:before="0"/>
      </w:pPr>
      <w:r>
        <w:rPr>
          <w:rFonts w:ascii="Arial" w:cs="Arial" w:eastAsia="Arial" w:hAnsi="Arial"/>
          <w:b w:val="false"/>
          <w:bCs w:val="false"/>
          <w:sz w:val="22"/>
          <w:szCs w:val="22"/>
        </w:rPr>
        <w:t xml:space="preserve">The co-location of solar PV generation with agricultural and ecological systems — termed agrivoltaics or agri-PV — has emerged as a significant research and deployment area over the past decade. The scientific evidence base, reviewed in the following subsections, supports the design choices made in this project framework: goat grazing for vegetation management, apiculture for pollination and honey production, and water recycling from panel cleaning as an irrigation system for understorey habitat.</w:t>
      </w:r>
    </w:p>
    <w:p>
      <w:pPr>
        <w:spacing w:after="60" w:before="0"/>
      </w:pPr>
      <w:r>
        <w:t xml:space="preserve"/>
      </w:r>
    </w:p>
    <w:p>
      <w:pPr>
        <w:spacing w:after="180" w:before="0"/>
      </w:pPr>
      <w:r>
        <w:rPr>
          <w:rFonts w:ascii="Arial" w:cs="Arial" w:eastAsia="Arial" w:hAnsi="Arial"/>
          <w:b w:val="false"/>
          <w:bCs w:val="false"/>
          <w:sz w:val="22"/>
          <w:szCs w:val="22"/>
        </w:rPr>
        <w:t xml:space="preserve">By November 2024, US agrivoltaics sites totalled 60,000 acres and produced 10 GW of solar energy — more than double the acreage from 2020 — with nearly 600 operational sites (NREL/NLR, 2024). Research conducted by NREL's InSPIRE project across 20+ agrivoltaics sites has documented mutual benefits across the food-energy-water nexus, including improved water use efficiency, increased vegetation yield, increased soil carbon, and moderated soil and air temperatures.</w:t>
      </w:r>
    </w:p>
    <w:p>
      <w:pPr>
        <w:spacing w:after="60" w:before="0"/>
      </w:pPr>
      <w:r>
        <w:t xml:space="preserve"/>
      </w:r>
    </w:p>
    <w:p>
      <w:pPr>
        <w:pStyle w:val="Heading2"/>
        <w:spacing w:after="80" w:before="240"/>
      </w:pPr>
      <w:r>
        <w:rPr>
          <w:rFonts w:ascii="Arial" w:cs="Arial" w:eastAsia="Arial" w:hAnsi="Arial"/>
          <w:b/>
          <w:bCs/>
          <w:color w:val="2E75B6"/>
          <w:sz w:val="26"/>
          <w:szCs w:val="26"/>
        </w:rPr>
        <w:t xml:space="preserve">7.2 Panel Wash Water as Irrigation</w:t>
      </w:r>
    </w:p>
    <w:p>
      <w:pPr>
        <w:spacing w:after="180" w:before="0"/>
      </w:pPr>
      <w:r>
        <w:rPr>
          <w:rFonts w:ascii="Arial" w:cs="Arial" w:eastAsia="Arial" w:hAnsi="Arial"/>
          <w:b w:val="false"/>
          <w:bCs w:val="false"/>
          <w:sz w:val="22"/>
          <w:szCs w:val="22"/>
        </w:rPr>
        <w:t xml:space="preserve">Solar panel washing is an operational necessity in Zambia's climate. During the dry season (May–October), dust accumulation is the primary cause of soiling losses, which can reduce yield by 3–7% if panels are not cleaned regularly. Standard practice for utility-scale plants is fortnightly or monthly wet washing using demineralised water or mild detergent solution.</w:t>
      </w:r>
    </w:p>
    <w:p>
      <w:pPr>
        <w:spacing w:after="60" w:before="0"/>
      </w:pPr>
      <w:r>
        <w:t xml:space="preserve"/>
      </w:r>
    </w:p>
    <w:p>
      <w:pPr>
        <w:spacing w:after="180" w:before="0"/>
      </w:pPr>
      <w:r>
        <w:rPr>
          <w:rFonts w:ascii="Arial" w:cs="Arial" w:eastAsia="Arial" w:hAnsi="Arial"/>
          <w:b w:val="false"/>
          <w:bCs w:val="false"/>
          <w:sz w:val="22"/>
          <w:szCs w:val="22"/>
        </w:rPr>
        <w:t xml:space="preserve">The wash water contains only trace quantities of dust particles and, where biodegradable detergent is used, poses no ecological risk. For a 10 MW plant requiring approximately 2–4 litres of water per panel per wash, with approximately 25,000 panels and fortnightly washing:</w:t>
      </w:r>
    </w:p>
    <w:p>
      <w:pPr>
        <w:pStyle w:val="ListParagraph"/>
        <w:numPr>
          <w:ilvl w:val="0"/>
          <w:numId w:val="2"/>
        </w:numPr>
        <w:spacing w:after="80" w:before="0"/>
      </w:pPr>
      <w:r>
        <w:rPr>
          <w:rFonts w:ascii="Arial" w:cs="Arial" w:eastAsia="Arial" w:hAnsi="Arial"/>
          <w:sz w:val="22"/>
          <w:szCs w:val="22"/>
        </w:rPr>
        <w:t xml:space="preserve">Volume per wash event: approximately 50,000–100,000 litres.</w:t>
      </w:r>
    </w:p>
    <w:p>
      <w:pPr>
        <w:pStyle w:val="ListParagraph"/>
        <w:numPr>
          <w:ilvl w:val="0"/>
          <w:numId w:val="2"/>
        </w:numPr>
        <w:spacing w:after="80" w:before="0"/>
      </w:pPr>
      <w:r>
        <w:rPr>
          <w:rFonts w:ascii="Arial" w:cs="Arial" w:eastAsia="Arial" w:hAnsi="Arial"/>
          <w:sz w:val="22"/>
          <w:szCs w:val="22"/>
        </w:rPr>
        <w:t xml:space="preserve">Annual wash water volume: approximately 1,300,000–2,600,000 litres (26 washes/year).</w:t>
      </w:r>
    </w:p>
    <w:p>
      <w:pPr>
        <w:spacing w:after="180" w:before="0"/>
      </w:pPr>
      <w:r>
        <w:rPr>
          <w:rFonts w:ascii="Arial" w:cs="Arial" w:eastAsia="Arial" w:hAnsi="Arial"/>
          <w:b w:val="false"/>
          <w:bCs w:val="false"/>
          <w:sz w:val="22"/>
          <w:szCs w:val="22"/>
        </w:rPr>
        <w:t xml:space="preserve">Directed through a simple gravity-fed or drip-flow distribution system to the understorey between panel rows, this volume constitutes a meaningful supplemental irrigation source, particularly in the transitional dry-wet season periods when natural rainfall is insufficient to sustain vegetation but not yet reliable.</w:t>
      </w:r>
    </w:p>
    <w:p>
      <w:pPr>
        <w:spacing w:after="180" w:before="0"/>
      </w:pPr>
      <w:r>
        <w:rPr>
          <w:rFonts w:ascii="Arial" w:cs="Arial" w:eastAsia="Arial" w:hAnsi="Arial"/>
          <w:b w:val="false"/>
          <w:bCs w:val="false"/>
          <w:sz w:val="22"/>
          <w:szCs w:val="22"/>
        </w:rPr>
        <w:t xml:space="preserve">The dual benefit of this system is significant: panel efficiency is maintained (reducing soiling losses), and the irrigated understorey grows more vigorously, providing improved albedo for bifacial panel rear-side irradiance — a documented mutual benefit in agrivoltaics research (Barron-Gafford et al., 2019).</w:t>
      </w:r>
    </w:p>
    <w:p>
      <w:pPr>
        <w:spacing w:after="60" w:before="0"/>
      </w:pPr>
      <w:r>
        <w:t xml:space="preserve"/>
      </w:r>
    </w:p>
    <w:p>
      <w:pPr>
        <w:pStyle w:val="Heading2"/>
        <w:spacing w:after="80" w:before="240"/>
      </w:pPr>
      <w:r>
        <w:rPr>
          <w:rFonts w:ascii="Arial" w:cs="Arial" w:eastAsia="Arial" w:hAnsi="Arial"/>
          <w:b/>
          <w:bCs/>
          <w:color w:val="2E75B6"/>
          <w:sz w:val="26"/>
          <w:szCs w:val="26"/>
        </w:rPr>
        <w:t xml:space="preserve">7.3 Goat Grazing System</w:t>
      </w:r>
    </w:p>
    <w:p>
      <w:pPr>
        <w:spacing w:after="180" w:before="0"/>
      </w:pPr>
      <w:r>
        <w:rPr>
          <w:rFonts w:ascii="Arial" w:cs="Arial" w:eastAsia="Arial" w:hAnsi="Arial"/>
          <w:b w:val="false"/>
          <w:bCs w:val="false"/>
          <w:sz w:val="22"/>
          <w:szCs w:val="22"/>
        </w:rPr>
        <w:t xml:space="preserve">Vegetation management is a significant recurring O&amp;M cost in solar farm operations. Conventional mowing of inter-row vegetation costs approximately USD 1–3/kWp/year. For a 10 MW plant this represents USD 10,000–30,000/year over the 25-year project lifetime.</w:t>
      </w:r>
    </w:p>
    <w:p>
      <w:pPr>
        <w:spacing w:after="60" w:before="0"/>
      </w:pPr>
      <w:r>
        <w:t xml:space="preserve"/>
      </w:r>
    </w:p>
    <w:p>
      <w:pPr>
        <w:spacing w:after="180" w:before="0"/>
      </w:pPr>
      <w:r>
        <w:rPr>
          <w:rFonts w:ascii="Arial" w:cs="Arial" w:eastAsia="Arial" w:hAnsi="Arial"/>
          <w:b w:val="false"/>
          <w:bCs w:val="false"/>
          <w:sz w:val="22"/>
          <w:szCs w:val="22"/>
        </w:rPr>
        <w:t xml:space="preserve">Research from NC State University's agrivoltaics demonstration site has confirmed that small ruminants — particularly goats and sheep — are highly effective vegetation managers in solar environments. Their key attributes include:</w:t>
      </w:r>
    </w:p>
    <w:p>
      <w:pPr>
        <w:pStyle w:val="ListParagraph"/>
        <w:numPr>
          <w:ilvl w:val="0"/>
          <w:numId w:val="2"/>
        </w:numPr>
        <w:spacing w:after="80" w:before="0"/>
      </w:pPr>
      <w:r>
        <w:rPr>
          <w:rFonts w:ascii="Arial" w:cs="Arial" w:eastAsia="Arial" w:hAnsi="Arial"/>
          <w:sz w:val="22"/>
          <w:szCs w:val="22"/>
        </w:rPr>
        <w:t xml:space="preserve">Height preference: Goats and sheep naturally graze to a height of approximately 15–30 cm, which keeps vegetation below panel height without mechanical intervention.</w:t>
      </w:r>
    </w:p>
    <w:p>
      <w:pPr>
        <w:pStyle w:val="ListParagraph"/>
        <w:numPr>
          <w:ilvl w:val="0"/>
          <w:numId w:val="2"/>
        </w:numPr>
        <w:spacing w:after="80" w:before="0"/>
      </w:pPr>
      <w:r>
        <w:rPr>
          <w:rFonts w:ascii="Arial" w:cs="Arial" w:eastAsia="Arial" w:hAnsi="Arial"/>
          <w:sz w:val="22"/>
          <w:szCs w:val="22"/>
        </w:rPr>
        <w:t xml:space="preserve">Shade utilisation: Animals shelter under panels during peak sun hours, reducing heat stress and water consumption — a direct benefit in Zambia's hot climate.</w:t>
      </w:r>
    </w:p>
    <w:p>
      <w:pPr>
        <w:pStyle w:val="ListParagraph"/>
        <w:numPr>
          <w:ilvl w:val="0"/>
          <w:numId w:val="2"/>
        </w:numPr>
        <w:spacing w:after="80" w:before="0"/>
      </w:pPr>
      <w:r>
        <w:rPr>
          <w:rFonts w:ascii="Arial" w:cs="Arial" w:eastAsia="Arial" w:hAnsi="Arial"/>
          <w:sz w:val="22"/>
          <w:szCs w:val="22"/>
        </w:rPr>
        <w:t xml:space="preserve">Panel safety: Goats, unlike cattle, do not rub against support structures with sufficient force to damage panels or racking.</w:t>
      </w:r>
    </w:p>
    <w:p>
      <w:pPr>
        <w:pStyle w:val="ListParagraph"/>
        <w:numPr>
          <w:ilvl w:val="0"/>
          <w:numId w:val="2"/>
        </w:numPr>
        <w:spacing w:after="80" w:before="0"/>
      </w:pPr>
      <w:r>
        <w:rPr>
          <w:rFonts w:ascii="Arial" w:cs="Arial" w:eastAsia="Arial" w:hAnsi="Arial"/>
          <w:sz w:val="22"/>
          <w:szCs w:val="22"/>
        </w:rPr>
        <w:t xml:space="preserve">Dual revenue: Beyond vegetation management, goats provide meat and dairy products. Zambia has a well-established market for goat meat (chevon) and milk. At a stocking density of approximately 1 goat per 0.1–0.2 hectares under panels, a 20 ha plant could support 100–200 goats.</w:t>
      </w:r>
    </w:p>
    <w:p>
      <w:pPr>
        <w:spacing w:after="60" w:before="0"/>
      </w:pPr>
      <w:r>
        <w:t xml:space="preserve"/>
      </w:r>
    </w:p>
    <w:p>
      <w:pPr>
        <w:spacing w:after="180" w:before="0"/>
      </w:pPr>
      <w:r>
        <w:rPr>
          <w:rFonts w:ascii="Arial" w:cs="Arial" w:eastAsia="Arial" w:hAnsi="Arial"/>
          <w:b w:val="false"/>
          <w:bCs w:val="false"/>
          <w:sz w:val="22"/>
          <w:szCs w:val="22"/>
        </w:rPr>
        <w:t xml:space="preserve">The Skipjack Solar Project in Virginia (USA) explicitly incorporates sheep and goat grazing for sustainable land management, confirming the commercial viability of this approach at scale. Research published in Earth's Future (2025) reviewing agrivoltaic grazing systems confirms multiple co-benefits across the food-energy-water nexus (Bacon et al., 2025).</w:t>
      </w:r>
    </w:p>
    <w:p>
      <w:pPr>
        <w:spacing w:after="60" w:before="0"/>
      </w:pPr>
      <w:r>
        <w:t xml:space="preserve"/>
      </w:r>
    </w:p>
    <w:p>
      <w:pPr>
        <w:spacing w:after="180" w:before="0"/>
      </w:pPr>
      <w:r>
        <w:rPr>
          <w:rFonts w:ascii="Arial" w:cs="Arial" w:eastAsia="Arial" w:hAnsi="Arial"/>
          <w:b w:val="false"/>
          <w:bCs w:val="false"/>
          <w:sz w:val="22"/>
          <w:szCs w:val="22"/>
        </w:rPr>
        <w:t xml:space="preserve">For the Zambia context, a community benefit agreement can structure goat herd ownership with local pastoral communities, creating a direct economic linkage between the solar project and livelihoods — a critical social licence factor for land access negotiations.</w:t>
      </w:r>
    </w:p>
    <w:p>
      <w:pPr>
        <w:spacing w:after="60" w:before="0"/>
      </w:pPr>
      <w:r>
        <w:t xml:space="preserve"/>
      </w:r>
    </w:p>
    <w:p>
      <w:pPr>
        <w:pStyle w:val="Heading2"/>
        <w:spacing w:after="80" w:before="240"/>
      </w:pPr>
      <w:r>
        <w:rPr>
          <w:rFonts w:ascii="Arial" w:cs="Arial" w:eastAsia="Arial" w:hAnsi="Arial"/>
          <w:b/>
          <w:bCs/>
          <w:color w:val="2E75B6"/>
          <w:sz w:val="26"/>
          <w:szCs w:val="26"/>
        </w:rPr>
        <w:t xml:space="preserve">7.4 Apiculture and Pollinator Habitat</w:t>
      </w:r>
    </w:p>
    <w:p>
      <w:pPr>
        <w:spacing w:after="180" w:before="0"/>
      </w:pPr>
      <w:r>
        <w:rPr>
          <w:rFonts w:ascii="Arial" w:cs="Arial" w:eastAsia="Arial" w:hAnsi="Arial"/>
          <w:b w:val="false"/>
          <w:bCs w:val="false"/>
          <w:sz w:val="22"/>
          <w:szCs w:val="22"/>
        </w:rPr>
        <w:t xml:space="preserve">Solar farm land is particularly well suited to apiculture. Wildflower and grass habitat beneath and around panels creates a diverse forage base for bees, while the panels themselves provide windbreaks and shelter that bees utilise. The ecological dynamics of solar sites have been shown to support substantially higher bee populations than surrounding monoculture agricultural land.</w:t>
      </w:r>
    </w:p>
    <w:p>
      <w:pPr>
        <w:spacing w:after="60" w:before="0"/>
      </w:pPr>
      <w:r>
        <w:t xml:space="preserve"/>
      </w:r>
    </w:p>
    <w:p>
      <w:pPr>
        <w:spacing w:after="180" w:before="0"/>
      </w:pPr>
      <w:r>
        <w:rPr>
          <w:rFonts w:ascii="Arial" w:cs="Arial" w:eastAsia="Arial" w:hAnsi="Arial"/>
          <w:b w:val="false"/>
          <w:bCs w:val="false"/>
          <w:sz w:val="22"/>
          <w:szCs w:val="22"/>
        </w:rPr>
        <w:t xml:space="preserve">Iowa State University researchers documented a 412% increase in honey production for honeybee colonies located at agrivoltaics sites compared to conventional sites, attributed to the diverse floral resource base and sheltered microclimate (ASCE, 2026). The Mammoth Solar Project in Indiana — a 13,000-acre, 1.3 GW facility — explicitly integrates pollinator habitat alongside solar generation, confirming the scalability of this approach (Solar Farm Summit).</w:t>
      </w:r>
    </w:p>
    <w:p>
      <w:pPr>
        <w:spacing w:after="60" w:before="0"/>
      </w:pPr>
      <w:r>
        <w:t xml:space="preserve"/>
      </w:r>
    </w:p>
    <w:p>
      <w:pPr>
        <w:spacing w:after="180" w:before="0"/>
      </w:pPr>
      <w:r>
        <w:rPr>
          <w:rFonts w:ascii="Arial" w:cs="Arial" w:eastAsia="Arial" w:hAnsi="Arial"/>
          <w:b w:val="false"/>
          <w:bCs w:val="false"/>
          <w:sz w:val="22"/>
          <w:szCs w:val="22"/>
        </w:rPr>
        <w:t xml:space="preserve">For Zambia, honey exports represent a growing market. Zambia's natural honey production is internationally recognised for quality; premium organic honey from solar-adjacent apiaries could command export prices of USD 5–12/kg. A 10 MW plant with 5 ha of active pollinator habitat could support 50–100 hives, producing approximately 2,500–5,000 kg of honey annually — representing USD 12,500–60,000 in additional project revenue.</w:t>
      </w:r>
    </w:p>
    <w:p>
      <w:pPr>
        <w:spacing w:after="60" w:before="0"/>
      </w:pPr>
      <w:r>
        <w:t xml:space="preserve"/>
      </w:r>
    </w:p>
    <w:p>
      <w:pPr>
        <w:pStyle w:val="Heading2"/>
        <w:spacing w:after="80" w:before="240"/>
      </w:pPr>
      <w:r>
        <w:rPr>
          <w:rFonts w:ascii="Arial" w:cs="Arial" w:eastAsia="Arial" w:hAnsi="Arial"/>
          <w:b/>
          <w:bCs/>
          <w:color w:val="2E75B6"/>
          <w:sz w:val="26"/>
          <w:szCs w:val="26"/>
        </w:rPr>
        <w:t xml:space="preserve">7.5 Ecosystem Diversification and Biodiversity</w:t>
      </w:r>
    </w:p>
    <w:p>
      <w:pPr>
        <w:spacing w:after="180" w:before="0"/>
      </w:pPr>
      <w:r>
        <w:rPr>
          <w:rFonts w:ascii="Arial" w:cs="Arial" w:eastAsia="Arial" w:hAnsi="Arial"/>
          <w:b w:val="false"/>
          <w:bCs w:val="false"/>
          <w:sz w:val="22"/>
          <w:szCs w:val="22"/>
        </w:rPr>
        <w:t xml:space="preserve">The irrigated understorey beneath solar panels creates a novel semi-shaded habitat that supports species assemblages distinct from both open savanna and forested environments. Research published in the Journal of Environmental Management (2024) and ScienceDirect (2025) documents that agrivoltaic sites support significantly higher plant species richness, insect abundance, and bird diversity than surrounding monoculture farmland.</w:t>
      </w:r>
    </w:p>
    <w:p>
      <w:pPr>
        <w:spacing w:after="60" w:before="0"/>
      </w:pPr>
      <w:r>
        <w:t xml:space="preserve"/>
      </w:r>
    </w:p>
    <w:p>
      <w:pPr>
        <w:spacing w:after="180" w:before="0"/>
      </w:pPr>
      <w:r>
        <w:rPr>
          <w:rFonts w:ascii="Arial" w:cs="Arial" w:eastAsia="Arial" w:hAnsi="Arial"/>
          <w:b w:val="false"/>
          <w:bCs w:val="false"/>
          <w:sz w:val="22"/>
          <w:szCs w:val="22"/>
        </w:rPr>
        <w:t xml:space="preserve">The project design incorporates:</w:t>
      </w:r>
    </w:p>
    <w:p>
      <w:pPr>
        <w:pStyle w:val="ListParagraph"/>
        <w:numPr>
          <w:ilvl w:val="0"/>
          <w:numId w:val="2"/>
        </w:numPr>
        <w:spacing w:after="80" w:before="0"/>
      </w:pPr>
      <w:r>
        <w:rPr>
          <w:rFonts w:ascii="Arial" w:cs="Arial" w:eastAsia="Arial" w:hAnsi="Arial"/>
          <w:sz w:val="22"/>
          <w:szCs w:val="22"/>
        </w:rPr>
        <w:t xml:space="preserve">Native wildflower and grass seed mix selected for Zambia's miombo woodland ecotype — preferring species that fix nitrogen, control erosion, and provide year-round forage for bees and wildlife.</w:t>
      </w:r>
    </w:p>
    <w:p>
      <w:pPr>
        <w:pStyle w:val="ListParagraph"/>
        <w:numPr>
          <w:ilvl w:val="0"/>
          <w:numId w:val="2"/>
        </w:numPr>
        <w:spacing w:after="80" w:before="0"/>
      </w:pPr>
      <w:r>
        <w:rPr>
          <w:rFonts w:ascii="Arial" w:cs="Arial" w:eastAsia="Arial" w:hAnsi="Arial"/>
          <w:sz w:val="22"/>
          <w:szCs w:val="22"/>
        </w:rPr>
        <w:t xml:space="preserve">Bird perch structures on panel racking — providing raptor roosting habitat that supports natural pest control across the site.</w:t>
      </w:r>
    </w:p>
    <w:p>
      <w:pPr>
        <w:pStyle w:val="ListParagraph"/>
        <w:numPr>
          <w:ilvl w:val="0"/>
          <w:numId w:val="2"/>
        </w:numPr>
        <w:spacing w:after="80" w:before="0"/>
      </w:pPr>
      <w:r>
        <w:rPr>
          <w:rFonts w:ascii="Arial" w:cs="Arial" w:eastAsia="Arial" w:hAnsi="Arial"/>
          <w:sz w:val="22"/>
          <w:szCs w:val="22"/>
        </w:rPr>
        <w:t xml:space="preserve">Boundary planting of indigenous shrubs — creating a wildlife corridor linking the solar site to adjacent natural habitat, improving landscape-scale ecological connectivity.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Co-location Component</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Primary Function</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Secondary Benefit</w:t>
            </w:r>
          </w:p>
        </w:tc>
        <w:tc>
          <w:tcPr>
            <w:tcW w:type="dxa" w:w="2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Indicative Revenue/Saving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Panel wash water → irrigation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Panel cleaning (yield protection)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Understorey irrigation; improved bifacial yield</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Saves water purchase; +1–2% yield</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Goat grazing</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Vegetation management (replaces mowing)</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Meat and dairy revenue; community benefit</w:t>
            </w:r>
          </w:p>
        </w:tc>
        <w:tc>
          <w:tcPr>
            <w:tcW w:type="dxa" w:w="2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$10,000–30,000/yr O&amp;M saving + meat revenue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Apiculture (bees)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Honey production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Pollination of surrounding farmland; biodiversity</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$12,500–60,000/yr honey revenue</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Native wildflowers and grasses</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Erosion control; soil health</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Bee forage; biodiversity; carbon sequestration</w:t>
            </w:r>
          </w:p>
        </w:tc>
        <w:tc>
          <w:tcPr>
            <w:tcW w:type="dxa" w:w="2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Non-monetised; ESG value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Boundary indigenous planting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Wildlife corridor; screening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Community amenity; permits facilitation</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Non-monetised; licence to operate</w:t>
            </w:r>
          </w:p>
        </w:tc>
      </w:tr>
    </w:tbl>
    <w:p>
      <w:pPr>
        <w:spacing w:after="180" w:before="60"/>
      </w:pPr>
      <w:r>
        <w:rPr>
          <w:rFonts w:ascii="Arial" w:cs="Arial" w:eastAsia="Arial" w:hAnsi="Arial"/>
          <w:color w:val="555555"/>
          <w:sz w:val="18"/>
          <w:szCs w:val="18"/>
        </w:rPr>
        <w:t xml:space="preserve">Table 8: Summary of agri-ecological co-location components and their functions, benefits, and indicative financial contributions.</w:t>
      </w:r>
    </w:p>
    <w:p>
      <w:r>
        <w:br w:type="page"/>
      </w:r>
    </w:p>
    <w:p>
      <w:pPr>
        <w:pStyle w:val="Heading1"/>
        <w:spacing w:after="120" w:before="360"/>
      </w:pPr>
      <w:r>
        <w:rPr>
          <w:rFonts w:ascii="Arial" w:cs="Arial" w:eastAsia="Arial" w:hAnsi="Arial"/>
          <w:b/>
          <w:bCs/>
          <w:color w:val="1F4E79"/>
          <w:sz w:val="32"/>
          <w:szCs w:val="32"/>
        </w:rPr>
        <w:t xml:space="preserve">8. Integrated Project Framework</w:t>
      </w:r>
    </w:p>
    <w:p>
      <w:pPr>
        <w:pStyle w:val="Heading2"/>
        <w:spacing w:after="80" w:before="240"/>
      </w:pPr>
      <w:r>
        <w:rPr>
          <w:rFonts w:ascii="Arial" w:cs="Arial" w:eastAsia="Arial" w:hAnsi="Arial"/>
          <w:b/>
          <w:bCs/>
          <w:color w:val="2E75B6"/>
          <w:sz w:val="26"/>
          <w:szCs w:val="26"/>
        </w:rPr>
        <w:t xml:space="preserve">8.1 In-scope Summary</w:t>
      </w:r>
    </w:p>
    <w:p>
      <w:pPr>
        <w:spacing w:after="180" w:before="0"/>
      </w:pPr>
      <w:r>
        <w:rPr>
          <w:rFonts w:ascii="Arial" w:cs="Arial" w:eastAsia="Arial" w:hAnsi="Arial"/>
          <w:b w:val="false"/>
          <w:bCs w:val="false"/>
          <w:sz w:val="22"/>
          <w:szCs w:val="22"/>
        </w:rPr>
        <w:t xml:space="preserve">The project framework developed in this paper is deliberately bounded to maximise commercial focus and minimise complexity. The in-scope elements are:</w:t>
      </w:r>
    </w:p>
    <w:p>
      <w:pPr>
        <w:pStyle w:val="ListParagraph"/>
        <w:numPr>
          <w:ilvl w:val="0"/>
          <w:numId w:val="2"/>
        </w:numPr>
        <w:spacing w:after="80" w:before="0"/>
      </w:pPr>
      <w:r>
        <w:rPr>
          <w:rFonts w:ascii="Arial" w:cs="Arial" w:eastAsia="Arial" w:hAnsi="Arial"/>
          <w:sz w:val="22"/>
          <w:szCs w:val="22"/>
        </w:rPr>
        <w:t xml:space="preserve">Solar PV generation: Small-to-medium plants (1–50 MW) using bifacial monocrystalline TOPCon or PERC technology.</w:t>
      </w:r>
    </w:p>
    <w:p>
      <w:pPr>
        <w:pStyle w:val="ListParagraph"/>
        <w:numPr>
          <w:ilvl w:val="0"/>
          <w:numId w:val="2"/>
        </w:numPr>
        <w:spacing w:after="80" w:before="0"/>
      </w:pPr>
      <w:r>
        <w:rPr>
          <w:rFonts w:ascii="Arial" w:cs="Arial" w:eastAsia="Arial" w:hAnsi="Arial"/>
          <w:sz w:val="22"/>
          <w:szCs w:val="22"/>
        </w:rPr>
        <w:t xml:space="preserve">Underground transmission: 33 kV XLPE armoured cable from plant to existing substation interconnection point.</w:t>
      </w:r>
    </w:p>
    <w:p>
      <w:pPr>
        <w:pStyle w:val="ListParagraph"/>
        <w:numPr>
          <w:ilvl w:val="0"/>
          <w:numId w:val="2"/>
        </w:numPr>
        <w:spacing w:after="80" w:before="0"/>
      </w:pPr>
      <w:r>
        <w:rPr>
          <w:rFonts w:ascii="Arial" w:cs="Arial" w:eastAsia="Arial" w:hAnsi="Arial"/>
          <w:sz w:val="22"/>
          <w:szCs w:val="22"/>
        </w:rPr>
        <w:t xml:space="preserve">Substation integration: Connection to existing ZESCO 33 kV or 66 kV substations via open access wheeling agreement.</w:t>
      </w:r>
    </w:p>
    <w:p>
      <w:pPr>
        <w:pStyle w:val="ListParagraph"/>
        <w:numPr>
          <w:ilvl w:val="0"/>
          <w:numId w:val="2"/>
        </w:numPr>
        <w:spacing w:after="80" w:before="0"/>
      </w:pPr>
      <w:r>
        <w:rPr>
          <w:rFonts w:ascii="Arial" w:cs="Arial" w:eastAsia="Arial" w:hAnsi="Arial"/>
          <w:sz w:val="22"/>
          <w:szCs w:val="22"/>
        </w:rPr>
        <w:t xml:space="preserve">Industrial off-taker supply: Direct PPAs with mining, processing, agri-industrial, or municipal off-takers.</w:t>
      </w:r>
    </w:p>
    <w:p>
      <w:pPr>
        <w:pStyle w:val="ListParagraph"/>
        <w:numPr>
          <w:ilvl w:val="0"/>
          <w:numId w:val="2"/>
        </w:numPr>
        <w:spacing w:after="80" w:before="0"/>
      </w:pPr>
      <w:r>
        <w:rPr>
          <w:rFonts w:ascii="Arial" w:cs="Arial" w:eastAsia="Arial" w:hAnsi="Arial"/>
          <w:sz w:val="22"/>
          <w:szCs w:val="22"/>
        </w:rPr>
        <w:t xml:space="preserve">Agri-ecological co-location: Panel wash water irrigation, goat grazing, apiculture, and native habitat creation.</w:t>
      </w:r>
    </w:p>
    <w:p>
      <w:pPr>
        <w:spacing w:after="60" w:before="0"/>
      </w:pPr>
      <w:r>
        <w:t xml:space="preserve"/>
      </w:r>
    </w:p>
    <w:p>
      <w:pPr>
        <w:spacing w:after="180" w:before="0"/>
      </w:pPr>
      <w:r>
        <w:rPr>
          <w:rFonts w:ascii="Arial" w:cs="Arial" w:eastAsia="Arial" w:hAnsi="Arial"/>
          <w:b w:val="false"/>
          <w:bCs w:val="false"/>
          <w:sz w:val="22"/>
          <w:szCs w:val="22"/>
        </w:rPr>
        <w:t xml:space="preserve">Explicitly out of scope:</w:t>
      </w:r>
    </w:p>
    <w:p>
      <w:pPr>
        <w:pStyle w:val="ListParagraph"/>
        <w:numPr>
          <w:ilvl w:val="0"/>
          <w:numId w:val="2"/>
        </w:numPr>
        <w:spacing w:after="80" w:before="0"/>
      </w:pPr>
      <w:r>
        <w:rPr>
          <w:rFonts w:ascii="Arial" w:cs="Arial" w:eastAsia="Arial" w:hAnsi="Arial"/>
          <w:sz w:val="22"/>
          <w:szCs w:val="22"/>
        </w:rPr>
        <w:t xml:space="preserve">Retail electricity distribution or last-mile supply.</w:t>
      </w:r>
    </w:p>
    <w:p>
      <w:pPr>
        <w:pStyle w:val="ListParagraph"/>
        <w:numPr>
          <w:ilvl w:val="0"/>
          <w:numId w:val="2"/>
        </w:numPr>
        <w:spacing w:after="80" w:before="0"/>
      </w:pPr>
      <w:r>
        <w:rPr>
          <w:rFonts w:ascii="Arial" w:cs="Arial" w:eastAsia="Arial" w:hAnsi="Arial"/>
          <w:sz w:val="22"/>
          <w:szCs w:val="22"/>
        </w:rPr>
        <w:t xml:space="preserve">Construction of new substations or high-voltage transmission infrastructure.</w:t>
      </w:r>
    </w:p>
    <w:p>
      <w:pPr>
        <w:pStyle w:val="ListParagraph"/>
        <w:numPr>
          <w:ilvl w:val="0"/>
          <w:numId w:val="2"/>
        </w:numPr>
        <w:spacing w:after="80" w:before="0"/>
      </w:pPr>
      <w:r>
        <w:rPr>
          <w:rFonts w:ascii="Arial" w:cs="Arial" w:eastAsia="Arial" w:hAnsi="Arial"/>
          <w:sz w:val="22"/>
          <w:szCs w:val="22"/>
        </w:rPr>
        <w:t xml:space="preserve">Battery storage systems (assessed as a Phase 2 option once PPA cash flows are established).</w:t>
      </w:r>
    </w:p>
    <w:p>
      <w:pPr>
        <w:pStyle w:val="ListParagraph"/>
        <w:numPr>
          <w:ilvl w:val="0"/>
          <w:numId w:val="2"/>
        </w:numPr>
        <w:spacing w:after="80" w:before="0"/>
      </w:pPr>
      <w:r>
        <w:rPr>
          <w:rFonts w:ascii="Arial" w:cs="Arial" w:eastAsia="Arial" w:hAnsi="Arial"/>
          <w:sz w:val="22"/>
          <w:szCs w:val="22"/>
        </w:rPr>
        <w:t xml:space="preserve">Any generation technology other than solar PV.</w:t>
      </w:r>
    </w:p>
    <w:p>
      <w:pPr>
        <w:spacing w:after="60" w:before="0"/>
      </w:pPr>
      <w:r>
        <w:t xml:space="preserve"/>
      </w:r>
    </w:p>
    <w:p>
      <w:pPr>
        <w:pStyle w:val="Heading2"/>
        <w:spacing w:after="80" w:before="240"/>
      </w:pPr>
      <w:r>
        <w:rPr>
          <w:rFonts w:ascii="Arial" w:cs="Arial" w:eastAsia="Arial" w:hAnsi="Arial"/>
          <w:b/>
          <w:bCs/>
          <w:color w:val="2E75B6"/>
          <w:sz w:val="26"/>
          <w:szCs w:val="26"/>
        </w:rPr>
        <w:t xml:space="preserve">8.2 Phased Deployment Strategy</w:t>
      </w:r>
    </w:p>
    <w:p>
      <w:pPr>
        <w:spacing w:after="180" w:before="0"/>
      </w:pPr>
      <w:r>
        <w:rPr>
          <w:rFonts w:ascii="Arial" w:cs="Arial" w:eastAsia="Arial" w:hAnsi="Arial"/>
          <w:b w:val="false"/>
          <w:bCs w:val="false"/>
          <w:sz w:val="22"/>
          <w:szCs w:val="22"/>
        </w:rPr>
        <w:t xml:space="preserve">A phased approach is recommended to establish the project's operational track record, refine the agri-ecological system, and build the relationships with ZESCO and off-takers required for subsequent phases:</w:t>
      </w:r>
    </w:p>
    <w:p>
      <w:pPr>
        <w:spacing w:after="60" w:before="0"/>
      </w:pPr>
      <w:r>
        <w:t xml:space="preserve"/>
      </w:r>
    </w:p>
    <w:p>
      <w:pPr>
        <w:spacing w:after="120" w:before="0"/>
      </w:pPr>
      <w:r>
        <w:rPr>
          <w:rFonts w:ascii="Arial" w:cs="Arial" w:eastAsia="Arial" w:hAnsi="Arial"/>
          <w:b w:val="false"/>
          <w:bCs w:val="false"/>
          <w:sz w:val="22"/>
          <w:szCs w:val="22"/>
        </w:rPr>
        <w:t xml:space="preserve">Phase 1 (Years 1–3): 1 × 10 MW plant adjacent to an existing Copperbelt copper or cobalt processing facility. Anchor PPA with mining company. Establishes proof of concept for underground connection, substation integration, and agri-ecological system.</w:t>
      </w:r>
    </w:p>
    <w:p>
      <w:pPr>
        <w:spacing w:after="120" w:before="0"/>
      </w:pPr>
      <w:r>
        <w:rPr>
          <w:rFonts w:ascii="Arial" w:cs="Arial" w:eastAsia="Arial" w:hAnsi="Arial"/>
          <w:b w:val="false"/>
          <w:bCs w:val="false"/>
          <w:sz w:val="22"/>
          <w:szCs w:val="22"/>
        </w:rPr>
        <w:t xml:space="preserve">Phase 2 (Years 3–6): 3–5 × 5–15 MW plants across the Copperbelt and Lusaka industrial corridor, utilising Phase 1 operational data for improved design and financing terms.</w:t>
      </w:r>
    </w:p>
    <w:p>
      <w:pPr>
        <w:spacing w:after="180" w:before="0"/>
      </w:pPr>
      <w:r>
        <w:rPr>
          <w:rFonts w:ascii="Arial" w:cs="Arial" w:eastAsia="Arial" w:hAnsi="Arial"/>
          <w:b w:val="false"/>
          <w:bCs w:val="false"/>
          <w:sz w:val="22"/>
          <w:szCs w:val="22"/>
        </w:rPr>
        <w:t xml:space="preserve">Phase 3 (Years 6–10): Portfolio of 50–200 MW across Zambia, including agricultural processing zones (Mkushi, Choma) and potential expansion into adjacent SAPP member states.</w:t>
      </w:r>
    </w:p>
    <w:p>
      <w:pPr>
        <w:spacing w:after="60" w:before="0"/>
      </w:pPr>
      <w:r>
        <w:t xml:space="preserve"/>
      </w:r>
    </w:p>
    <w:p>
      <w:pPr>
        <w:pStyle w:val="Heading2"/>
        <w:spacing w:after="80" w:before="240"/>
      </w:pPr>
      <w:r>
        <w:rPr>
          <w:rFonts w:ascii="Arial" w:cs="Arial" w:eastAsia="Arial" w:hAnsi="Arial"/>
          <w:b/>
          <w:bCs/>
          <w:color w:val="2E75B6"/>
          <w:sz w:val="26"/>
          <w:szCs w:val="26"/>
        </w:rPr>
        <w:t xml:space="preserve">8.3 Zambia-Specific Advantages Synthesis</w:t>
      </w:r>
    </w:p>
    <w:p>
      <w:pPr>
        <w:spacing w:after="180" w:before="0"/>
      </w:pPr>
      <w:r>
        <w:rPr>
          <w:rFonts w:ascii="Arial" w:cs="Arial" w:eastAsia="Arial" w:hAnsi="Arial"/>
          <w:b w:val="false"/>
          <w:bCs w:val="false"/>
          <w:sz w:val="22"/>
          <w:szCs w:val="22"/>
        </w:rPr>
        <w:t xml:space="preserve">The combined case for Zambia as the project geography rests on five mutually reinforcing factors:</w:t>
      </w:r>
    </w:p>
    <w:p>
      <w:pPr>
        <w:pStyle w:val="ListParagraph"/>
        <w:numPr>
          <w:ilvl w:val="0"/>
          <w:numId w:val="2"/>
        </w:numPr>
        <w:spacing w:after="80" w:before="0"/>
      </w:pPr>
      <w:r>
        <w:rPr>
          <w:rFonts w:ascii="Arial" w:cs="Arial" w:eastAsia="Arial" w:hAnsi="Arial"/>
          <w:sz w:val="22"/>
          <w:szCs w:val="22"/>
        </w:rPr>
        <w:t xml:space="preserve">Solar resource quality: 5.5–5.78 kWh/m²/day average irradiance and low seasonal variability place Zambia in the top quartile of global solar resources, ensuring high-yield generation with bankable consistency.</w:t>
      </w:r>
    </w:p>
    <w:p>
      <w:pPr>
        <w:pStyle w:val="ListParagraph"/>
        <w:numPr>
          <w:ilvl w:val="0"/>
          <w:numId w:val="2"/>
        </w:numPr>
        <w:spacing w:after="80" w:before="0"/>
      </w:pPr>
      <w:r>
        <w:rPr>
          <w:rFonts w:ascii="Arial" w:cs="Arial" w:eastAsia="Arial" w:hAnsi="Arial"/>
          <w:sz w:val="22"/>
          <w:szCs w:val="22"/>
        </w:rPr>
        <w:t xml:space="preserve">Demand intensity: The mining sector's uninterrupted, high-load power requirements (operating 24/7 at MW scale) are an ideal match for utility PPA structures. The demonstrated willingness of mines to pay market-rate tariffs under crisis conditions (and to import power at cost from Eskom) establishes that USD 0.07–0.09/kWh is a commercially realistic PPA target.</w:t>
      </w:r>
    </w:p>
    <w:p>
      <w:pPr>
        <w:pStyle w:val="ListParagraph"/>
        <w:numPr>
          <w:ilvl w:val="0"/>
          <w:numId w:val="2"/>
        </w:numPr>
        <w:spacing w:after="80" w:before="0"/>
      </w:pPr>
      <w:r>
        <w:rPr>
          <w:rFonts w:ascii="Arial" w:cs="Arial" w:eastAsia="Arial" w:hAnsi="Arial"/>
          <w:sz w:val="22"/>
          <w:szCs w:val="22"/>
        </w:rPr>
        <w:t xml:space="preserve">Hydropower vulnerability: Climate change projections indicate increasing frequency and severity of El Niño events across southern Africa, meaning the 2023–2024 crisis is likely to recur rather than being a one-off event. Solar diversity directly addresses this structural vulnerability.</w:t>
      </w:r>
    </w:p>
    <w:p>
      <w:pPr>
        <w:pStyle w:val="ListParagraph"/>
        <w:numPr>
          <w:ilvl w:val="0"/>
          <w:numId w:val="2"/>
        </w:numPr>
        <w:spacing w:after="80" w:before="0"/>
      </w:pPr>
      <w:r>
        <w:rPr>
          <w:rFonts w:ascii="Arial" w:cs="Arial" w:eastAsia="Arial" w:hAnsi="Arial"/>
          <w:sz w:val="22"/>
          <w:szCs w:val="22"/>
        </w:rPr>
        <w:t xml:space="preserve">Regulatory enablement: The 2024 Open Access Regulations create a clear legal framework for IPP-to-industrial-customer PPAs without requiring ZESCO as intermediary.</w:t>
      </w:r>
    </w:p>
    <w:p>
      <w:pPr>
        <w:pStyle w:val="ListParagraph"/>
        <w:numPr>
          <w:ilvl w:val="0"/>
          <w:numId w:val="2"/>
        </w:numPr>
        <w:spacing w:after="80" w:before="0"/>
      </w:pPr>
      <w:r>
        <w:rPr>
          <w:rFonts w:ascii="Arial" w:cs="Arial" w:eastAsia="Arial" w:hAnsi="Arial"/>
          <w:sz w:val="22"/>
          <w:szCs w:val="22"/>
        </w:rPr>
        <w:t xml:space="preserve">Existing infrastructure: ZESCO's Copperbelt substation network provides ready-made grid integration points, eliminating the need for new substation construction.</w:t>
      </w:r>
    </w:p>
    <w:p>
      <w:r>
        <w:br w:type="page"/>
      </w:r>
    </w:p>
    <w:p>
      <w:pPr>
        <w:pStyle w:val="Heading1"/>
        <w:spacing w:after="120" w:before="360"/>
      </w:pPr>
      <w:r>
        <w:rPr>
          <w:rFonts w:ascii="Arial" w:cs="Arial" w:eastAsia="Arial" w:hAnsi="Arial"/>
          <w:b/>
          <w:bCs/>
          <w:color w:val="1F4E79"/>
          <w:sz w:val="32"/>
          <w:szCs w:val="32"/>
        </w:rPr>
        <w:t xml:space="preserve">9. Discussion and Risk Analysis</w:t>
      </w:r>
    </w:p>
    <w:p>
      <w:pPr>
        <w:pStyle w:val="Heading2"/>
        <w:spacing w:after="80" w:before="240"/>
      </w:pPr>
      <w:r>
        <w:rPr>
          <w:rFonts w:ascii="Arial" w:cs="Arial" w:eastAsia="Arial" w:hAnsi="Arial"/>
          <w:b/>
          <w:bCs/>
          <w:color w:val="2E75B6"/>
          <w:sz w:val="26"/>
          <w:szCs w:val="26"/>
        </w:rPr>
        <w:t xml:space="preserve">9.1 Key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Likelihood</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4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Off-taker credit risk (mining company default)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Low-Medium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High</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Project finance structure with reserve accounts; multi-off-taker model for larger plants</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Currency risk (ZMW/USD exposure)</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Medium</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High</w:t>
            </w:r>
          </w:p>
        </w:tc>
        <w:tc>
          <w:tcPr>
            <w:tcW w:type="dxa" w:w="4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USD-denominated PPAs standard for Zambia mining industry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ZESCO interconnection delays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Medium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High</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Early engagement; 2024 regulations provide framework; allow 6–12 month buffer in timeline</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Drought reducing solar yield (dust)</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Low</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Low-Medium</w:t>
            </w:r>
          </w:p>
        </w:tc>
        <w:tc>
          <w:tcPr>
            <w:tcW w:type="dxa" w:w="4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Panel cleaning system maintains yield; soiling allowance in financial model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Underground cable fault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Low</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Medium</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TDR fault-location equipment; insurance; O&amp;M reserve fund</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Community land access disputes</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Medium</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Medium</w:t>
            </w:r>
          </w:p>
        </w:tc>
        <w:tc>
          <w:tcPr>
            <w:tcW w:type="dxa" w:w="4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Community benefit agreement (goat herd ownership, honey revenue share); early consultation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Import duty on solar equipment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Low</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Medium</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Zambia ZDA energy sector VAT and customs exemptions apply to qualifying renewable projects</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Interest rate and financing cost</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Medium</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High</w:t>
            </w:r>
          </w:p>
        </w:tc>
        <w:tc>
          <w:tcPr>
            <w:tcW w:type="dxa" w:w="4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DFI financing (IFC, DFI, Proparco) reduces cost of capital; blended finance structures</w:t>
            </w:r>
          </w:p>
        </w:tc>
      </w:tr>
    </w:tbl>
    <w:p>
      <w:pPr>
        <w:spacing w:after="180" w:before="60"/>
      </w:pPr>
      <w:r>
        <w:rPr>
          <w:rFonts w:ascii="Arial" w:cs="Arial" w:eastAsia="Arial" w:hAnsi="Arial"/>
          <w:color w:val="555555"/>
          <w:sz w:val="18"/>
          <w:szCs w:val="18"/>
        </w:rPr>
        <w:t xml:space="preserve">Table 9: Risk register for Zambia distributed solar project.</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9.2 Limitations of this Analysis</w:t>
      </w:r>
    </w:p>
    <w:p>
      <w:pPr>
        <w:spacing w:after="180" w:before="0"/>
      </w:pPr>
      <w:r>
        <w:rPr>
          <w:rFonts w:ascii="Arial" w:cs="Arial" w:eastAsia="Arial" w:hAnsi="Arial"/>
          <w:b w:val="false"/>
          <w:bCs w:val="false"/>
          <w:sz w:val="22"/>
          <w:szCs w:val="22"/>
        </w:rPr>
        <w:t xml:space="preserve">This paper presents indicative cost and yield figures based on published benchmarks. A full project feasibility study should include: site-specific solar resource measurement (at least 12 months ground-based irradiance data), geotechnical assessment for underground cable routing and panel foundation design, detailed ZESCO interconnection study, community and environmental impact assessment (ESIA), and bankable financial model with project-specific debt and equity cost assumptions. The agri-ecological yield projections (honey volumes, goat meat revenue) are based on international research analogues and require validation against local Zambian market conditions and veterinary/ecological surveys.</w:t>
      </w:r>
    </w:p>
    <w:p>
      <w:r>
        <w:br w:type="page"/>
      </w:r>
    </w:p>
    <w:p>
      <w:pPr>
        <w:pStyle w:val="Heading1"/>
        <w:spacing w:after="120" w:before="360"/>
      </w:pPr>
      <w:r>
        <w:rPr>
          <w:rFonts w:ascii="Arial" w:cs="Arial" w:eastAsia="Arial" w:hAnsi="Arial"/>
          <w:b/>
          <w:bCs/>
          <w:color w:val="1F4E79"/>
          <w:sz w:val="32"/>
          <w:szCs w:val="32"/>
        </w:rPr>
        <w:t xml:space="preserve">10. Conclusion</w:t>
      </w:r>
    </w:p>
    <w:p>
      <w:pPr>
        <w:spacing w:after="180" w:before="0"/>
      </w:pPr>
      <w:r>
        <w:rPr>
          <w:rFonts w:ascii="Arial" w:cs="Arial" w:eastAsia="Arial" w:hAnsi="Arial"/>
          <w:b w:val="false"/>
          <w:bCs w:val="false"/>
          <w:sz w:val="22"/>
          <w:szCs w:val="22"/>
        </w:rPr>
        <w:t xml:space="preserve">This paper has demonstrated that Zambia presents a compelling case for distributed solar PV development targeting industrial off-takers, grounded in an exceptional solar resource, acute energy deficit, favourable new market regulations, and an existing substation network that enables low-cost grid integration.</w:t>
      </w:r>
    </w:p>
    <w:p>
      <w:pPr>
        <w:spacing w:after="60" w:before="0"/>
      </w:pPr>
      <w:r>
        <w:t xml:space="preserve"/>
      </w:r>
    </w:p>
    <w:p>
      <w:pPr>
        <w:spacing w:after="180" w:before="0"/>
      </w:pPr>
      <w:r>
        <w:rPr>
          <w:rFonts w:ascii="Arial" w:cs="Arial" w:eastAsia="Arial" w:hAnsi="Arial"/>
          <w:b w:val="false"/>
          <w:bCs w:val="false"/>
          <w:sz w:val="22"/>
          <w:szCs w:val="22"/>
        </w:rPr>
        <w:t xml:space="preserve">The technology assessment confirms that modern bifacial monocrystalline TOPCon modules, achieving 22–24.8% module efficiency at installed costs of USD 640–980/kWp, can deliver electricity to Zambian industrial customers at an LCOE of USD 3.8–5.5 cents/kWh — well below the current mining sector tariff and dramatically below the cost of diesel generation. At an annual specific yield of 1,550–1,700 kWh/kWp enabled by Zambia's 5.5–5.78 kWh/m²/day average irradiance, project IRRs of 12–18% are achievable under direct PPA structures.</w:t>
      </w:r>
    </w:p>
    <w:p>
      <w:pPr>
        <w:spacing w:after="60" w:before="0"/>
      </w:pPr>
      <w:r>
        <w:t xml:space="preserve"/>
      </w:r>
    </w:p>
    <w:p>
      <w:pPr>
        <w:spacing w:after="180" w:before="0"/>
      </w:pPr>
      <w:r>
        <w:rPr>
          <w:rFonts w:ascii="Arial" w:cs="Arial" w:eastAsia="Arial" w:hAnsi="Arial"/>
          <w:b w:val="false"/>
          <w:bCs w:val="false"/>
          <w:sz w:val="22"/>
          <w:szCs w:val="22"/>
        </w:rPr>
        <w:t xml:space="preserve">The transmission analysis concludes that underground 33 kV XLPE cable, despite a 4–10× capital cost premium over overhead lines for short-distance connections, is the appropriate choice for the in-scope project framework. The premium — typically 3–9% of total project CAPEX for connections under 5 km — is justified by zero habitat disruption, complete agrivoltaic land use compatibility, superior storm resilience, elimination of ROW maintenance costs, and the superior community acceptance that underpins successful land access negotiations in Zambia's context.</w:t>
      </w:r>
    </w:p>
    <w:p>
      <w:pPr>
        <w:spacing w:after="60" w:before="0"/>
      </w:pPr>
      <w:r>
        <w:t xml:space="preserve"/>
      </w:r>
    </w:p>
    <w:p>
      <w:pPr>
        <w:spacing w:after="180" w:before="0"/>
      </w:pPr>
      <w:r>
        <w:rPr>
          <w:rFonts w:ascii="Arial" w:cs="Arial" w:eastAsia="Arial" w:hAnsi="Arial"/>
          <w:b w:val="false"/>
          <w:bCs w:val="false"/>
          <w:sz w:val="22"/>
          <w:szCs w:val="22"/>
        </w:rPr>
        <w:t xml:space="preserve">The agri-ecological co-location system transforms otherwise unproductive land into a productive agricultural system: panel wash water recycled into irrigation supports a vigorous understorey; goat grazing eliminates mowing costs while generating meat and dairy revenue; apiculture adds honey income and pollination services; and native wildflower planting creates biodiversity corridors that strengthen both the project's ESG credentials and its social licence to operate.</w:t>
      </w:r>
    </w:p>
    <w:p>
      <w:pPr>
        <w:spacing w:after="60" w:before="0"/>
      </w:pPr>
      <w:r>
        <w:t xml:space="preserve"/>
      </w:r>
    </w:p>
    <w:p>
      <w:pPr>
        <w:spacing w:after="180" w:before="0"/>
      </w:pPr>
      <w:r>
        <w:rPr>
          <w:rFonts w:ascii="Arial" w:cs="Arial" w:eastAsia="Arial" w:hAnsi="Arial"/>
          <w:b w:val="false"/>
          <w:bCs w:val="false"/>
          <w:sz w:val="22"/>
          <w:szCs w:val="22"/>
        </w:rPr>
        <w:t xml:space="preserve">Together, these design elements constitute a commercially robust, environmentally differentiated, and socially grounded solar energy project framework — one that addresses Zambia's energy crisis while generating returns for investors and tangible benefits for communities. The time for deployment is now: the regulatory framework is in place, the off-taker demand is acute, and the technology costs have never been lower.</w:t>
      </w:r>
    </w:p>
    <w:p>
      <w:r>
        <w:br w:type="page"/>
      </w:r>
    </w:p>
    <w:p>
      <w:pPr>
        <w:pStyle w:val="Heading1"/>
        <w:spacing w:after="120" w:before="360"/>
      </w:pPr>
      <w:r>
        <w:rPr>
          <w:rFonts w:ascii="Arial" w:cs="Arial" w:eastAsia="Arial" w:hAnsi="Arial"/>
          <w:b/>
          <w:bCs/>
          <w:color w:val="1F4E79"/>
          <w:sz w:val="32"/>
          <w:szCs w:val="32"/>
        </w:rPr>
        <w:t xml:space="preserve">11. References</w:t>
      </w:r>
    </w:p>
    <w:p>
      <w:pPr>
        <w:pStyle w:val="ListParagraph"/>
        <w:numPr>
          <w:ilvl w:val="0"/>
          <w:numId w:val="3"/>
        </w:numPr>
        <w:spacing w:after="80" w:before="0"/>
      </w:pPr>
      <w:r>
        <w:rPr>
          <w:rFonts w:ascii="Arial" w:cs="Arial" w:eastAsia="Arial" w:hAnsi="Arial"/>
          <w:sz w:val="18"/>
          <w:szCs w:val="18"/>
        </w:rPr>
        <w:t xml:space="preserve">Bacon, A., et al. (2025). Agrivoltaic Grazing Systems for a Sustainable Future: A Multi-Disciplinary Review. Earth's Future. West Texas Rangelands, Texas A&amp;M AgriLife Research.</w:t>
      </w:r>
    </w:p>
    <w:p>
      <w:pPr>
        <w:pStyle w:val="ListParagraph"/>
        <w:numPr>
          <w:ilvl w:val="0"/>
          <w:numId w:val="3"/>
        </w:numPr>
        <w:spacing w:after="80" w:before="0"/>
      </w:pPr>
      <w:r>
        <w:rPr>
          <w:rFonts w:ascii="Arial" w:cs="Arial" w:eastAsia="Arial" w:hAnsi="Arial"/>
          <w:sz w:val="18"/>
          <w:szCs w:val="18"/>
        </w:rPr>
        <w:t xml:space="preserve">African Energy (2024). Zambia: Grid-connected power generation data charts – November 2024. African Energy Live Data.</w:t>
      </w:r>
    </w:p>
    <w:p>
      <w:pPr>
        <w:pStyle w:val="ListParagraph"/>
        <w:numPr>
          <w:ilvl w:val="0"/>
          <w:numId w:val="3"/>
        </w:numPr>
        <w:spacing w:after="80" w:before="0"/>
      </w:pPr>
      <w:r>
        <w:rPr>
          <w:rFonts w:ascii="Arial" w:cs="Arial" w:eastAsia="Arial" w:hAnsi="Arial"/>
          <w:sz w:val="18"/>
          <w:szCs w:val="18"/>
        </w:rPr>
        <w:t xml:space="preserve">African Mining Online (2026). Zambia's electricity industry challenges and solutions. February 2026.</w:t>
      </w:r>
    </w:p>
    <w:p>
      <w:pPr>
        <w:pStyle w:val="ListParagraph"/>
        <w:numPr>
          <w:ilvl w:val="0"/>
          <w:numId w:val="3"/>
        </w:numPr>
        <w:spacing w:after="80" w:before="0"/>
      </w:pPr>
      <w:r>
        <w:rPr>
          <w:rFonts w:ascii="Arial" w:cs="Arial" w:eastAsia="Arial" w:hAnsi="Arial"/>
          <w:sz w:val="18"/>
          <w:szCs w:val="18"/>
        </w:rPr>
        <w:t xml:space="preserve">Afrik21 (2023). Zambia: A 33 MWp solar photovoltaic power plant goes into operation in Kitwe. Afrik21, February 2023.</w:t>
      </w:r>
    </w:p>
    <w:p>
      <w:pPr>
        <w:pStyle w:val="ListParagraph"/>
        <w:numPr>
          <w:ilvl w:val="0"/>
          <w:numId w:val="3"/>
        </w:numPr>
        <w:spacing w:after="80" w:before="0"/>
      </w:pPr>
      <w:r>
        <w:rPr>
          <w:rFonts w:ascii="Arial" w:cs="Arial" w:eastAsia="Arial" w:hAnsi="Arial"/>
          <w:sz w:val="18"/>
          <w:szCs w:val="18"/>
        </w:rPr>
        <w:t xml:space="preserve">ASCE (2026). Agrivoltaics: How combining solar panels and farming delivers big benefits. Civil Engineering Source, March 2026.</w:t>
      </w:r>
    </w:p>
    <w:p>
      <w:pPr>
        <w:pStyle w:val="ListParagraph"/>
        <w:numPr>
          <w:ilvl w:val="0"/>
          <w:numId w:val="3"/>
        </w:numPr>
        <w:spacing w:after="80" w:before="0"/>
      </w:pPr>
      <w:r>
        <w:rPr>
          <w:rFonts w:ascii="Arial" w:cs="Arial" w:eastAsia="Arial" w:hAnsi="Arial"/>
          <w:sz w:val="18"/>
          <w:szCs w:val="18"/>
        </w:rPr>
        <w:t xml:space="preserve">Barron-Gafford, G., et al. (2019). Agrivoltaics provide mutual benefits across the food–energy–water nexus in drylands. Nature Sustainability, 2, 848–855.</w:t>
      </w:r>
    </w:p>
    <w:p>
      <w:pPr>
        <w:pStyle w:val="ListParagraph"/>
        <w:numPr>
          <w:ilvl w:val="0"/>
          <w:numId w:val="3"/>
        </w:numPr>
        <w:spacing w:after="80" w:before="0"/>
      </w:pPr>
      <w:r>
        <w:rPr>
          <w:rFonts w:ascii="Arial" w:cs="Arial" w:eastAsia="Arial" w:hAnsi="Arial"/>
          <w:sz w:val="18"/>
          <w:szCs w:val="18"/>
        </w:rPr>
        <w:t xml:space="preserve">Bloomberg (2024). Zambia Asks Mines to Curtail Normal Power Use by 40% Amid Crunch. Bloomberg, July 2024.</w:t>
      </w:r>
    </w:p>
    <w:p>
      <w:pPr>
        <w:pStyle w:val="ListParagraph"/>
        <w:numPr>
          <w:ilvl w:val="0"/>
          <w:numId w:val="3"/>
        </w:numPr>
        <w:spacing w:after="80" w:before="0"/>
      </w:pPr>
      <w:r>
        <w:rPr>
          <w:rFonts w:ascii="Arial" w:cs="Arial" w:eastAsia="Arial" w:hAnsi="Arial"/>
          <w:sz w:val="18"/>
          <w:szCs w:val="18"/>
        </w:rPr>
        <w:t xml:space="preserve">Cedar Creek Energy (2024). Solar Panel Price &amp; Efficiency Trends: 2025 Update. November 2024.</w:t>
      </w:r>
    </w:p>
    <w:p>
      <w:pPr>
        <w:pStyle w:val="ListParagraph"/>
        <w:numPr>
          <w:ilvl w:val="0"/>
          <w:numId w:val="3"/>
        </w:numPr>
        <w:spacing w:after="80" w:before="0"/>
      </w:pPr>
      <w:r>
        <w:rPr>
          <w:rFonts w:ascii="Arial" w:cs="Arial" w:eastAsia="Arial" w:hAnsi="Arial"/>
          <w:sz w:val="18"/>
          <w:szCs w:val="18"/>
        </w:rPr>
        <w:t xml:space="preserve">Energy for Growth Hub. Top 10 Barriers to Utility-Scale Solar in Sub-Saharan Markets. Accessed June 2023.</w:t>
      </w:r>
    </w:p>
    <w:p>
      <w:pPr>
        <w:pStyle w:val="ListParagraph"/>
        <w:numPr>
          <w:ilvl w:val="0"/>
          <w:numId w:val="3"/>
        </w:numPr>
        <w:spacing w:after="80" w:before="0"/>
      </w:pPr>
      <w:r>
        <w:rPr>
          <w:rFonts w:ascii="Arial" w:cs="Arial" w:eastAsia="Arial" w:hAnsi="Arial"/>
          <w:sz w:val="18"/>
          <w:szCs w:val="18"/>
        </w:rPr>
        <w:t xml:space="preserve">Global Legal Insights (2024). Energy Laws and Regulations 2025: Zambia. December 2024.</w:t>
      </w:r>
    </w:p>
    <w:p>
      <w:pPr>
        <w:pStyle w:val="ListParagraph"/>
        <w:numPr>
          <w:ilvl w:val="0"/>
          <w:numId w:val="3"/>
        </w:numPr>
        <w:spacing w:after="80" w:before="0"/>
      </w:pPr>
      <w:r>
        <w:rPr>
          <w:rFonts w:ascii="Arial" w:cs="Arial" w:eastAsia="Arial" w:hAnsi="Arial"/>
          <w:sz w:val="18"/>
          <w:szCs w:val="18"/>
        </w:rPr>
        <w:t xml:space="preserve">Hometown Station (2025). Cost Of Monocrystalline Solar Panels: Complete 2025 Price Guide. June 2025.</w:t>
      </w:r>
    </w:p>
    <w:p>
      <w:pPr>
        <w:pStyle w:val="ListParagraph"/>
        <w:numPr>
          <w:ilvl w:val="0"/>
          <w:numId w:val="3"/>
        </w:numPr>
        <w:spacing w:after="80" w:before="0"/>
      </w:pPr>
      <w:r>
        <w:rPr>
          <w:rFonts w:ascii="Arial" w:cs="Arial" w:eastAsia="Arial" w:hAnsi="Arial"/>
          <w:sz w:val="18"/>
          <w:szCs w:val="18"/>
        </w:rPr>
        <w:t xml:space="preserve">IISD. Not a Case of Either/Or: How government and mines in Zambia can save money through energy efficiency. International Institute for Sustainable Development.</w:t>
      </w:r>
    </w:p>
    <w:p>
      <w:pPr>
        <w:pStyle w:val="ListParagraph"/>
        <w:numPr>
          <w:ilvl w:val="0"/>
          <w:numId w:val="3"/>
        </w:numPr>
        <w:spacing w:after="80" w:before="0"/>
      </w:pPr>
      <w:r>
        <w:rPr>
          <w:rFonts w:ascii="Arial" w:cs="Arial" w:eastAsia="Arial" w:hAnsi="Arial"/>
          <w:sz w:val="18"/>
          <w:szCs w:val="18"/>
        </w:rPr>
        <w:t xml:space="preserve">IET (2025). A comparison of electricity transmission technologies: Costs and characteristics. Institution of Engineering and Technology, April 2025.</w:t>
      </w:r>
    </w:p>
    <w:p>
      <w:pPr>
        <w:pStyle w:val="ListParagraph"/>
        <w:numPr>
          <w:ilvl w:val="0"/>
          <w:numId w:val="3"/>
        </w:numPr>
        <w:spacing w:after="80" w:before="0"/>
      </w:pPr>
      <w:r>
        <w:rPr>
          <w:rFonts w:ascii="Arial" w:cs="Arial" w:eastAsia="Arial" w:hAnsi="Arial"/>
          <w:sz w:val="18"/>
          <w:szCs w:val="18"/>
        </w:rPr>
        <w:t xml:space="preserve">IRENA (2016). Solar PV in Africa: Costs and Markets. International Renewable Energy Agency, September 2016.</w:t>
      </w:r>
    </w:p>
    <w:p>
      <w:pPr>
        <w:pStyle w:val="ListParagraph"/>
        <w:numPr>
          <w:ilvl w:val="0"/>
          <w:numId w:val="3"/>
        </w:numPr>
        <w:spacing w:after="80" w:before="0"/>
      </w:pPr>
      <w:r>
        <w:rPr>
          <w:rFonts w:ascii="Arial" w:cs="Arial" w:eastAsia="Arial" w:hAnsi="Arial"/>
          <w:sz w:val="18"/>
          <w:szCs w:val="18"/>
        </w:rPr>
        <w:t xml:space="preserve">Klein Manenergy / University of Pennsylvania (2025). The Use and Potential of Agrivoltaics in the United States. November 2025.</w:t>
      </w:r>
    </w:p>
    <w:p>
      <w:pPr>
        <w:pStyle w:val="ListParagraph"/>
        <w:numPr>
          <w:ilvl w:val="0"/>
          <w:numId w:val="3"/>
        </w:numPr>
        <w:spacing w:after="80" w:before="0"/>
      </w:pPr>
      <w:r>
        <w:rPr>
          <w:rFonts w:ascii="Arial" w:cs="Arial" w:eastAsia="Arial" w:hAnsi="Arial"/>
          <w:sz w:val="18"/>
          <w:szCs w:val="18"/>
        </w:rPr>
        <w:t xml:space="preserve">Ministry of Energy, Zambia (2024). Press Statement on the Electricity Situation in Zambia. Government Complex, 12 June 2024.</w:t>
      </w:r>
    </w:p>
    <w:p>
      <w:pPr>
        <w:pStyle w:val="ListParagraph"/>
        <w:numPr>
          <w:ilvl w:val="0"/>
          <w:numId w:val="3"/>
        </w:numPr>
        <w:spacing w:after="80" w:before="0"/>
      </w:pPr>
      <w:r>
        <w:rPr>
          <w:rFonts w:ascii="Arial" w:cs="Arial" w:eastAsia="Arial" w:hAnsi="Arial"/>
          <w:sz w:val="18"/>
          <w:szCs w:val="18"/>
        </w:rPr>
        <w:t xml:space="preserve">Mining Weekly (2024). Zambian copper mines desperate for power find an unlikely saviour. September 2024.</w:t>
      </w:r>
    </w:p>
    <w:p>
      <w:pPr>
        <w:pStyle w:val="ListParagraph"/>
        <w:numPr>
          <w:ilvl w:val="0"/>
          <w:numId w:val="3"/>
        </w:numPr>
        <w:spacing w:after="80" w:before="0"/>
      </w:pPr>
      <w:r>
        <w:rPr>
          <w:rFonts w:ascii="Arial" w:cs="Arial" w:eastAsia="Arial" w:hAnsi="Arial"/>
          <w:sz w:val="18"/>
          <w:szCs w:val="18"/>
        </w:rPr>
        <w:t xml:space="preserve">NC State University (2025). Agrivoltaics: Making Marginal Land More Productive With Solar Panels and Sheep. Office of Research and Innovation, December 2025.</w:t>
      </w:r>
    </w:p>
    <w:p>
      <w:pPr>
        <w:pStyle w:val="ListParagraph"/>
        <w:numPr>
          <w:ilvl w:val="0"/>
          <w:numId w:val="3"/>
        </w:numPr>
        <w:spacing w:after="80" w:before="0"/>
      </w:pPr>
      <w:r>
        <w:rPr>
          <w:rFonts w:ascii="Arial" w:cs="Arial" w:eastAsia="Arial" w:hAnsi="Arial"/>
          <w:sz w:val="18"/>
          <w:szCs w:val="18"/>
        </w:rPr>
        <w:t xml:space="preserve">NLR / NREL (2024). Lighting the Way for Agrivoltaics: How NREL Empowers Communities. November 2024.</w:t>
      </w:r>
    </w:p>
    <w:p>
      <w:pPr>
        <w:pStyle w:val="ListParagraph"/>
        <w:numPr>
          <w:ilvl w:val="0"/>
          <w:numId w:val="3"/>
        </w:numPr>
        <w:spacing w:after="80" w:before="0"/>
      </w:pPr>
      <w:r>
        <w:rPr>
          <w:rFonts w:ascii="Arial" w:cs="Arial" w:eastAsia="Arial" w:hAnsi="Arial"/>
          <w:sz w:val="18"/>
          <w:szCs w:val="18"/>
        </w:rPr>
        <w:t xml:space="preserve">PVKNOWHOW (2025). Zambia Solar Panel Manufacturing Report. March 2025.</w:t>
      </w:r>
    </w:p>
    <w:p>
      <w:pPr>
        <w:pStyle w:val="ListParagraph"/>
        <w:numPr>
          <w:ilvl w:val="0"/>
          <w:numId w:val="3"/>
        </w:numPr>
        <w:spacing w:after="80" w:before="0"/>
      </w:pPr>
      <w:r>
        <w:rPr>
          <w:rFonts w:ascii="Arial" w:cs="Arial" w:eastAsia="Arial" w:hAnsi="Arial"/>
          <w:sz w:val="18"/>
          <w:szCs w:val="18"/>
        </w:rPr>
        <w:t xml:space="preserve">RatedPower (2021). Breaking down solar farm costs. September 2021.</w:t>
      </w:r>
    </w:p>
    <w:p>
      <w:pPr>
        <w:pStyle w:val="ListParagraph"/>
        <w:numPr>
          <w:ilvl w:val="0"/>
          <w:numId w:val="3"/>
        </w:numPr>
        <w:spacing w:after="80" w:before="0"/>
      </w:pPr>
      <w:r>
        <w:rPr>
          <w:rFonts w:ascii="Arial" w:cs="Arial" w:eastAsia="Arial" w:hAnsi="Arial"/>
          <w:sz w:val="18"/>
          <w:szCs w:val="18"/>
        </w:rPr>
        <w:t xml:space="preserve">ResearchGate (2017). Assessment of Solar Energy Source Distribution and Potential in Zambia. Published 2017.</w:t>
      </w:r>
    </w:p>
    <w:p>
      <w:pPr>
        <w:pStyle w:val="ListParagraph"/>
        <w:numPr>
          <w:ilvl w:val="0"/>
          <w:numId w:val="3"/>
        </w:numPr>
        <w:spacing w:after="80" w:before="0"/>
      </w:pPr>
      <w:r>
        <w:rPr>
          <w:rFonts w:ascii="Arial" w:cs="Arial" w:eastAsia="Arial" w:hAnsi="Arial"/>
          <w:sz w:val="18"/>
          <w:szCs w:val="18"/>
        </w:rPr>
        <w:t xml:space="preserve">Renewable Energy World (2024). Underground vs. overhead: Power line installation-cost comparison. September 2024.</w:t>
      </w:r>
    </w:p>
    <w:p>
      <w:pPr>
        <w:pStyle w:val="ListParagraph"/>
        <w:numPr>
          <w:ilvl w:val="0"/>
          <w:numId w:val="3"/>
        </w:numPr>
        <w:spacing w:after="80" w:before="0"/>
      </w:pPr>
      <w:r>
        <w:rPr>
          <w:rFonts w:ascii="Arial" w:cs="Arial" w:eastAsia="Arial" w:hAnsi="Arial"/>
          <w:sz w:val="18"/>
          <w:szCs w:val="18"/>
        </w:rPr>
        <w:t xml:space="preserve">Scientific Reports (2026). Sustainability and cost comparison of 33 kV overhead transmission lines and underground cables: a life cycle perspective. Nature/Scientific Reports.</w:t>
      </w:r>
    </w:p>
    <w:p>
      <w:pPr>
        <w:pStyle w:val="ListParagraph"/>
        <w:numPr>
          <w:ilvl w:val="0"/>
          <w:numId w:val="3"/>
        </w:numPr>
        <w:spacing w:after="80" w:before="0"/>
      </w:pPr>
      <w:r>
        <w:rPr>
          <w:rFonts w:ascii="Arial" w:cs="Arial" w:eastAsia="Arial" w:hAnsi="Arial"/>
          <w:sz w:val="18"/>
          <w:szCs w:val="18"/>
        </w:rPr>
        <w:t xml:space="preserve">ScienceDirect (2025). Power system expansion and renewable integration for drought-resilient electrification in Zambia. July 2025.</w:t>
      </w:r>
    </w:p>
    <w:p>
      <w:pPr>
        <w:pStyle w:val="ListParagraph"/>
        <w:numPr>
          <w:ilvl w:val="0"/>
          <w:numId w:val="3"/>
        </w:numPr>
        <w:spacing w:after="80" w:before="0"/>
      </w:pPr>
      <w:r>
        <w:rPr>
          <w:rFonts w:ascii="Arial" w:cs="Arial" w:eastAsia="Arial" w:hAnsi="Arial"/>
          <w:sz w:val="18"/>
          <w:szCs w:val="18"/>
        </w:rPr>
        <w:t xml:space="preserve">ScienceDirect (2025). Agrivoltaic systems for sustainability: An overview of emerging trends and practices. November 2025.</w:t>
      </w:r>
    </w:p>
    <w:p>
      <w:pPr>
        <w:pStyle w:val="ListParagraph"/>
        <w:numPr>
          <w:ilvl w:val="0"/>
          <w:numId w:val="3"/>
        </w:numPr>
        <w:spacing w:after="80" w:before="0"/>
      </w:pPr>
      <w:r>
        <w:rPr>
          <w:rFonts w:ascii="Arial" w:cs="Arial" w:eastAsia="Arial" w:hAnsi="Arial"/>
          <w:sz w:val="18"/>
          <w:szCs w:val="18"/>
        </w:rPr>
        <w:t xml:space="preserve">Solar Farm Summit. Studies and Stories. Accessed 2025.</w:t>
      </w:r>
    </w:p>
    <w:p>
      <w:pPr>
        <w:pStyle w:val="ListParagraph"/>
        <w:numPr>
          <w:ilvl w:val="0"/>
          <w:numId w:val="3"/>
        </w:numPr>
        <w:spacing w:after="80" w:before="0"/>
      </w:pPr>
      <w:r>
        <w:rPr>
          <w:rFonts w:ascii="Arial" w:cs="Arial" w:eastAsia="Arial" w:hAnsi="Arial"/>
          <w:sz w:val="18"/>
          <w:szCs w:val="18"/>
        </w:rPr>
        <w:t xml:space="preserve">Solar Tech Online (2025). Monocrystalline Solar Panel Efficiency: Complete 2025 Guide. May 2025.</w:t>
      </w:r>
    </w:p>
    <w:p>
      <w:pPr>
        <w:pStyle w:val="ListParagraph"/>
        <w:numPr>
          <w:ilvl w:val="0"/>
          <w:numId w:val="3"/>
        </w:numPr>
        <w:spacing w:after="80" w:before="0"/>
      </w:pPr>
      <w:r>
        <w:rPr>
          <w:rFonts w:ascii="Arial" w:cs="Arial" w:eastAsia="Arial" w:hAnsi="Arial"/>
          <w:sz w:val="18"/>
          <w:szCs w:val="18"/>
        </w:rPr>
        <w:t xml:space="preserve">World Bank (2019). Solar Resource and PV Potential of Zambia: Solar Resource Atlas. Prepared by Solargis, April 2019.</w:t>
      </w:r>
    </w:p>
    <w:p>
      <w:pPr>
        <w:pStyle w:val="ListParagraph"/>
        <w:numPr>
          <w:ilvl w:val="0"/>
          <w:numId w:val="3"/>
        </w:numPr>
        <w:spacing w:after="80" w:before="0"/>
      </w:pPr>
      <w:r>
        <w:rPr>
          <w:rFonts w:ascii="Arial" w:cs="Arial" w:eastAsia="Arial" w:hAnsi="Arial"/>
          <w:sz w:val="18"/>
          <w:szCs w:val="18"/>
        </w:rPr>
        <w:t xml:space="preserve">World Bank (2023). Zambia: Beyond Connections – Energy Access Diagnostic Report Based on the Multi-Tier Framework.</w:t>
      </w:r>
    </w:p>
    <w:p>
      <w:pPr>
        <w:pStyle w:val="ListParagraph"/>
        <w:numPr>
          <w:ilvl w:val="0"/>
          <w:numId w:val="3"/>
        </w:numPr>
        <w:spacing w:after="80" w:before="0"/>
      </w:pPr>
      <w:r>
        <w:rPr>
          <w:rFonts w:ascii="Arial" w:cs="Arial" w:eastAsia="Arial" w:hAnsi="Arial"/>
          <w:sz w:val="18"/>
          <w:szCs w:val="18"/>
        </w:rPr>
        <w:t xml:space="preserve">Zambia Invest. Zambia Mining. Accessed 2025.</w:t>
      </w:r>
    </w:p>
    <w:p>
      <w:pPr>
        <w:pStyle w:val="ListParagraph"/>
        <w:numPr>
          <w:ilvl w:val="0"/>
          <w:numId w:val="3"/>
        </w:numPr>
        <w:spacing w:after="80" w:before="0"/>
      </w:pPr>
      <w:r>
        <w:rPr>
          <w:rFonts w:ascii="Arial" w:cs="Arial" w:eastAsia="Arial" w:hAnsi="Arial"/>
          <w:sz w:val="18"/>
          <w:szCs w:val="18"/>
        </w:rPr>
        <w:t xml:space="preserve">GIZ (2024). Sector Analysis Zambia – Renewable Power Generation and Energy Storage for Commercial and Industrial Applications.</w:t>
      </w:r>
    </w:p>
    <w:p>
      <w:pPr>
        <w:pStyle w:val="ListParagraph"/>
        <w:numPr>
          <w:ilvl w:val="0"/>
          <w:numId w:val="3"/>
        </w:numPr>
        <w:spacing w:after="80" w:before="0"/>
      </w:pPr>
      <w:r>
        <w:rPr>
          <w:rFonts w:ascii="Arial" w:cs="Arial" w:eastAsia="Arial" w:hAnsi="Arial"/>
          <w:sz w:val="18"/>
          <w:szCs w:val="18"/>
        </w:rPr>
        <w:t xml:space="preserve">Paripex Indian Journal of Research (2024). Optimal selection of overhead vs underground transmission lines to mitigate energy losses. November 2024.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1"/>
      </w:pBdr>
      <w:spacing w:after="0" w:before="80"/>
      <w:jc w:val="center"/>
    </w:pPr>
    <w:r>
      <w:rPr>
        <w:rFonts w:ascii="Arial" w:cs="Arial" w:eastAsia="Arial" w:hAnsi="Arial"/>
        <w:color w:val="888888"/>
        <w:sz w:val="16"/>
        <w:szCs w:val="16"/>
      </w:rPr>
      <w:t xml:space="preserve">Working Paper — Energy Systems &amp; Sustainable Development | May 2025    |    Page </w:t>
    </w:r>
    <w:r>
      <w:rPr>
        <w:rFonts w:ascii="Arial" w:cs="Arial" w:eastAsia="Arial" w:hAnsi="Arial"/>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before="0"/>
    </w:pPr>
    <w:r>
      <w:rPr>
        <w:rFonts w:ascii="Arial" w:cs="Arial" w:eastAsia="Arial" w:hAnsi="Arial"/>
        <w:color w:val="888888"/>
        <w:sz w:val="16"/>
        <w:szCs w:val="16"/>
      </w:rPr>
      <w:t xml:space="preserve">Distributed Solar Power Generation for Industrial Applications in Zambia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2026-05-18T16:20:32.965Z</dcterms:created>
  <dcterms:modified xsi:type="dcterms:W3CDTF">2026-05-18T16:20:32.979Z</dcterms:modified>
</cp:coreProperties>
</file>

<file path=docProps/custom.xml><?xml version="1.0" encoding="utf-8"?>
<Properties xmlns="http://schemas.openxmlformats.org/officeDocument/2006/custom-properties" xmlns:vt="http://schemas.openxmlformats.org/officeDocument/2006/docPropsVTypes"/>
</file>