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173F67"/>
          <w:sz w:val="32"/>
        </w:rPr>
        <w:t>Módulo 1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Gestión de Proyectos y Fundamentos de Agilidad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Prácticas autónomas de aplicación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Actividades formativas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Actividades formativas</w:t>
      </w:r>
    </w:p>
    <w:p>
      <w:pPr>
        <w:spacing w:after="80"/>
      </w:pPr>
      <w:hyperlink w:anchor="seccion-1">
        <w:r>
          <w:rPr>
            <w:rStyle w:val="Hyperlink"/>
          </w:rPr>
          <w:t xml:space="preserve">Actividad 1: Delimitar el proyecto</w:t>
        </w:r>
      </w:hyperlink>
    </w:p>
    <w:p>
      <w:pPr>
        <w:spacing w:after="80"/>
      </w:pPr>
      <w:hyperlink w:anchor="seccion-2">
        <w:r>
          <w:rPr>
            <w:rStyle w:val="Hyperlink"/>
          </w:rPr>
          <w:t xml:space="preserve">Actividad 2: Definir el alcance y detectar riesgos</w:t>
        </w:r>
      </w:hyperlink>
    </w:p>
    <w:p>
      <w:pPr>
        <w:spacing w:after="80"/>
      </w:pPr>
      <w:hyperlink w:anchor="seccion-3">
        <w:r>
          <w:rPr>
            <w:rStyle w:val="Hyperlink"/>
          </w:rPr>
          <w:t xml:space="preserve">Actividad 3: Elegir cómo avanzar</w:t>
        </w:r>
      </w:hyperlink>
    </w:p>
    <w:p>
      <w:pPr>
        <w:spacing w:after="80"/>
      </w:pPr>
      <w:hyperlink w:anchor="seccion-4">
        <w:r>
          <w:rPr>
            <w:rStyle w:val="Hyperlink"/>
          </w:rPr>
          <w:t xml:space="preserve">Actividad 4: Aplicar los valores ágiles y la idea de valor</w:t>
        </w:r>
      </w:hyperlink>
    </w:p>
    <w:p>
      <w:pPr>
        <w:spacing w:after="80"/>
      </w:pPr>
      <w:hyperlink w:anchor="seccion-5">
        <w:r>
          <w:rPr>
            <w:rStyle w:val="Hyperlink"/>
          </w:rPr>
          <w:t xml:space="preserve">Actividad 5: Analizar un caso real, el Virtual Case File del FBI</w:t>
        </w:r>
      </w:hyperlink>
    </w:p>
    <w:p>
      <w:pPr>
        <w:spacing w:after="80"/>
      </w:pPr>
      <w:hyperlink w:anchor="seccion-6">
        <w:r>
          <w:rPr>
            <w:rStyle w:val="Hyperlink"/>
          </w:rPr>
          <w:t xml:space="preserve">Antes de terminar</w:t>
        </w:r>
      </w:hyperlink>
    </w:p>
    <w:p>
      <w:r>
        <w:br w:type="page"/>
      </w:r>
    </w:p>
    <w:p>
      <w:pPr>
        <w:spacing w:line="278" w:lineRule="auto" w:after="140"/>
      </w:pPr>
      <w:r>
        <w:rPr>
          <w:rFonts w:ascii="Calibri" w:hAnsi="Calibri"/>
          <w:sz w:val="22"/>
        </w:rPr>
        <w:t>Estas actividades te ayudan a aplicar lo que estudiaste en el módulo: qué es un proyecto, cómo se define su alcance, qué riesgos tiene, cómo conviene avanzar y qué significa trabajar de forma ágil.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1F4E86"/>
              <w:top w:val="single" w:sz="4" w:color="1F4E86"/>
              <w:bottom w:val="single" w:sz="4" w:color="1F4E86"/>
              <w:right w:val="single" w:sz="4" w:color="1F4E86"/>
            </w:tcBorders>
            <w:shd w:val="clear" w:fill="E8F1FA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1F4E86"/>
                <w:sz w:val="23"/>
              </w:rPr>
              <w:t>Cómo usar estas actividades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1F4E86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Son prácticas para vos: no se entregan y no tienen nota.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1F4E86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Resolvé cada consigna en un borrador y usá la lista del final para revisar tu trabajo.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1F4E86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Todas se pueden resolver con el Contenido del módulo. Los datos de las situaciones son didácticos.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1F4E86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No hay una única respuesta correcta: lo importante es que cada decisión esté fundamentada en el Contenido.</w:t>
            </w:r>
          </w:p>
        </w:tc>
      </w:tr>
    </w:tbl>
    <w:p>
      <w:pPr>
        <w:spacing w:after="80"/>
      </w:pP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173F67"/>
          <w:sz w:val="34"/>
        </w:rPr>
        <w:t>Actividad 1: Delimitar el proyecto</w:t>
      </w:r>
      <w:bookmarkEnd w:id="1"/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Qué vas a practicar:</w:t>
      </w:r>
      <w:r>
        <w:rPr>
          <w:rFonts w:ascii="Calibri" w:hAnsi="Calibri"/>
          <w:sz w:val="22"/>
        </w:rPr>
        <w:t xml:space="preserve"> distinguir proyecto, producto y operación, reconocer a los interesados y ubicar las actividades de gestión en el ciclo de vida.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6A4A9C"/>
              <w:top w:val="single" w:sz="4" w:color="6A4A9C"/>
              <w:bottom w:val="single" w:sz="4" w:color="6A4A9C"/>
              <w:right w:val="single" w:sz="4" w:color="6A4A9C"/>
            </w:tcBorders>
            <w:shd w:val="clear" w:fill="F1ECF8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6A4A9C"/>
                <w:sz w:val="23"/>
              </w:rPr>
              <w:t>Situación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Una universidad prepara en seis semanas un piloto del asistente con IA que orienta a los estudiantes sobre inscripciones. La oficina de alumnos valida la información, un grupo de estudiantes prueba las respuestas y una dirección autoriza el presupuesto. Cuando el asistente esté habilitado, un equipo atenderá los incidentes y actualizará los documentos cada semana.</w:t>
            </w:r>
          </w:p>
        </w:tc>
      </w:tr>
    </w:tbl>
    <w:p>
      <w:pPr>
        <w:spacing w:after="80"/>
      </w:pP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1.</w:t>
        <w:tab/>
      </w:r>
      <w:r>
        <w:rPr>
          <w:rFonts w:ascii="Calibri" w:hAnsi="Calibri"/>
          <w:sz w:val="22"/>
        </w:rPr>
        <w:t>Identificá el proyecto, el producto y dos tareas de operación. ¿Qué resultado permitiría cerrar el proyecto piloto, aunque el producto siga funcionando?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2.</w:t>
        <w:tab/>
      </w:r>
      <w:r>
        <w:rPr>
          <w:rFonts w:ascii="Calibri" w:hAnsi="Calibri"/>
          <w:sz w:val="22"/>
        </w:rPr>
        <w:t>Distinguí al cliente, a los usuarios, al patrocinador y a los especialistas del tema. Ubicá a cada uno en la matriz de poder e interés y proponé cómo involucrar a dos de ellos.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3.</w:t>
        <w:tab/>
      </w:r>
      <w:r>
        <w:rPr>
          <w:rFonts w:ascii="Calibri" w:hAnsi="Calibri"/>
          <w:sz w:val="22"/>
        </w:rPr>
        <w:t>Relacioná cada acción con un grupo de actividades del ciclo de vida: autorizar el piloto, organizar las pruebas, construir el asistente, comparar las respuestas con lo esperado y transferir el soporte al equipo de operación. ¿Hay que esperar al final para monitorear y controlar?</w:t>
      </w:r>
    </w:p>
    <w:p>
      <w:pPr>
        <w:pStyle w:val="Heading1"/>
        <w:keepNext/>
        <w:shd w:fill="EAF4FA"/>
      </w:pPr>
      <w:bookmarkStart w:id="2" w:name="seccion-2"/>
      <w:r>
        <w:rPr>
          <w:rFonts w:ascii="Calibri" w:hAnsi="Calibri"/>
          <w:b/>
          <w:color w:val="173F67"/>
          <w:sz w:val="34"/>
        </w:rPr>
        <w:t>Actividad 2: Definir el alcance y detectar riesgos</w:t>
      </w:r>
      <w:bookmarkEnd w:id="2"/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Qué vas a practicar:</w:t>
      </w:r>
      <w:r>
        <w:rPr>
          <w:rFonts w:ascii="Calibri" w:hAnsi="Calibri"/>
          <w:sz w:val="22"/>
        </w:rPr>
        <w:t xml:space="preserve"> definir qué entra y qué queda afuera, escribir criterios de aceptación, dividir el trabajo y encontrar riesgos.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6A4A9C"/>
              <w:top w:val="single" w:sz="4" w:color="6A4A9C"/>
              <w:bottom w:val="single" w:sz="4" w:color="6A4A9C"/>
              <w:right w:val="single" w:sz="4" w:color="6A4A9C"/>
            </w:tcBorders>
            <w:shd w:val="clear" w:fill="F1ECF8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6A4A9C"/>
                <w:sz w:val="23"/>
              </w:rPr>
              <w:t>Situación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Después del piloto de inscripciones, la universidad pide "que el asistente también ayude con las becas". Nadie definió todavía qué significa eso: algunos imaginan que solo informe las becas disponibles; otros, que permita postularse y consultar el estado de la solicitud.</w:t>
            </w:r>
          </w:p>
        </w:tc>
      </w:tr>
    </w:tbl>
    <w:p>
      <w:pPr>
        <w:spacing w:after="80"/>
      </w:pP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1.</w:t>
        <w:tab/>
      </w:r>
      <w:r>
        <w:rPr>
          <w:rFonts w:ascii="Calibri" w:hAnsi="Calibri"/>
          <w:sz w:val="22"/>
        </w:rPr>
        <w:t>Armá una tabla con tres elementos que incluirías en este nuevo alcance y tres que dejarías afuera por ahora. Justificá cada exclusión.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2.</w:t>
        <w:tab/>
      </w:r>
      <w:r>
        <w:rPr>
          <w:rFonts w:ascii="Calibri" w:hAnsi="Calibri"/>
          <w:sz w:val="22"/>
        </w:rPr>
        <w:t>Escribí dos entregables concretos, cada uno con dos criterios de aceptación que se puedan comprobar.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3.</w:t>
        <w:tab/>
      </w:r>
      <w:r>
        <w:rPr>
          <w:rFonts w:ascii="Calibri" w:hAnsi="Calibri"/>
          <w:sz w:val="22"/>
        </w:rPr>
        <w:t>Hacé un primer desglose del trabajo en cuatro partes, con dos tareas en cada una.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4.</w:t>
        <w:tab/>
      </w:r>
      <w:r>
        <w:rPr>
          <w:rFonts w:ascii="Calibri" w:hAnsi="Calibri"/>
          <w:sz w:val="22"/>
        </w:rPr>
        <w:t>Identificá tres riesgos. Para cada uno, indicá su probabilidad (alta, media o baja), su impacto y una respuesta: evitar, reducir, transferir o aceptar.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5.</w:t>
        <w:tab/>
      </w:r>
      <w:r>
        <w:rPr>
          <w:rFonts w:ascii="Calibri" w:hAnsi="Calibri"/>
          <w:sz w:val="22"/>
        </w:rPr>
        <w:t xml:space="preserve">Clasificá estas dos situaciones como expansión descontrolada del alcance o </w:t>
      </w:r>
      <w:r>
        <w:rPr>
          <w:rFonts w:ascii="Calibri" w:hAnsi="Calibri"/>
          <w:i/>
          <w:sz w:val="22"/>
        </w:rPr>
        <w:t>gold plating</w:t>
      </w:r>
      <w:r>
        <w:rPr>
          <w:rFonts w:ascii="Calibri" w:hAnsi="Calibri"/>
          <w:sz w:val="22"/>
        </w:rPr>
        <w:t>, y explicá qué harías en cada caso:</w:t>
      </w:r>
    </w:p>
    <w:p>
      <w:pPr>
        <w:tabs>
          <w:tab w:pos="794" w:val="left"/>
        </w:tabs>
        <w:spacing w:after="60"/>
        <w:ind w:left="794" w:hanging="255"/>
      </w:pPr>
      <w:r>
        <w:rPr>
          <w:b/>
          <w:color w:val="12655D"/>
        </w:rPr>
        <w:t>◦</w:t>
        <w:tab/>
      </w:r>
      <w:r>
        <w:rPr>
          <w:rFonts w:ascii="Calibri" w:hAnsi="Calibri"/>
          <w:b/>
          <w:color w:val="12655D"/>
          <w:sz w:val="22"/>
        </w:rPr>
        <w:t>a)</w:t>
      </w:r>
      <w:r>
        <w:rPr>
          <w:rFonts w:ascii="Calibri" w:hAnsi="Calibri"/>
          <w:sz w:val="22"/>
        </w:rPr>
        <w:t xml:space="preserve"> A mitad del trabajo, una autoridad pide por correo "agregar también las becas de posgrado, que es rápido".</w:t>
      </w:r>
    </w:p>
    <w:p>
      <w:pPr>
        <w:tabs>
          <w:tab w:pos="794" w:val="left"/>
        </w:tabs>
        <w:spacing w:after="60"/>
        <w:ind w:left="794" w:hanging="255"/>
      </w:pPr>
      <w:r>
        <w:rPr>
          <w:b/>
          <w:color w:val="12655D"/>
        </w:rPr>
        <w:t>◦</w:t>
        <w:tab/>
      </w:r>
      <w:r>
        <w:rPr>
          <w:rFonts w:ascii="Calibri" w:hAnsi="Calibri"/>
          <w:b/>
          <w:color w:val="12655D"/>
          <w:sz w:val="22"/>
        </w:rPr>
        <w:t>b)</w:t>
      </w:r>
      <w:r>
        <w:rPr>
          <w:rFonts w:ascii="Calibri" w:hAnsi="Calibri"/>
          <w:sz w:val="22"/>
        </w:rPr>
        <w:t xml:space="preserve"> Un programador agrega por su cuenta una animación en la pantalla de becas "porque queda más linda".</w:t>
      </w:r>
    </w:p>
    <w:p>
      <w:pPr>
        <w:pStyle w:val="Heading1"/>
        <w:keepNext/>
        <w:shd w:fill="EAF4FA"/>
      </w:pPr>
      <w:bookmarkStart w:id="3" w:name="seccion-3"/>
      <w:r>
        <w:rPr>
          <w:rFonts w:ascii="Calibri" w:hAnsi="Calibri"/>
          <w:b/>
          <w:color w:val="173F67"/>
          <w:sz w:val="34"/>
        </w:rPr>
        <w:t>Actividad 3: Elegir cómo avanzar</w:t>
      </w:r>
      <w:bookmarkEnd w:id="3"/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Qué vas a practicar:</w:t>
      </w:r>
      <w:r>
        <w:rPr>
          <w:rFonts w:ascii="Calibri" w:hAnsi="Calibri"/>
          <w:sz w:val="22"/>
        </w:rPr>
        <w:t xml:space="preserve"> elegir entre enfoques predictivo, ágil e híbrido, distinguir iteración de incremento y decidir frente a la triple restricción.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6A4A9C"/>
              <w:top w:val="single" w:sz="4" w:color="6A4A9C"/>
              <w:bottom w:val="single" w:sz="4" w:color="6A4A9C"/>
              <w:right w:val="single" w:sz="4" w:color="6A4A9C"/>
            </w:tcBorders>
            <w:shd w:val="clear" w:fill="F1ECF8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6A4A9C"/>
                <w:sz w:val="23"/>
              </w:rPr>
              <w:t>Situación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El equipo tiene tres trabajos distintos: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A) Trasladar documentos a un repositorio con un formato y un procedimiento ya probados en otras facultades.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B) Descubrir cómo responder consultas que los estudiantes formulan de maneras impredecibles.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C) Coordinar una migración de sistemas con fecha fija y, al mismo tiempo, explorar cómo interactúan los estudiantes con el asistente.</w:t>
            </w:r>
          </w:p>
        </w:tc>
      </w:tr>
    </w:tbl>
    <w:p>
      <w:pPr>
        <w:spacing w:after="80"/>
      </w:pP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1.</w:t>
        <w:tab/>
      </w:r>
      <w:r>
        <w:rPr>
          <w:rFonts w:ascii="Calibri" w:hAnsi="Calibri"/>
          <w:sz w:val="22"/>
        </w:rPr>
        <w:t>Elegí un enfoque predictivo, ágil o híbrido para cada trabajo. Fundamentá con la incertidumbre y el costo de cambiar. Indicá un dato adicional que podría cambiar tu decisión.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2.</w:t>
        <w:tab/>
      </w:r>
      <w:r>
        <w:rPr>
          <w:rFonts w:ascii="Calibri" w:hAnsi="Calibri"/>
          <w:sz w:val="22"/>
        </w:rPr>
        <w:t>Clasificá estas acciones como iteración, incremento o ambas: mejorar la claridad de respuestas que ya existen; sumar consultas sobre becas como capacidad nueva; sumar becas y ajustar sus respuestas a partir de las pruebas.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3.</w:t>
        <w:tab/>
      </w:r>
      <w:r>
        <w:rPr>
          <w:rFonts w:ascii="Calibri" w:hAnsi="Calibri"/>
          <w:sz w:val="22"/>
        </w:rPr>
        <w:t>En el piloto se pide agregar consultas de becas sin mover la fecha ni el presupuesto. Según la triple restricción, ¿qué variable se tendría que ajustar? Proponé dos alternativas y explicá por qué no conviene recortar las pruebas.</w:t>
      </w:r>
    </w:p>
    <w:p>
      <w:pPr>
        <w:pStyle w:val="Heading1"/>
        <w:keepNext/>
        <w:shd w:fill="EAF4FA"/>
      </w:pPr>
      <w:bookmarkStart w:id="4" w:name="seccion-4"/>
      <w:r>
        <w:rPr>
          <w:rFonts w:ascii="Calibri" w:hAnsi="Calibri"/>
          <w:b/>
          <w:color w:val="173F67"/>
          <w:sz w:val="34"/>
        </w:rPr>
        <w:t>Actividad 4: Aplicar los valores ágiles y la idea de valor</w:t>
      </w:r>
      <w:bookmarkEnd w:id="4"/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Qué vas a practicar:</w:t>
      </w:r>
      <w:r>
        <w:rPr>
          <w:rFonts w:ascii="Calibri" w:hAnsi="Calibri"/>
          <w:sz w:val="22"/>
        </w:rPr>
        <w:t xml:space="preserve"> interpretar el Manifiesto Ágil y distinguir actividad, resultado y beneficio.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6A4A9C"/>
              <w:top w:val="single" w:sz="4" w:color="6A4A9C"/>
              <w:bottom w:val="single" w:sz="4" w:color="6A4A9C"/>
              <w:right w:val="single" w:sz="4" w:color="6A4A9C"/>
            </w:tcBorders>
            <w:shd w:val="clear" w:fill="F1ECF8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6A4A9C"/>
                <w:sz w:val="23"/>
              </w:rPr>
              <w:t>Situación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En una reunión del equipo se escuchan cuatro frases: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A) "Como somos ágiles, no necesitamos registrar de dónde salen las respuestas del asistente."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B) "El plan está aprobado, así que no vamos a corregir una necesidad que entendimos mal."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C) "Si el tablero está actualizado, ya no hace falta conversar con la oficina de alumnos."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D) "Podemos ajustar el plan con la universidad y dejar el acuerdo por escrito."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Además, el equipo informa estos datos: cargó 40 documentos y completó 25 tareas. En una prueba con 20 consultas definidas de antemano, el asistente respondió bien 12; después de una revisión, respondió bien 16 de las mismas 20. Todavía no se probó si los estudiantes entienden las respuestas.</w:t>
            </w:r>
          </w:p>
        </w:tc>
      </w:tr>
    </w:tbl>
    <w:p>
      <w:pPr>
        <w:spacing w:after="80"/>
      </w:pP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1.</w:t>
        <w:tab/>
      </w:r>
      <w:r>
        <w:rPr>
          <w:rFonts w:ascii="Calibri" w:hAnsi="Calibri"/>
          <w:sz w:val="22"/>
        </w:rPr>
        <w:t>Indicá qué frases son coherentes con el Manifiesto Ágil y corregí las demás. Relacioná cada respuesta con uno de los cuatro valores.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2.</w:t>
        <w:tab/>
      </w:r>
      <w:r>
        <w:rPr>
          <w:rFonts w:ascii="Calibri" w:hAnsi="Calibri"/>
          <w:sz w:val="22"/>
        </w:rPr>
        <w:t>Elegí dos de los doce principios y proponé una conducta concreta que el equipo pueda aplicar en el piloto para cada uno.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3.</w:t>
        <w:tab/>
      </w:r>
      <w:r>
        <w:rPr>
          <w:rFonts w:ascii="Calibri" w:hAnsi="Calibri"/>
          <w:sz w:val="22"/>
        </w:rPr>
        <w:t>Separá los datos en tres niveles: actividad, resultado entregado y beneficio.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4.</w:t>
        <w:tab/>
      </w:r>
      <w:r>
        <w:rPr>
          <w:rFonts w:ascii="Calibri" w:hAnsi="Calibri"/>
          <w:sz w:val="22"/>
        </w:rPr>
        <w:t>Calculá el porcentaje de respuestas correctas antes y después de la revisión. ¿Qué mejora muestran los datos y qué no permiten concluir todavía?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5.</w:t>
        <w:tab/>
      </w:r>
      <w:r>
        <w:rPr>
          <w:rFonts w:ascii="Calibri" w:hAnsi="Calibri"/>
          <w:sz w:val="22"/>
        </w:rPr>
        <w:t>Formulá una hipótesis de valor y proponé una prueba con estudiantes que aporte la evidencia que falta.</w:t>
      </w:r>
    </w:p>
    <w:p>
      <w:pPr>
        <w:pStyle w:val="Heading1"/>
        <w:keepNext/>
        <w:shd w:fill="EAF4FA"/>
      </w:pPr>
      <w:bookmarkStart w:id="5" w:name="seccion-5"/>
      <w:r>
        <w:rPr>
          <w:rFonts w:ascii="Calibri" w:hAnsi="Calibri"/>
          <w:b/>
          <w:color w:val="173F67"/>
          <w:sz w:val="34"/>
        </w:rPr>
        <w:t>Actividad 5: Analizar un caso real, el Virtual Case File del FBI</w:t>
      </w:r>
      <w:bookmarkEnd w:id="5"/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Qué vas a practicar:</w:t>
      </w:r>
      <w:r>
        <w:rPr>
          <w:rFonts w:ascii="Calibri" w:hAnsi="Calibri"/>
          <w:sz w:val="22"/>
        </w:rPr>
        <w:t xml:space="preserve"> leer un caso real separando lo que pasó, lo que se puede aprender y lo que no se puede concluir.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6A4A9C"/>
              <w:top w:val="single" w:sz="4" w:color="6A4A9C"/>
              <w:bottom w:val="single" w:sz="4" w:color="6A4A9C"/>
              <w:right w:val="single" w:sz="4" w:color="6A4A9C"/>
            </w:tcBorders>
            <w:shd w:val="clear" w:fill="F1ECF8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6A4A9C"/>
                <w:sz w:val="23"/>
              </w:rPr>
              <w:t>Situación</w:t>
            </w:r>
          </w:p>
          <w:p>
            <w:pPr>
              <w:spacing w:after="120" w:line="276" w:lineRule="auto"/>
            </w:pPr>
            <w:r>
              <w:rPr>
                <w:rFonts w:ascii="Calibri" w:hAnsi="Calibri"/>
                <w:sz w:val="22"/>
              </w:rPr>
              <w:t>Repasá el caso del Virtual Case File del FBI en la sección 2 del Contenido: un proyecto que empezó con un objetivo acotado, cambió su alcance a construir un sistema completamente nuevo, acumuló un documento de requisitos de más de 800 páginas y cerca de 400 pedidos de cambio en un año, y fue abandonado en 2005 después de gastar unos 170 millones de dólares.</w:t>
            </w:r>
          </w:p>
        </w:tc>
      </w:tr>
    </w:tbl>
    <w:p>
      <w:pPr>
        <w:spacing w:after="80"/>
      </w:pP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1.</w:t>
        <w:tab/>
      </w:r>
      <w:r>
        <w:rPr>
          <w:rFonts w:ascii="Calibri" w:hAnsi="Calibri"/>
          <w:sz w:val="22"/>
        </w:rPr>
        <w:t>Identificá dos señales de expansión descontrolada del alcance en el caso.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2.</w:t>
        <w:tab/>
      </w:r>
      <w:r>
        <w:rPr>
          <w:rFonts w:ascii="Calibri" w:hAnsi="Calibri"/>
          <w:sz w:val="22"/>
        </w:rPr>
        <w:t>Explicá por qué un documento de requisitos de 800 páginas que especificaba hasta el color de los botones es un problema desde la idea de alcance del módulo.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3.</w:t>
        <w:tab/>
      </w:r>
      <w:r>
        <w:rPr>
          <w:rFonts w:ascii="Calibri" w:hAnsi="Calibri"/>
          <w:sz w:val="22"/>
        </w:rPr>
        <w:t>Proponé dos prácticas vistas en el módulo que podrían haber ayudado. Relacioná cada una con un principio del Manifiesto.</w:t>
      </w:r>
    </w:p>
    <w:p>
      <w:pPr>
        <w:tabs>
          <w:tab w:pos="425" w:val="left"/>
        </w:tabs>
        <w:spacing w:after="100"/>
        <w:ind w:left="425" w:hanging="312"/>
      </w:pPr>
      <w:r>
        <w:rPr>
          <w:b/>
        </w:rPr>
        <w:t>4.</w:t>
        <w:tab/>
      </w:r>
      <w:r>
        <w:rPr>
          <w:rFonts w:ascii="Calibri" w:hAnsi="Calibri"/>
          <w:sz w:val="22"/>
        </w:rPr>
        <w:t>¿El caso demuestra que un enfoque ágil lo habría salvado con seguridad? Explicá qué se puede aprender y qué no se puede concluir.</w:t>
      </w:r>
    </w:p>
    <w:p>
      <w:pPr>
        <w:pStyle w:val="Heading1"/>
        <w:keepNext/>
        <w:shd w:fill="EAF4FA"/>
      </w:pPr>
      <w:bookmarkStart w:id="6" w:name="seccion-6"/>
      <w:r>
        <w:rPr>
          <w:rFonts w:ascii="Calibri" w:hAnsi="Calibri"/>
          <w:b/>
          <w:color w:val="173F67"/>
          <w:sz w:val="34"/>
        </w:rPr>
        <w:t>Antes de terminar</w:t>
      </w:r>
      <w:bookmarkEnd w:id="6"/>
    </w:p>
    <w:p>
      <w:pPr>
        <w:spacing w:line="278" w:lineRule="auto" w:after="140"/>
      </w:pPr>
      <w:r>
        <w:rPr>
          <w:rFonts w:ascii="Calibri" w:hAnsi="Calibri"/>
          <w:sz w:val="22"/>
        </w:rPr>
        <w:t>Estas actividades no tienen una única respuesta correcta: cada resolución puede ser distinta si está bien fundamentada en el Contenido del módulo. Si querés comparar tu trabajo, podés pedirle al profesor sus respuestas orientativas.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left w:val="single" w:sz="36" w:color="3A5BA0"/>
              <w:top w:val="single" w:sz="4" w:color="3A5BA0"/>
              <w:bottom w:val="single" w:sz="4" w:color="3A5BA0"/>
              <w:right w:val="single" w:sz="4" w:color="3A5BA0"/>
            </w:tcBorders>
            <w:shd w:val="clear" w:fill="EEF2FB"/>
            <w:tcMar>
              <w:top w:w="140" w:type="dxa"/>
              <w:bottom w:w="100" w:type="dxa"/>
              <w:left w:w="220" w:type="dxa"/>
              <w:right w:w="20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3A5BA0"/>
                <w:sz w:val="23"/>
              </w:rPr>
              <w:t>Para revisar tu trabajo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3A5BA0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¿Podés distinguir proyecto, producto y operación en un caso nuevo?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3A5BA0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¿Tus criterios de aceptación se pueden comprobar sin discusión?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3A5BA0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¿Justificaste la elección del enfoque con la incertidumbre y el costo de cambiar, y no con preferencias?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3A5BA0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¿Separaste actividad, resultado y beneficio?</w:t>
            </w:r>
          </w:p>
          <w:p>
            <w:pPr>
              <w:tabs>
                <w:tab w:pos="340" w:val="left"/>
              </w:tabs>
              <w:spacing w:after="80"/>
              <w:ind w:left="340" w:hanging="255"/>
            </w:pPr>
            <w:r>
              <w:rPr>
                <w:b/>
                <w:color w:val="3A5BA0"/>
                <w:sz w:val="21"/>
              </w:rPr>
              <w:t>•</w:t>
              <w:tab/>
            </w:r>
            <w:r>
              <w:rPr>
                <w:rFonts w:ascii="Calibri" w:hAnsi="Calibri"/>
                <w:sz w:val="22"/>
              </w:rPr>
              <w:t>¿Al analizar el caso real, distinguiste lo que pasó de lo que no se puede concluir?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73F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1 Actividades formativas</dc:title>
  <dc:subject>Actividades formativas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