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keepNext/>
        <w:spacing w:before="1701"/>
      </w:pPr>
      <w:r>
        <w:rPr>
          <w:rFonts w:ascii="Calibri" w:hAnsi="Calibri"/>
          <w:b w:val="0"/>
          <w:color w:val="536173"/>
          <w:sz w:val="26"/>
        </w:rPr>
        <w:t>Gestión de Proyectos Ágiles</w:t>
      </w:r>
    </w:p>
    <w:p>
      <w:r>
        <w:rPr>
          <w:color w:val="12655D"/>
          <w:sz w:val="32"/>
        </w:rPr>
        <w:t>Módulo 2</w:t>
      </w:r>
    </w:p>
    <w:p>
      <w:pPr>
        <w:pStyle w:val="Title"/>
        <w:keepNext/>
        <w:spacing w:before="280" w:after="280"/>
      </w:pPr>
      <w:r>
        <w:rPr>
          <w:rFonts w:ascii="Calibri" w:hAnsi="Calibri"/>
          <w:b w:val="0"/>
          <w:color w:val="000000"/>
          <w:sz w:val="58"/>
        </w:rPr>
        <w:t>Metodologías y Marcos de Trabajo Ágiles</w:t>
      </w:r>
    </w:p>
    <w:p>
      <w:pPr>
        <w:pStyle w:val="Subtitle"/>
        <w:keepNext/>
      </w:pPr>
      <w:r>
        <w:rPr>
          <w:rFonts w:ascii="Calibri" w:hAnsi="Calibri"/>
          <w:b w:val="0"/>
          <w:color w:val="536173"/>
          <w:sz w:val="26"/>
        </w:rPr>
        <w:t>Microobjetivos</w:t>
      </w:r>
    </w:p>
    <w:p>
      <w:r>
        <w:br w:type="page"/>
      </w:r>
    </w:p>
    <w:p>
      <w:pPr>
        <w:pStyle w:val="Heading1"/>
        <w:keepNext/>
        <w:shd w:fill="EAF4FA"/>
      </w:pPr>
      <w:r>
        <w:rPr>
          <w:rFonts w:ascii="Calibri" w:hAnsi="Calibri"/>
          <w:b/>
          <w:color w:val="12655D"/>
          <w:sz w:val="34"/>
        </w:rPr>
        <w:t>Microobjetivos</w:t>
      </w:r>
    </w:p>
    <w:p>
      <w:pPr>
        <w:numPr>
          <w:ilvl w:val="0"/>
          <w:numId w:val="10"/>
        </w:numPr>
        <w:spacing w:line="278" w:lineRule="auto" w:after="140"/>
      </w:pPr>
      <w:r>
        <w:rPr>
          <w:rFonts w:ascii="Calibri" w:hAnsi="Calibri"/>
          <w:sz w:val="22"/>
        </w:rPr>
        <w:t>Entender las distintas metodologías y marcos ágiles del mercado actual y el problema que resuelve cada uno.</w:t>
      </w:r>
    </w:p>
    <w:p>
      <w:pPr>
        <w:numPr>
          <w:ilvl w:val="0"/>
          <w:numId w:val="10"/>
        </w:numPr>
        <w:spacing w:line="278" w:lineRule="auto" w:after="140"/>
      </w:pPr>
      <w:r>
        <w:rPr>
          <w:rFonts w:ascii="Calibri" w:hAnsi="Calibri"/>
          <w:sz w:val="22"/>
        </w:rPr>
        <w:t>Explicar cómo funciona Scrum a partir de sus fundamentos, responsabilidades, artefactos y eventos.</w:t>
      </w:r>
    </w:p>
    <w:p>
      <w:pPr>
        <w:numPr>
          <w:ilvl w:val="0"/>
          <w:numId w:val="10"/>
        </w:numPr>
        <w:spacing w:line="278" w:lineRule="auto" w:after="140"/>
      </w:pPr>
      <w:r>
        <w:rPr>
          <w:rFonts w:ascii="Calibri" w:hAnsi="Calibri"/>
          <w:sz w:val="22"/>
        </w:rPr>
        <w:t>Comprender cómo Kanban, XP y Lean mejoran el flujo, la calidad técnica y el valor del trabajo.</w:t>
      </w:r>
    </w:p>
    <w:p>
      <w:pPr>
        <w:numPr>
          <w:ilvl w:val="0"/>
          <w:numId w:val="10"/>
        </w:numPr>
        <w:spacing w:line="278" w:lineRule="auto" w:after="140"/>
      </w:pPr>
      <w:r>
        <w:rPr>
          <w:rFonts w:ascii="Calibri" w:hAnsi="Calibri"/>
          <w:sz w:val="22"/>
        </w:rPr>
        <w:t>Comparar los enfoques ágiles para elegir o combinar el más adecuado en un contexto concreto.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36173"/>
        <w:sz w:val="16"/>
      </w:rPr>
      <w:t xml:space="preserve">Gestión de Proyectos Ágiles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pPr>
        <w:ind w:left="380" w:hanging="220"/>
      </w:p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40"/>
    </w:pPr>
    <w:rPr>
      <w:rFonts w:ascii="Calibri" w:hAnsi="Calibri"/>
      <w:color w:val="17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="Calibri" w:hAnsi="Calibri"/>
      <w:b/>
      <w:bCs/>
      <w:color w:val="1265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="Calibri" w:hAnsi="Calibri"/>
      <w:b/>
      <w:bCs/>
      <w:color w:val="1265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40"/>
      <w:outlineLvl w:val="2"/>
    </w:pPr>
    <w:rPr>
      <w:rFonts w:ascii="Calibri" w:hAnsi="Calibri"/>
      <w:b/>
      <w:bCs/>
      <w:color w:val="5D3E8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spacing w:after="140" w:line="240" w:lineRule="auto" w:before="120"/>
      <w:contextualSpacing/>
    </w:pPr>
    <w:rPr>
      <w:rFonts w:ascii="Calibri" w:hAnsi="Calibri"/>
      <w:b w:val="0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120" w:after="140"/>
    </w:pPr>
    <w:rPr>
      <w:rFonts w:ascii="Calibri" w:hAnsi="Calibri"/>
      <w:b w:val="0"/>
      <w:i/>
      <w:iCs/>
      <w:color w:val="53617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200"/>
    </w:pPr>
    <w:rPr>
      <w:rFonts w:ascii="Calibri" w:hAnsi="Calibri"/>
      <w:b/>
      <w:bCs/>
      <w:color w:val="5361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245E9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Gestión de Proyectos Ágiles Módulo 2 Microobjetivos</dc:title>
  <dc:subject>Microobjetivos de Gestión de Proyectos Ágiles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es-AR</dc:language>
</cp:coreProperties>
</file>