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5D3E83"/>
          <w:sz w:val="32"/>
        </w:rPr>
        <w:t>Módulo 3</w:t>
      </w:r>
    </w:p>
    <w:p>
      <w:pPr>
        <w:pStyle w:val="Title"/>
        <w:keepNext/>
        <w:spacing w:before="280" w:after="280"/>
      </w:pPr>
      <w:r>
        <w:rPr>
          <w:rFonts w:ascii="Calibri" w:hAnsi="Calibri"/>
          <w:b w:val="0"/>
          <w:color w:val="000000"/>
          <w:sz w:val="58"/>
        </w:rPr>
        <w:t>Planificación Ágil y Gestión del Producto</w:t>
      </w:r>
    </w:p>
    <w:p>
      <w:pPr>
        <w:pStyle w:val="Subtitle"/>
        <w:keepNext/>
      </w:pPr>
      <w:r>
        <w:rPr>
          <w:rFonts w:ascii="Calibri" w:hAnsi="Calibri"/>
          <w:b w:val="0"/>
          <w:color w:val="536173"/>
          <w:sz w:val="26"/>
        </w:rPr>
        <w:t>Prácticas autónomas de aplicación</w:t>
      </w:r>
    </w:p>
    <w:p>
      <w:pPr>
        <w:pStyle w:val="Subtitle"/>
        <w:keepNext/>
      </w:pPr>
      <w:r>
        <w:rPr>
          <w:rFonts w:ascii="Calibri" w:hAnsi="Calibri"/>
          <w:b w:val="0"/>
          <w:color w:val="536173"/>
          <w:sz w:val="26"/>
        </w:rPr>
        <w:t>Actividades formativas</w:t>
      </w:r>
    </w:p>
    <w:p>
      <w:r>
        <w:br w:type="page"/>
      </w:r>
    </w:p>
    <w:p>
      <w:pPr>
        <w:pStyle w:val="Heading1"/>
        <w:keepNext/>
      </w:pPr>
      <w:r>
        <w:rPr>
          <w:rFonts w:ascii="Calibri" w:hAnsi="Calibri"/>
          <w:b/>
          <w:color w:val="5D3E83"/>
          <w:sz w:val="34"/>
        </w:rPr>
        <w:t>Actividades formativas</w:t>
      </w:r>
    </w:p>
    <w:p>
      <w:pPr>
        <w:spacing w:after="80"/>
      </w:pPr>
      <w:hyperlink w:anchor="seccion-1">
        <w:r>
          <w:rPr>
            <w:rStyle w:val="Hyperlink"/>
          </w:rPr>
          <w:t xml:space="preserve">Actividad 1: De una idea a una visión y un objetivo</w:t>
        </w:r>
      </w:hyperlink>
    </w:p>
    <w:p>
      <w:pPr>
        <w:spacing w:after="80"/>
      </w:pPr>
      <w:hyperlink w:anchor="seccion-2">
        <w:r>
          <w:rPr>
            <w:rStyle w:val="Hyperlink"/>
          </w:rPr>
          <w:t xml:space="preserve">Actividad 2: Escribir historias y comprobar la calidad</w:t>
        </w:r>
      </w:hyperlink>
    </w:p>
    <w:p>
      <w:pPr>
        <w:spacing w:after="80"/>
      </w:pPr>
      <w:hyperlink w:anchor="seccion-3">
        <w:r>
          <w:rPr>
            <w:rStyle w:val="Hyperlink"/>
          </w:rPr>
          <w:t xml:space="preserve">Actividad 3: Priorizar sin que la técnica decida sola</w:t>
        </w:r>
      </w:hyperlink>
    </w:p>
    <w:p>
      <w:pPr>
        <w:spacing w:after="80"/>
      </w:pPr>
      <w:hyperlink w:anchor="seccion-4">
        <w:r>
          <w:rPr>
            <w:rStyle w:val="Hyperlink"/>
          </w:rPr>
          <w:t xml:space="preserve">Actividad 4: Diseñar el MVP y el lanzamiento</w:t>
        </w:r>
      </w:hyperlink>
    </w:p>
    <w:p>
      <w:pPr>
        <w:spacing w:after="80"/>
      </w:pPr>
      <w:hyperlink w:anchor="seccion-5">
        <w:r>
          <w:rPr>
            <w:rStyle w:val="Hyperlink"/>
          </w:rPr>
          <w:t xml:space="preserve">Antes de terminar</w:t>
        </w:r>
      </w:hyperlink>
    </w:p>
    <w:p>
      <w:r>
        <w:br w:type="page"/>
      </w:r>
    </w:p>
    <w:p>
      <w:pPr>
        <w:spacing w:line="278" w:lineRule="auto" w:after="140"/>
      </w:pPr>
      <w:r>
        <w:rPr>
          <w:rFonts w:ascii="Calibri" w:hAnsi="Calibri"/>
          <w:sz w:val="22"/>
        </w:rPr>
        <w:t>En estas actividades vas a convertir una idea en decisiones de producto: una visión, un backlog con historias verificables, un orden de prioridades y un experimento para aprender antes de invertir.</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Cómo usar estas actividades</w:t>
            </w:r>
          </w:p>
          <w:p>
            <w:pPr>
              <w:tabs>
                <w:tab w:pos="340" w:val="left"/>
              </w:tabs>
              <w:spacing w:after="80"/>
              <w:ind w:left="340" w:hanging="255"/>
            </w:pPr>
            <w:r>
              <w:rPr>
                <w:b/>
                <w:color w:val="1F4E86"/>
                <w:sz w:val="21"/>
              </w:rPr>
              <w:t>•</w:t>
              <w:tab/>
            </w:r>
            <w:r>
              <w:rPr>
                <w:rFonts w:ascii="Calibri" w:hAnsi="Calibri"/>
                <w:sz w:val="22"/>
              </w:rPr>
              <w:t>Son prácticas para vos: no se entregan y no tienen nota.</w:t>
            </w:r>
          </w:p>
          <w:p>
            <w:pPr>
              <w:tabs>
                <w:tab w:pos="340" w:val="left"/>
              </w:tabs>
              <w:spacing w:after="80"/>
              <w:ind w:left="340" w:hanging="255"/>
            </w:pPr>
            <w:r>
              <w:rPr>
                <w:b/>
                <w:color w:val="1F4E86"/>
                <w:sz w:val="21"/>
              </w:rPr>
              <w:t>•</w:t>
              <w:tab/>
            </w:r>
            <w:r>
              <w:rPr>
                <w:rFonts w:ascii="Calibri" w:hAnsi="Calibri"/>
                <w:sz w:val="22"/>
              </w:rPr>
              <w:t>Resolvé cada consigna en un borrador y usá la lista del final para revisar tu trabajo.</w:t>
            </w:r>
          </w:p>
          <w:p>
            <w:pPr>
              <w:tabs>
                <w:tab w:pos="340" w:val="left"/>
              </w:tabs>
              <w:spacing w:after="80"/>
              <w:ind w:left="340" w:hanging="255"/>
            </w:pPr>
            <w:r>
              <w:rPr>
                <w:b/>
                <w:color w:val="1F4E86"/>
                <w:sz w:val="21"/>
              </w:rPr>
              <w:t>•</w:t>
              <w:tab/>
            </w:r>
            <w:r>
              <w:rPr>
                <w:rFonts w:ascii="Calibri" w:hAnsi="Calibri"/>
                <w:sz w:val="22"/>
              </w:rPr>
              <w:t>Todas se pueden resolver con el Contenido del módulo. Los datos de las situaciones son didácticos y no describen resultados reales de la universidad.</w:t>
            </w:r>
          </w:p>
          <w:p>
            <w:pPr>
              <w:tabs>
                <w:tab w:pos="340" w:val="left"/>
              </w:tabs>
              <w:spacing w:after="80"/>
              <w:ind w:left="340" w:hanging="255"/>
            </w:pPr>
            <w:r>
              <w:rPr>
                <w:b/>
                <w:color w:val="1F4E86"/>
                <w:sz w:val="21"/>
              </w:rPr>
              <w:t>•</w:t>
              <w:tab/>
            </w:r>
            <w:r>
              <w:rPr>
                <w:rFonts w:ascii="Calibri" w:hAnsi="Calibri"/>
                <w:sz w:val="22"/>
              </w:rPr>
              <w:t>No hay una única respuesta correcta: lo importante es que cada decisión esté fundamentada en el Contenido.</w:t>
            </w:r>
          </w:p>
        </w:tc>
      </w:tr>
    </w:tbl>
    <w:p>
      <w:pPr>
        <w:spacing w:after="80"/>
      </w:pPr>
    </w:p>
    <w:p>
      <w:pPr>
        <w:pStyle w:val="Heading1"/>
        <w:keepNext/>
        <w:shd w:fill="EAF4FA"/>
      </w:pPr>
      <w:bookmarkStart w:id="1" w:name="seccion-1"/>
      <w:r>
        <w:rPr>
          <w:rFonts w:ascii="Calibri" w:hAnsi="Calibri"/>
          <w:b/>
          <w:color w:val="5D3E83"/>
          <w:sz w:val="34"/>
        </w:rPr>
        <w:t>Actividad 1: De una idea a una visión y un objetivo</w:t>
      </w:r>
      <w:bookmarkEnd w:id="1"/>
    </w:p>
    <w:p>
      <w:pPr>
        <w:spacing w:line="278" w:lineRule="auto" w:after="140"/>
      </w:pPr>
      <w:r>
        <w:rPr>
          <w:rFonts w:ascii="Calibri" w:hAnsi="Calibri"/>
          <w:b/>
          <w:color w:val="12655D"/>
          <w:sz w:val="22"/>
        </w:rPr>
        <w:t>Qué vas a practicar:</w:t>
      </w:r>
      <w:r>
        <w:rPr>
          <w:rFonts w:ascii="Calibri" w:hAnsi="Calibri"/>
          <w:sz w:val="22"/>
        </w:rPr>
        <w:t xml:space="preserve"> formular una visión, un objetivo medible y un roadmap.</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Alguien propone "hacer un chatbot moderno". En entrevistas, los estudiantes cuentan que no encuentran los requisitos de inscripción actualizados. En una prueba inicial, 10 de 20 estudiantes encontraron la información correcta sin ayuda. El equipo quiere saber si el asistente puede mejorar esa experiencia.</w:t>
            </w:r>
          </w:p>
        </w:tc>
      </w:tr>
    </w:tbl>
    <w:p>
      <w:pPr>
        <w:spacing w:after="80"/>
      </w:pPr>
    </w:p>
    <w:p>
      <w:pPr>
        <w:tabs>
          <w:tab w:pos="425" w:val="left"/>
        </w:tabs>
        <w:spacing w:after="100"/>
        <w:ind w:left="425" w:hanging="312"/>
      </w:pPr>
      <w:r>
        <w:rPr>
          <w:b/>
        </w:rPr>
        <w:t>1.</w:t>
        <w:tab/>
      </w:r>
      <w:r>
        <w:rPr>
          <w:rFonts w:ascii="Calibri" w:hAnsi="Calibri"/>
          <w:sz w:val="22"/>
        </w:rPr>
        <w:t>Reescribí la idea como visión, usando el formato de Geoffrey Moore del módulo: para quién, qué necesidad, qué es el producto, qué beneficio da y en qué se diferencia de la alternativa actual.</w:t>
      </w:r>
    </w:p>
    <w:p>
      <w:pPr>
        <w:tabs>
          <w:tab w:pos="425" w:val="left"/>
        </w:tabs>
        <w:spacing w:after="100"/>
        <w:ind w:left="425" w:hanging="312"/>
      </w:pPr>
      <w:r>
        <w:rPr>
          <w:b/>
        </w:rPr>
        <w:t>2.</w:t>
        <w:tab/>
      </w:r>
      <w:r>
        <w:rPr>
          <w:rFonts w:ascii="Calibri" w:hAnsi="Calibri"/>
          <w:sz w:val="22"/>
        </w:rPr>
        <w:t xml:space="preserve">Al estilo del método </w:t>
      </w:r>
      <w:r>
        <w:rPr>
          <w:rFonts w:ascii="Calibri" w:hAnsi="Calibri"/>
          <w:i/>
          <w:sz w:val="22"/>
        </w:rPr>
        <w:t>Working Backwards</w:t>
      </w:r>
      <w:r>
        <w:rPr>
          <w:rFonts w:ascii="Calibri" w:hAnsi="Calibri"/>
          <w:sz w:val="22"/>
        </w:rPr>
        <w:t xml:space="preserve"> de Amazon, escribí el título y dos oraciones del comunicado de prensa que anunciaría el asistente, con palabras de estudiante.</w:t>
      </w:r>
    </w:p>
    <w:p>
      <w:pPr>
        <w:tabs>
          <w:tab w:pos="425" w:val="left"/>
        </w:tabs>
        <w:spacing w:after="100"/>
        <w:ind w:left="425" w:hanging="312"/>
      </w:pPr>
      <w:r>
        <w:rPr>
          <w:b/>
        </w:rPr>
        <w:t>3.</w:t>
        <w:tab/>
      </w:r>
      <w:r>
        <w:rPr>
          <w:rFonts w:ascii="Calibri" w:hAnsi="Calibri"/>
          <w:sz w:val="22"/>
        </w:rPr>
        <w:t>Proponé un objetivo medible para un piloto de seis semanas a partir del dato inicial. Indicá cuál es la línea de base y cuál la meta.</w:t>
      </w:r>
    </w:p>
    <w:p>
      <w:pPr>
        <w:tabs>
          <w:tab w:pos="425" w:val="left"/>
        </w:tabs>
        <w:spacing w:after="100"/>
        <w:ind w:left="425" w:hanging="312"/>
      </w:pPr>
      <w:r>
        <w:rPr>
          <w:b/>
        </w:rPr>
        <w:t>4.</w:t>
        <w:tab/>
      </w:r>
      <w:r>
        <w:rPr>
          <w:rFonts w:ascii="Calibri" w:hAnsi="Calibri"/>
          <w:sz w:val="22"/>
        </w:rPr>
        <w:t>Elegí una métrica de beneficio para estudiantes y otra de calidad de las respuestas. Explicá por qué "documentos cargados" no reemplaza a ninguna de las dos.</w:t>
      </w:r>
    </w:p>
    <w:p>
      <w:pPr>
        <w:tabs>
          <w:tab w:pos="425" w:val="left"/>
        </w:tabs>
        <w:spacing w:after="100"/>
        <w:ind w:left="425" w:hanging="312"/>
      </w:pPr>
      <w:r>
        <w:rPr>
          <w:b/>
        </w:rPr>
        <w:t>5.</w:t>
        <w:tab/>
      </w:r>
      <w:r>
        <w:rPr>
          <w:rFonts w:ascii="Calibri" w:hAnsi="Calibri"/>
          <w:sz w:val="22"/>
        </w:rPr>
        <w:t>Armá un roadmap "ahora, próximo, después". ¿Qué evidencia necesitarías para pasar de inscripciones a otros trámites?</w:t>
      </w:r>
    </w:p>
    <w:p>
      <w:pPr>
        <w:pStyle w:val="Heading1"/>
        <w:keepNext/>
        <w:shd w:fill="EAF4FA"/>
      </w:pPr>
      <w:bookmarkStart w:id="2" w:name="seccion-2"/>
      <w:r>
        <w:rPr>
          <w:rFonts w:ascii="Calibri" w:hAnsi="Calibri"/>
          <w:b/>
          <w:color w:val="5D3E83"/>
          <w:sz w:val="34"/>
        </w:rPr>
        <w:t>Actividad 2: Escribir historias y comprobar la calidad</w:t>
      </w:r>
      <w:bookmarkEnd w:id="2"/>
    </w:p>
    <w:p>
      <w:pPr>
        <w:spacing w:line="278" w:lineRule="auto" w:after="140"/>
      </w:pPr>
      <w:r>
        <w:rPr>
          <w:rFonts w:ascii="Calibri" w:hAnsi="Calibri"/>
          <w:b/>
          <w:color w:val="12655D"/>
          <w:sz w:val="22"/>
        </w:rPr>
        <w:t>Qué vas a practicar:</w:t>
      </w:r>
      <w:r>
        <w:rPr>
          <w:rFonts w:ascii="Calibri" w:hAnsi="Calibri"/>
          <w:sz w:val="22"/>
        </w:rPr>
        <w:t xml:space="preserve"> dividir el trabajo en niveles, escribir historias y criterios de aceptación, y distinguir criterios, Definition of Done y Definition of Ready.</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El Product Backlog tiene un elemento que dice "resolver todas las consultas académicas". El equipo usa historias de usuario para conversar sobre las necesidades y una Definition of Ready como acuerdo de preparación. Recordá que estas dos prácticas son opcionales en Scrum; la Definition of Done, en cambio, es obligatoria.</w:t>
            </w:r>
          </w:p>
        </w:tc>
      </w:tr>
    </w:tbl>
    <w:p>
      <w:pPr>
        <w:spacing w:after="80"/>
      </w:pPr>
    </w:p>
    <w:p>
      <w:pPr>
        <w:tabs>
          <w:tab w:pos="425" w:val="left"/>
        </w:tabs>
        <w:spacing w:after="100"/>
        <w:ind w:left="425" w:hanging="312"/>
      </w:pPr>
      <w:r>
        <w:rPr>
          <w:b/>
        </w:rPr>
        <w:t>1.</w:t>
        <w:tab/>
      </w:r>
      <w:r>
        <w:rPr>
          <w:rFonts w:ascii="Calibri" w:hAnsi="Calibri"/>
          <w:sz w:val="22"/>
        </w:rPr>
        <w:t>Identificá en el caso una épica, una funcionalidad, dos historias de usuario y una tarea técnica.</w:t>
      </w:r>
    </w:p>
    <w:p>
      <w:pPr>
        <w:tabs>
          <w:tab w:pos="425" w:val="left"/>
        </w:tabs>
        <w:spacing w:after="100"/>
        <w:ind w:left="425" w:hanging="312"/>
      </w:pPr>
      <w:r>
        <w:rPr>
          <w:b/>
        </w:rPr>
        <w:t>2.</w:t>
        <w:tab/>
      </w:r>
      <w:r>
        <w:rPr>
          <w:rFonts w:ascii="Calibri" w:hAnsi="Calibri"/>
          <w:sz w:val="22"/>
        </w:rPr>
        <w:t>Revisá una de tus historias con las seis letras de INVEST. Si todavía no es estimable o testeable, indicá qué conversación o información falta.</w:t>
      </w:r>
    </w:p>
    <w:p>
      <w:pPr>
        <w:tabs>
          <w:tab w:pos="425" w:val="left"/>
        </w:tabs>
        <w:spacing w:after="100"/>
        <w:ind w:left="425" w:hanging="312"/>
      </w:pPr>
      <w:r>
        <w:rPr>
          <w:b/>
        </w:rPr>
        <w:t>3.</w:t>
        <w:tab/>
      </w:r>
      <w:r>
        <w:rPr>
          <w:rFonts w:ascii="Calibri" w:hAnsi="Calibri"/>
          <w:sz w:val="22"/>
        </w:rPr>
        <w:t>Escribí tres criterios de aceptación con el formato Dado, Cuando, Entonces: una respuesta con fuente vigente, una consulta sin fuente disponible y una consulta fuera del alcance del piloto.</w:t>
      </w:r>
    </w:p>
    <w:p>
      <w:pPr>
        <w:tabs>
          <w:tab w:pos="425" w:val="left"/>
        </w:tabs>
        <w:spacing w:after="100"/>
        <w:ind w:left="425" w:hanging="312"/>
      </w:pPr>
      <w:r>
        <w:rPr>
          <w:b/>
        </w:rPr>
        <w:t>4.</w:t>
        <w:tab/>
      </w:r>
      <w:r>
        <w:rPr>
          <w:rFonts w:ascii="Calibri" w:hAnsi="Calibri"/>
          <w:sz w:val="22"/>
        </w:rPr>
        <w:t>Clasificá estos tres acuerdos como criterio de aceptación, parte de la Definition of Done o parte de la Definition of Ready:</w:t>
      </w:r>
    </w:p>
    <w:p>
      <w:pPr>
        <w:tabs>
          <w:tab w:pos="794" w:val="left"/>
        </w:tabs>
        <w:spacing w:after="60"/>
        <w:ind w:left="794" w:hanging="255"/>
      </w:pPr>
      <w:r>
        <w:rPr>
          <w:b/>
          <w:color w:val="12655D"/>
        </w:rPr>
        <w:t>◦</w:t>
        <w:tab/>
      </w:r>
      <w:r>
        <w:rPr>
          <w:rFonts w:ascii="Calibri" w:hAnsi="Calibri"/>
          <w:b/>
          <w:color w:val="12655D"/>
          <w:sz w:val="22"/>
        </w:rPr>
        <w:t>a)</w:t>
      </w:r>
      <w:r>
        <w:rPr>
          <w:rFonts w:ascii="Calibri" w:hAnsi="Calibri"/>
          <w:sz w:val="22"/>
        </w:rPr>
        <w:t xml:space="preserve"> "La respuesta incluye el enlace oficial de inscripción."</w:t>
      </w:r>
    </w:p>
    <w:p>
      <w:pPr>
        <w:tabs>
          <w:tab w:pos="794" w:val="left"/>
        </w:tabs>
        <w:spacing w:after="60"/>
        <w:ind w:left="794" w:hanging="255"/>
      </w:pPr>
      <w:r>
        <w:rPr>
          <w:b/>
          <w:color w:val="12655D"/>
        </w:rPr>
        <w:t>◦</w:t>
        <w:tab/>
      </w:r>
      <w:r>
        <w:rPr>
          <w:rFonts w:ascii="Calibri" w:hAnsi="Calibri"/>
          <w:b/>
          <w:color w:val="12655D"/>
          <w:sz w:val="22"/>
        </w:rPr>
        <w:t>b)</w:t>
      </w:r>
      <w:r>
        <w:rPr>
          <w:rFonts w:ascii="Calibri" w:hAnsi="Calibri"/>
          <w:sz w:val="22"/>
        </w:rPr>
        <w:t xml:space="preserve"> "El incremento pasa todas las pruebas automáticas y la revisión de código."</w:t>
      </w:r>
    </w:p>
    <w:p>
      <w:pPr>
        <w:tabs>
          <w:tab w:pos="794" w:val="left"/>
        </w:tabs>
        <w:spacing w:after="60"/>
        <w:ind w:left="794" w:hanging="255"/>
      </w:pPr>
      <w:r>
        <w:rPr>
          <w:b/>
          <w:color w:val="12655D"/>
        </w:rPr>
        <w:t>◦</w:t>
        <w:tab/>
      </w:r>
      <w:r>
        <w:rPr>
          <w:rFonts w:ascii="Calibri" w:hAnsi="Calibri"/>
          <w:b/>
          <w:color w:val="12655D"/>
          <w:sz w:val="22"/>
        </w:rPr>
        <w:t>c)</w:t>
      </w:r>
      <w:r>
        <w:rPr>
          <w:rFonts w:ascii="Calibri" w:hAnsi="Calibri"/>
          <w:sz w:val="22"/>
        </w:rPr>
        <w:t xml:space="preserve"> "Antes de elegir la historia, conocemos la fuente autorizada."</w:t>
      </w:r>
    </w:p>
    <w:p>
      <w:pPr>
        <w:tabs>
          <w:tab w:pos="425" w:val="left"/>
        </w:tabs>
        <w:spacing w:after="100"/>
        <w:ind w:left="425" w:hanging="312"/>
      </w:pPr>
      <w:r>
        <w:rPr>
          <w:b/>
        </w:rPr>
        <w:t>5.</w:t>
        <w:tab/>
      </w:r>
      <w:r>
        <w:rPr>
          <w:rFonts w:ascii="Calibri" w:hAnsi="Calibri"/>
          <w:sz w:val="22"/>
        </w:rPr>
        <w:t>¿Qué pasa si una historia cumple sus criterios de aceptación pero no la Definition of Done?</w:t>
      </w:r>
    </w:p>
    <w:p>
      <w:pPr>
        <w:pStyle w:val="Heading1"/>
        <w:keepNext/>
        <w:shd w:fill="EAF4FA"/>
      </w:pPr>
      <w:bookmarkStart w:id="3" w:name="seccion-3"/>
      <w:r>
        <w:rPr>
          <w:rFonts w:ascii="Calibri" w:hAnsi="Calibri"/>
          <w:b/>
          <w:color w:val="5D3E83"/>
          <w:sz w:val="34"/>
        </w:rPr>
        <w:t>Actividad 3: Priorizar sin que la técnica decida sola</w:t>
      </w:r>
      <w:bookmarkEnd w:id="3"/>
    </w:p>
    <w:p>
      <w:pPr>
        <w:spacing w:line="278" w:lineRule="auto" w:after="140"/>
      </w:pPr>
      <w:r>
        <w:rPr>
          <w:rFonts w:ascii="Calibri" w:hAnsi="Calibri"/>
          <w:b/>
          <w:color w:val="12655D"/>
          <w:sz w:val="22"/>
        </w:rPr>
        <w:t>Qué vas a practicar:</w:t>
      </w:r>
      <w:r>
        <w:rPr>
          <w:rFonts w:ascii="Calibri" w:hAnsi="Calibri"/>
          <w:sz w:val="22"/>
        </w:rPr>
        <w:t xml:space="preserve"> aplicar MoSCoW, WSJF, la matriz de valor y esfuerzo y el modelo de Kano.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El objetivo del piloto es orientar sobre inscripciones con fuentes verificadas y derivar a una persona cuando no hay respaldo. Mostrar la fuente y derivar son condiciones indispensables. El equipo estimó estos valores en una escala relativa (el tamaño no representa horas):</w:t>
            </w:r>
          </w:p>
          <w:p>
            <w:pPr>
              <w:tabs>
                <w:tab w:pos="340" w:val="left"/>
              </w:tabs>
              <w:spacing w:after="80"/>
              <w:ind w:left="340" w:hanging="255"/>
            </w:pPr>
            <w:r>
              <w:rPr>
                <w:b/>
                <w:color w:val="6A4A9C"/>
                <w:sz w:val="21"/>
              </w:rPr>
              <w:t>•</w:t>
              <w:tab/>
            </w:r>
            <w:r>
              <w:rPr>
                <w:rFonts w:ascii="Calibri" w:hAnsi="Calibri"/>
                <w:b/>
                <w:color w:val="6A4A9C"/>
                <w:sz w:val="22"/>
              </w:rPr>
              <w:t>A. Mostrar la fuente vigente:</w:t>
            </w:r>
            <w:r>
              <w:rPr>
                <w:rFonts w:ascii="Calibri" w:hAnsi="Calibri"/>
                <w:sz w:val="22"/>
              </w:rPr>
              <w:t xml:space="preserve"> valor 8, urgencia 5, reducción de riesgo 8, tamaño 3.</w:t>
            </w:r>
          </w:p>
          <w:p>
            <w:pPr>
              <w:tabs>
                <w:tab w:pos="340" w:val="left"/>
              </w:tabs>
              <w:spacing w:after="80"/>
              <w:ind w:left="340" w:hanging="255"/>
            </w:pPr>
            <w:r>
              <w:rPr>
                <w:b/>
                <w:color w:val="6A4A9C"/>
                <w:sz w:val="21"/>
              </w:rPr>
              <w:t>•</w:t>
              <w:tab/>
            </w:r>
            <w:r>
              <w:rPr>
                <w:rFonts w:ascii="Calibri" w:hAnsi="Calibri"/>
                <w:b/>
                <w:color w:val="6A4A9C"/>
                <w:sz w:val="22"/>
              </w:rPr>
              <w:t>B. Personalizar los colores:</w:t>
            </w:r>
            <w:r>
              <w:rPr>
                <w:rFonts w:ascii="Calibri" w:hAnsi="Calibri"/>
                <w:sz w:val="22"/>
              </w:rPr>
              <w:t xml:space="preserve"> valor 2, urgencia 1, reducción de riesgo 1, tamaño 2.</w:t>
            </w:r>
          </w:p>
          <w:p>
            <w:pPr>
              <w:tabs>
                <w:tab w:pos="340" w:val="left"/>
              </w:tabs>
              <w:spacing w:after="80"/>
              <w:ind w:left="340" w:hanging="255"/>
            </w:pPr>
            <w:r>
              <w:rPr>
                <w:b/>
                <w:color w:val="6A4A9C"/>
                <w:sz w:val="21"/>
              </w:rPr>
              <w:t>•</w:t>
              <w:tab/>
            </w:r>
            <w:r>
              <w:rPr>
                <w:rFonts w:ascii="Calibri" w:hAnsi="Calibri"/>
                <w:b/>
                <w:color w:val="6A4A9C"/>
                <w:sz w:val="22"/>
              </w:rPr>
              <w:t>C. Derivar cuando no hay respaldo:</w:t>
            </w:r>
            <w:r>
              <w:rPr>
                <w:rFonts w:ascii="Calibri" w:hAnsi="Calibri"/>
                <w:sz w:val="22"/>
              </w:rPr>
              <w:t xml:space="preserve"> valor 8, urgencia 8, reducción de riesgo 5, tamaño 3.</w:t>
            </w:r>
          </w:p>
          <w:p>
            <w:pPr>
              <w:tabs>
                <w:tab w:pos="340" w:val="left"/>
              </w:tabs>
              <w:spacing w:after="80"/>
              <w:ind w:left="340" w:hanging="255"/>
            </w:pPr>
            <w:r>
              <w:rPr>
                <w:b/>
                <w:color w:val="6A4A9C"/>
                <w:sz w:val="21"/>
              </w:rPr>
              <w:t>•</w:t>
              <w:tab/>
            </w:r>
            <w:r>
              <w:rPr>
                <w:rFonts w:ascii="Calibri" w:hAnsi="Calibri"/>
                <w:b/>
                <w:color w:val="6A4A9C"/>
                <w:sz w:val="22"/>
              </w:rPr>
              <w:t>D. Consultas sobre becas:</w:t>
            </w:r>
            <w:r>
              <w:rPr>
                <w:rFonts w:ascii="Calibri" w:hAnsi="Calibri"/>
                <w:sz w:val="22"/>
              </w:rPr>
              <w:t xml:space="preserve"> valor 5, urgencia 3, reducción de riesgo 2, tamaño 5.</w:t>
            </w:r>
          </w:p>
        </w:tc>
      </w:tr>
    </w:tbl>
    <w:p>
      <w:pPr>
        <w:spacing w:after="80"/>
      </w:pPr>
    </w:p>
    <w:p>
      <w:pPr>
        <w:tabs>
          <w:tab w:pos="425" w:val="left"/>
        </w:tabs>
        <w:spacing w:after="100"/>
        <w:ind w:left="425" w:hanging="312"/>
      </w:pPr>
      <w:r>
        <w:rPr>
          <w:b/>
        </w:rPr>
        <w:t>1.</w:t>
        <w:tab/>
      </w:r>
      <w:r>
        <w:rPr>
          <w:rFonts w:ascii="Calibri" w:hAnsi="Calibri"/>
          <w:sz w:val="22"/>
        </w:rPr>
        <w:t>Aplicá MoSCoW para este piloto y justificá las categorías. ¿Una categoría alcanza para definir el orden exacto?</w:t>
      </w:r>
    </w:p>
    <w:p>
      <w:pPr>
        <w:tabs>
          <w:tab w:pos="425" w:val="left"/>
        </w:tabs>
        <w:spacing w:after="100"/>
        <w:ind w:left="425" w:hanging="312"/>
      </w:pPr>
      <w:r>
        <w:rPr>
          <w:b/>
        </w:rPr>
        <w:t>2.</w:t>
        <w:tab/>
      </w:r>
      <w:r>
        <w:rPr>
          <w:rFonts w:ascii="Calibri" w:hAnsi="Calibri"/>
          <w:sz w:val="22"/>
        </w:rPr>
        <w:t>Calculá el WSJF de cada elemento como (valor + urgencia + reducción de riesgo) ÷ tamaño y ordenalos. Si hay empates, ¿qué información usarías para desempatar?</w:t>
      </w:r>
    </w:p>
    <w:p>
      <w:pPr>
        <w:tabs>
          <w:tab w:pos="425" w:val="left"/>
        </w:tabs>
        <w:spacing w:after="100"/>
        <w:ind w:left="425" w:hanging="312"/>
      </w:pPr>
      <w:r>
        <w:rPr>
          <w:b/>
        </w:rPr>
        <w:t>3.</w:t>
        <w:tab/>
      </w:r>
      <w:r>
        <w:rPr>
          <w:rFonts w:ascii="Calibri" w:hAnsi="Calibri"/>
          <w:sz w:val="22"/>
        </w:rPr>
        <w:t>Ubicá A, B y D en la matriz de valor y esfuerzo. ¿Que B sea chico lo vuelve prioritario?</w:t>
      </w:r>
    </w:p>
    <w:p>
      <w:pPr>
        <w:tabs>
          <w:tab w:pos="425" w:val="left"/>
        </w:tabs>
        <w:spacing w:after="100"/>
        <w:ind w:left="425" w:hanging="312"/>
      </w:pPr>
      <w:r>
        <w:rPr>
          <w:b/>
        </w:rPr>
        <w:t>4.</w:t>
        <w:tab/>
      </w:r>
      <w:r>
        <w:rPr>
          <w:rFonts w:ascii="Calibri" w:hAnsi="Calibri"/>
          <w:sz w:val="22"/>
        </w:rPr>
        <w:t>Según el modelo de Kano, ¿podés asegurar que los colores personalizados entusiasman a los estudiantes sin preguntarles? Formulá una hipótesis sobre una característica básica y explicá cómo la comprobarías.</w:t>
      </w:r>
    </w:p>
    <w:p>
      <w:pPr>
        <w:pStyle w:val="Heading1"/>
        <w:keepNext/>
        <w:shd w:fill="EAF4FA"/>
      </w:pPr>
      <w:bookmarkStart w:id="4" w:name="seccion-4"/>
      <w:r>
        <w:rPr>
          <w:rFonts w:ascii="Calibri" w:hAnsi="Calibri"/>
          <w:b/>
          <w:color w:val="5D3E83"/>
          <w:sz w:val="34"/>
        </w:rPr>
        <w:t>Actividad 4: Diseñar el MVP y el lanzamiento</w:t>
      </w:r>
      <w:bookmarkEnd w:id="4"/>
    </w:p>
    <w:p>
      <w:pPr>
        <w:spacing w:line="278" w:lineRule="auto" w:after="140"/>
      </w:pPr>
      <w:r>
        <w:rPr>
          <w:rFonts w:ascii="Calibri" w:hAnsi="Calibri"/>
          <w:b/>
          <w:color w:val="12655D"/>
          <w:sz w:val="22"/>
        </w:rPr>
        <w:t>Qué vas a practicar:</w:t>
      </w:r>
      <w:r>
        <w:rPr>
          <w:rFonts w:ascii="Calibri" w:hAnsi="Calibri"/>
          <w:sz w:val="22"/>
        </w:rPr>
        <w:t xml:space="preserve"> diseñar un producto mínimo viable, planificar un lanzamiento gradual y decidir frente a un cambio.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El asistente ya responde consultas básicas de inscripción. Se prepara un piloto con fuentes vigentes, derivación cuando falta respaldo y pruebas con estudiantes. Antes de abrirlo, la autoridad que patrocina el proyecto pide que el asistente también inscriba automáticamente en las materias. Esa función requiere permisos e integraciones que nadie investigó todavía.</w:t>
            </w:r>
          </w:p>
        </w:tc>
      </w:tr>
    </w:tbl>
    <w:p>
      <w:pPr>
        <w:spacing w:after="80"/>
      </w:pPr>
    </w:p>
    <w:p>
      <w:pPr>
        <w:tabs>
          <w:tab w:pos="425" w:val="left"/>
        </w:tabs>
        <w:spacing w:after="100"/>
        <w:ind w:left="425" w:hanging="312"/>
      </w:pPr>
      <w:r>
        <w:rPr>
          <w:b/>
        </w:rPr>
        <w:t>1.</w:t>
        <w:tab/>
      </w:r>
      <w:r>
        <w:rPr>
          <w:rFonts w:ascii="Calibri" w:hAnsi="Calibri"/>
          <w:sz w:val="22"/>
        </w:rPr>
        <w:t>Formulá la hipótesis que pondría a prueba el MVP. Indicá qué incluirías, qué dejarías afuera y qué observarías para decidir si ampliar, cambiar o detener.</w:t>
      </w:r>
    </w:p>
    <w:p>
      <w:pPr>
        <w:tabs>
          <w:tab w:pos="425" w:val="left"/>
        </w:tabs>
        <w:spacing w:after="100"/>
        <w:ind w:left="425" w:hanging="312"/>
      </w:pPr>
      <w:r>
        <w:rPr>
          <w:b/>
        </w:rPr>
        <w:t>2.</w:t>
        <w:tab/>
      </w:r>
      <w:r>
        <w:rPr>
          <w:rFonts w:ascii="Calibri" w:hAnsi="Calibri"/>
          <w:sz w:val="22"/>
        </w:rPr>
        <w:t>¿Qué tipo de MVP del módulo usarías para aprender qué preguntan los estudiantes antes de automatizar? Relacionalo con el caso de Zappos.</w:t>
      </w:r>
    </w:p>
    <w:p>
      <w:pPr>
        <w:tabs>
          <w:tab w:pos="425" w:val="left"/>
        </w:tabs>
        <w:spacing w:after="100"/>
        <w:ind w:left="425" w:hanging="312"/>
      </w:pPr>
      <w:r>
        <w:rPr>
          <w:b/>
        </w:rPr>
        <w:t>3.</w:t>
        <w:tab/>
      </w:r>
      <w:r>
        <w:rPr>
          <w:rFonts w:ascii="Calibri" w:hAnsi="Calibri"/>
          <w:sz w:val="22"/>
        </w:rPr>
        <w:t>Proponé un plan de lanzamiento en dos etapas. A partir del caso de HealthCare.gov, explicá por qué conviene no habilitarlo para toda la universidad el mismo día.</w:t>
      </w:r>
    </w:p>
    <w:p>
      <w:pPr>
        <w:tabs>
          <w:tab w:pos="425" w:val="left"/>
        </w:tabs>
        <w:spacing w:after="100"/>
        <w:ind w:left="425" w:hanging="312"/>
      </w:pPr>
      <w:r>
        <w:rPr>
          <w:b/>
        </w:rPr>
        <w:t>4.</w:t>
        <w:tab/>
      </w:r>
      <w:r>
        <w:rPr>
          <w:rFonts w:ascii="Calibri" w:hAnsi="Calibri"/>
          <w:sz w:val="22"/>
        </w:rPr>
        <w:t>Analizá el pedido de inscripción automática: necesidad, riesgos y dependencias. ¿Aceptar la necesidad obliga a construirla ya? ¿Cómo quedaría reflejada la decisión en el backlog y en el roadmap?</w:t>
      </w:r>
    </w:p>
    <w:p>
      <w:pPr>
        <w:pStyle w:val="Heading1"/>
        <w:keepNext/>
        <w:shd w:fill="EAF4FA"/>
      </w:pPr>
      <w:bookmarkStart w:id="5" w:name="seccion-5"/>
      <w:r>
        <w:rPr>
          <w:rFonts w:ascii="Calibri" w:hAnsi="Calibri"/>
          <w:b/>
          <w:color w:val="5D3E83"/>
          <w:sz w:val="34"/>
        </w:rPr>
        <w:t>Antes de terminar</w:t>
      </w:r>
      <w:bookmarkEnd w:id="5"/>
    </w:p>
    <w:p>
      <w:pPr>
        <w:spacing w:line="278" w:lineRule="auto" w:after="140"/>
      </w:pPr>
      <w:r>
        <w:rPr>
          <w:rFonts w:ascii="Calibri" w:hAnsi="Calibri"/>
          <w:sz w:val="22"/>
        </w:rPr>
        <w:t>Estas actividades no tienen una única respuesta correcta: cada resolución puede ser distinta si está bien fundamentada en el Contenido del módulo. Si querés comparar tu trabajo, podés pedirle al profesor sus respuestas orientativas.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Para revisar tu trabajo</w:t>
            </w:r>
          </w:p>
          <w:p>
            <w:pPr>
              <w:tabs>
                <w:tab w:pos="340" w:val="left"/>
              </w:tabs>
              <w:spacing w:after="80"/>
              <w:ind w:left="340" w:hanging="255"/>
            </w:pPr>
            <w:r>
              <w:rPr>
                <w:b/>
                <w:color w:val="3A5BA0"/>
                <w:sz w:val="21"/>
              </w:rPr>
              <w:t>•</w:t>
              <w:tab/>
            </w:r>
            <w:r>
              <w:rPr>
                <w:rFonts w:ascii="Calibri" w:hAnsi="Calibri"/>
                <w:sz w:val="22"/>
              </w:rPr>
              <w:t>¿Tu visión permite descartar ideas, o cualquier cosa entra en ella?</w:t>
            </w:r>
          </w:p>
          <w:p>
            <w:pPr>
              <w:tabs>
                <w:tab w:pos="340" w:val="left"/>
              </w:tabs>
              <w:spacing w:after="80"/>
              <w:ind w:left="340" w:hanging="255"/>
            </w:pPr>
            <w:r>
              <w:rPr>
                <w:b/>
                <w:color w:val="3A5BA0"/>
                <w:sz w:val="21"/>
              </w:rPr>
              <w:t>•</w:t>
              <w:tab/>
            </w:r>
            <w:r>
              <w:rPr>
                <w:rFonts w:ascii="Calibri" w:hAnsi="Calibri"/>
                <w:sz w:val="22"/>
              </w:rPr>
              <w:t>¿Tus historias pueden entregarse y usarse por sí solas?</w:t>
            </w:r>
          </w:p>
          <w:p>
            <w:pPr>
              <w:tabs>
                <w:tab w:pos="340" w:val="left"/>
              </w:tabs>
              <w:spacing w:after="80"/>
              <w:ind w:left="340" w:hanging="255"/>
            </w:pPr>
            <w:r>
              <w:rPr>
                <w:b/>
                <w:color w:val="3A5BA0"/>
                <w:sz w:val="21"/>
              </w:rPr>
              <w:t>•</w:t>
              <w:tab/>
            </w:r>
            <w:r>
              <w:rPr>
                <w:rFonts w:ascii="Calibri" w:hAnsi="Calibri"/>
                <w:sz w:val="22"/>
              </w:rPr>
              <w:t>¿Tus criterios de aceptación cubren también los casos difíciles?</w:t>
            </w:r>
          </w:p>
          <w:p>
            <w:pPr>
              <w:tabs>
                <w:tab w:pos="340" w:val="left"/>
              </w:tabs>
              <w:spacing w:after="80"/>
              <w:ind w:left="340" w:hanging="255"/>
            </w:pPr>
            <w:r>
              <w:rPr>
                <w:b/>
                <w:color w:val="3A5BA0"/>
                <w:sz w:val="21"/>
              </w:rPr>
              <w:t>•</w:t>
              <w:tab/>
            </w:r>
            <w:r>
              <w:rPr>
                <w:rFonts w:ascii="Calibri" w:hAnsi="Calibri"/>
                <w:sz w:val="22"/>
              </w:rPr>
              <w:t>¿Usaste las técnicas de priorización para ordenar la conversación, y no para reemplazar el criterio?</w:t>
            </w:r>
          </w:p>
          <w:p>
            <w:pPr>
              <w:tabs>
                <w:tab w:pos="340" w:val="left"/>
              </w:tabs>
              <w:spacing w:after="80"/>
              <w:ind w:left="340" w:hanging="255"/>
            </w:pPr>
            <w:r>
              <w:rPr>
                <w:b/>
                <w:color w:val="3A5BA0"/>
                <w:sz w:val="21"/>
              </w:rPr>
              <w:t>•</w:t>
              <w:tab/>
            </w:r>
            <w:r>
              <w:rPr>
                <w:rFonts w:ascii="Calibri" w:hAnsi="Calibri"/>
                <w:sz w:val="22"/>
              </w:rPr>
              <w:t>¿Tu MVP responde una pregunta concreta?</w:t>
            </w:r>
          </w:p>
        </w:tc>
      </w:tr>
    </w:tbl>
    <w:p>
      <w:pPr>
        <w:spacing w:after="80"/>
      </w:pP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5D3E83"/>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3 Actividades formativas</dc:title>
  <dc:subject>Actividades formativas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