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keepNext/>
        <w:spacing w:before="1701"/>
      </w:pPr>
      <w:r>
        <w:rPr>
          <w:rFonts w:ascii="Calibri" w:hAnsi="Calibri"/>
          <w:b w:val="0"/>
          <w:color w:val="536173"/>
          <w:sz w:val="26"/>
        </w:rPr>
        <w:t>Gestión de Proyectos Ágiles</w:t>
      </w:r>
    </w:p>
    <w:p>
      <w:r>
        <w:rPr>
          <w:color w:val="815B19"/>
          <w:sz w:val="32"/>
        </w:rPr>
        <w:t>Módulo 4</w:t>
      </w:r>
    </w:p>
    <w:p>
      <w:pPr>
        <w:pStyle w:val="Title"/>
        <w:keepNext/>
        <w:spacing w:before="280" w:after="280"/>
      </w:pPr>
      <w:r>
        <w:rPr>
          <w:rFonts w:ascii="Calibri" w:hAnsi="Calibri"/>
          <w:b w:val="0"/>
          <w:color w:val="000000"/>
          <w:sz w:val="58"/>
        </w:rPr>
        <w:t>Planificación y Seguimiento del Trabajo en Scrum y Kanban</w:t>
      </w:r>
    </w:p>
    <w:p>
      <w:pPr>
        <w:pStyle w:val="Subtitle"/>
        <w:keepNext/>
      </w:pPr>
      <w:r>
        <w:rPr>
          <w:rFonts w:ascii="Calibri" w:hAnsi="Calibri"/>
          <w:b w:val="0"/>
          <w:color w:val="536173"/>
          <w:sz w:val="26"/>
        </w:rPr>
        <w:t>Material para el docente. No se entrega a los estudiantes.</w:t>
      </w:r>
    </w:p>
    <w:p>
      <w:pPr>
        <w:pStyle w:val="Subtitle"/>
        <w:keepNext/>
      </w:pPr>
      <w:r>
        <w:rPr>
          <w:rFonts w:ascii="Calibri" w:hAnsi="Calibri"/>
          <w:b w:val="0"/>
          <w:color w:val="536173"/>
          <w:sz w:val="26"/>
        </w:rPr>
        <w:t>Respuestas orientativas para el docente</w:t>
      </w:r>
    </w:p>
    <w:p>
      <w:r>
        <w:br w:type="page"/>
      </w:r>
    </w:p>
    <w:p>
      <w:pPr>
        <w:pStyle w:val="Heading1"/>
        <w:keepNext/>
        <w:shd w:fill="EAF4FA"/>
      </w:pPr>
      <w:r>
        <w:rPr>
          <w:rFonts w:ascii="Calibri" w:hAnsi="Calibri"/>
          <w:b/>
          <w:color w:val="815B19"/>
          <w:sz w:val="34"/>
        </w:rPr>
        <w:t>Respuestas orientativas para el docente</w:t>
      </w:r>
    </w:p>
    <w:p>
      <w:pPr>
        <w:pStyle w:val="Heading1"/>
        <w:keepNext/>
        <w:shd w:fill="EAF4FA"/>
      </w:pPr>
      <w:bookmarkStart w:id="1" w:name="seccion-1"/>
      <w:r>
        <w:rPr>
          <w:rFonts w:ascii="Calibri" w:hAnsi="Calibri"/>
          <w:b/>
          <w:color w:val="815B19"/>
          <w:sz w:val="34"/>
        </w:rPr>
        <w:t>Respuestas orientativas de las actividades</w:t>
      </w:r>
      <w:bookmarkEnd w:id="1"/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Actividad 1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Tres personas tienen 10 × 7 = </w:t>
      </w:r>
      <w:r>
        <w:rPr>
          <w:rFonts w:ascii="Calibri" w:hAnsi="Calibri"/>
          <w:b/>
          <w:color w:val="12655D"/>
          <w:sz w:val="22"/>
        </w:rPr>
        <w:t>70 horas</w:t>
      </w:r>
      <w:r>
        <w:rPr>
          <w:rFonts w:ascii="Calibri" w:hAnsi="Calibri"/>
          <w:sz w:val="22"/>
        </w:rPr>
        <w:t xml:space="preserve"> cada una; la persona con licencia, 8 × 7 = </w:t>
      </w:r>
      <w:r>
        <w:rPr>
          <w:rFonts w:ascii="Calibri" w:hAnsi="Calibri"/>
          <w:b/>
          <w:color w:val="12655D"/>
          <w:sz w:val="22"/>
        </w:rPr>
        <w:t>56 horas</w:t>
      </w:r>
      <w:r>
        <w:rPr>
          <w:rFonts w:ascii="Calibri" w:hAnsi="Calibri"/>
          <w:sz w:val="22"/>
        </w:rPr>
        <w:t xml:space="preserve">. Total: </w:t>
      </w:r>
      <w:r>
        <w:rPr>
          <w:rFonts w:ascii="Calibri" w:hAnsi="Calibri"/>
          <w:b/>
          <w:color w:val="12655D"/>
          <w:sz w:val="22"/>
        </w:rPr>
        <w:t>266 horas</w:t>
      </w:r>
      <w:r>
        <w:rPr>
          <w:rFonts w:ascii="Calibri" w:hAnsi="Calibri"/>
          <w:sz w:val="22"/>
        </w:rPr>
        <w:t>. Las reuniones solo se descuentan los días que la persona trabaja: descontar reuniones también en la licencia restaría dos horas de más.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La velocidad promedio es (24 + 27 + 21) ÷ 3 = </w:t>
      </w:r>
      <w:r>
        <w:rPr>
          <w:rFonts w:ascii="Calibri" w:hAnsi="Calibri"/>
          <w:b/>
          <w:color w:val="12655D"/>
          <w:sz w:val="22"/>
        </w:rPr>
        <w:t>24 puntos</w:t>
      </w:r>
      <w:r>
        <w:rPr>
          <w:rFonts w:ascii="Calibri" w:hAnsi="Calibri"/>
          <w:sz w:val="22"/>
        </w:rPr>
        <w:t>. Horas y puntos no son equivalentes: los puntos son una escala relativa. El promedio es una referencia que hay que contrastar con la disponibilidad real; con menos gente disponible, conviene seleccionar menos.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La integración desconocida tiene mucha más incertidumbre: antes de estimarla hay que aclarar cómo se accede al repositorio, quizás con un </w:t>
      </w:r>
      <w:r>
        <w:rPr>
          <w:rFonts w:ascii="Calibri" w:hAnsi="Calibri"/>
          <w:i/>
          <w:sz w:val="22"/>
        </w:rPr>
        <w:t>spike</w:t>
      </w:r>
      <w:r>
        <w:rPr>
          <w:rFonts w:ascii="Calibri" w:hAnsi="Calibri"/>
          <w:sz w:val="22"/>
        </w:rPr>
        <w:t>. Ante un 3 y un 13, quienes votaron los extremos explican sus razones y se vuelve a votar; no se promedia. Las tallas de remera sirven para el trabajo lejano o todavía poco definido.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A + B + C suman </w:t>
      </w:r>
      <w:r>
        <w:rPr>
          <w:rFonts w:ascii="Calibri" w:hAnsi="Calibri"/>
          <w:b/>
          <w:color w:val="12655D"/>
          <w:sz w:val="22"/>
        </w:rPr>
        <w:t>18 puntos</w:t>
      </w:r>
      <w:r>
        <w:rPr>
          <w:rFonts w:ascii="Calibri" w:hAnsi="Calibri"/>
          <w:sz w:val="22"/>
        </w:rPr>
        <w:t>, son coherentes con el objetivo y quedan por debajo de la velocidad promedio, lo que deja margen. D suma 8 puntos y no aporta al objetivo. La selección es un pronóstico; el compromiso es el Sprint Goal.</w:t>
      </w:r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Actividad 2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El burndown muestra más trabajo pendiente que la referencia: el objetivo puede estar en riesgo. No explica la causa ni dice nada sobre personas. Pregunta posible: "¿Qué hace falta para validar las dos historias que están esperando?". Acción: ayudar a validar antes de empezar trabajo nuevo.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Entre los días 4 y 6, lo completado creció </w:t>
      </w:r>
      <w:r>
        <w:rPr>
          <w:rFonts w:ascii="Calibri" w:hAnsi="Calibri"/>
          <w:b/>
          <w:color w:val="12655D"/>
          <w:sz w:val="22"/>
        </w:rPr>
        <w:t>8 puntos</w:t>
      </w:r>
      <w:r>
        <w:rPr>
          <w:rFonts w:ascii="Calibri" w:hAnsi="Calibri"/>
          <w:sz w:val="22"/>
        </w:rPr>
        <w:t xml:space="preserve"> (de 8 a 16) y el alcance también creció </w:t>
      </w:r>
      <w:r>
        <w:rPr>
          <w:rFonts w:ascii="Calibri" w:hAnsi="Calibri"/>
          <w:b/>
          <w:color w:val="12655D"/>
          <w:sz w:val="22"/>
        </w:rPr>
        <w:t>8 puntos</w:t>
      </w:r>
      <w:r>
        <w:rPr>
          <w:rFonts w:ascii="Calibri" w:hAnsi="Calibri"/>
          <w:sz w:val="22"/>
        </w:rPr>
        <w:t xml:space="preserve"> (de 30 a 38). El pendiente quedó en </w:t>
      </w:r>
      <w:r>
        <w:rPr>
          <w:rFonts w:ascii="Calibri" w:hAnsi="Calibri"/>
          <w:b/>
          <w:color w:val="12655D"/>
          <w:sz w:val="22"/>
        </w:rPr>
        <w:t>22</w:t>
      </w:r>
      <w:r>
        <w:rPr>
          <w:rFonts w:ascii="Calibri" w:hAnsi="Calibri"/>
          <w:sz w:val="22"/>
        </w:rPr>
        <w:t xml:space="preserve"> en los dos días: hubo avance, pero entró la misma cantidad de trabajo nuevo.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Antes de decidir, hay que revisar si el trabajo agregado es necesario para el Sprint Goal. Un ajuste acordado con el Product Owner es visible y protege el objetivo; un crecimiento que nadie decidió es expansión descontrolada del alcance. Recortar pruebas nunca es la solución.</w:t>
      </w:r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Actividad 3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A:</w:t>
      </w:r>
      <w:r>
        <w:rPr>
          <w:rFonts w:ascii="Calibri" w:hAnsi="Calibri"/>
          <w:sz w:val="22"/>
        </w:rPr>
        <w:t xml:space="preserve"> lead time 6, cycle time 4, espera 2. </w:t>
      </w:r>
      <w:r>
        <w:rPr>
          <w:rFonts w:ascii="Calibri" w:hAnsi="Calibri"/>
          <w:b/>
          <w:color w:val="12655D"/>
          <w:sz w:val="22"/>
        </w:rPr>
        <w:t>B:</w:t>
      </w:r>
      <w:r>
        <w:rPr>
          <w:rFonts w:ascii="Calibri" w:hAnsi="Calibri"/>
          <w:sz w:val="22"/>
        </w:rPr>
        <w:t xml:space="preserve"> lead time 7, cycle time 4, espera 3. </w:t>
      </w:r>
      <w:r>
        <w:rPr>
          <w:rFonts w:ascii="Calibri" w:hAnsi="Calibri"/>
          <w:b/>
          <w:color w:val="12655D"/>
          <w:sz w:val="22"/>
        </w:rPr>
        <w:t>C:</w:t>
      </w:r>
      <w:r>
        <w:rPr>
          <w:rFonts w:ascii="Calibri" w:hAnsi="Calibri"/>
          <w:sz w:val="22"/>
        </w:rPr>
        <w:t xml:space="preserve"> lead time 6, cycle time 6, espera 0. En los tres casos se cumple la suma.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Entre los días 4 y 10 se terminaron </w:t>
      </w:r>
      <w:r>
        <w:rPr>
          <w:rFonts w:ascii="Calibri" w:hAnsi="Calibri"/>
          <w:b/>
          <w:color w:val="12655D"/>
          <w:sz w:val="22"/>
        </w:rPr>
        <w:t>3 pedidos</w:t>
      </w:r>
      <w:r>
        <w:rPr>
          <w:rFonts w:ascii="Calibri" w:hAnsi="Calibri"/>
          <w:sz w:val="22"/>
        </w:rPr>
        <w:t xml:space="preserve">. El throughput se expresa en </w:t>
      </w:r>
      <w:r>
        <w:rPr>
          <w:rFonts w:ascii="Calibri" w:hAnsi="Calibri"/>
          <w:b/>
          <w:color w:val="12655D"/>
          <w:sz w:val="22"/>
        </w:rPr>
        <w:t>pedidos</w:t>
      </w:r>
      <w:r>
        <w:rPr>
          <w:rFonts w:ascii="Calibri" w:hAnsi="Calibri"/>
          <w:sz w:val="22"/>
        </w:rPr>
        <w:t>, no en puntos.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Con las dos columnas en su límite, no se empieza nada nuevo: se ayuda a destrabar la validación, empezando por la tarjeta que lleva cuatro días esperando.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Una banda de Validación que se ensancha indica que ahí se acumula trabajo: hay que investigar la capacidad de validación, los bloqueos y las políticas. Tres pedidos son muy pocos datos para prometer una fecha exacta.</w:t>
      </w:r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Actividad 4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"Corregir una fecha sin fuente" va en </w:t>
      </w:r>
      <w:r>
        <w:rPr>
          <w:rFonts w:ascii="Calibri" w:hAnsi="Calibri"/>
          <w:b/>
          <w:color w:val="12655D"/>
          <w:sz w:val="22"/>
        </w:rPr>
        <w:t>En curso</w:t>
      </w:r>
      <w:r>
        <w:rPr>
          <w:rFonts w:ascii="Calibri" w:hAnsi="Calibri"/>
          <w:sz w:val="22"/>
        </w:rPr>
        <w:t xml:space="preserve">, marcada como bloqueada; "validar la respuesta" va en </w:t>
      </w:r>
      <w:r>
        <w:rPr>
          <w:rFonts w:ascii="Calibri" w:hAnsi="Calibri"/>
          <w:b/>
          <w:color w:val="12655D"/>
          <w:sz w:val="22"/>
        </w:rPr>
        <w:t>Validación</w:t>
      </w:r>
      <w:r>
        <w:rPr>
          <w:rFonts w:ascii="Calibri" w:hAnsi="Calibri"/>
          <w:sz w:val="22"/>
        </w:rPr>
        <w:t xml:space="preserve">; "derivar una consulta" va en </w:t>
      </w:r>
      <w:r>
        <w:rPr>
          <w:rFonts w:ascii="Calibri" w:hAnsi="Calibri"/>
          <w:b/>
          <w:color w:val="12655D"/>
          <w:sz w:val="22"/>
        </w:rPr>
        <w:t>Por hacer</w:t>
      </w:r>
      <w:r>
        <w:rPr>
          <w:rFonts w:ascii="Calibri" w:hAnsi="Calibri"/>
          <w:sz w:val="22"/>
        </w:rPr>
        <w:t>. Criterio de terminación posible: "la fecha está contrastada con la fuente vigente, la respuesta fue corregida y la oficina la validó". En la tarjeta se anota quién sigue el bloqueo y cuándo se revisa.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En Trello, las columnas son listas y los datos de la tarjeta van en su descripción, etiquetas y lista de verificación. En Jira, la tarjeta es un elemento del flujo con campos, estados y responsable, y el bloqueo puede marcarse con una etiqueta o un vínculo.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Para una fila pequeña de soporte, </w:t>
      </w:r>
      <w:r>
        <w:rPr>
          <w:rFonts w:ascii="Calibri" w:hAnsi="Calibri"/>
          <w:b/>
          <w:color w:val="12655D"/>
          <w:sz w:val="22"/>
        </w:rPr>
        <w:t>Trello</w:t>
      </w:r>
      <w:r>
        <w:rPr>
          <w:rFonts w:ascii="Calibri" w:hAnsi="Calibri"/>
          <w:sz w:val="22"/>
        </w:rPr>
        <w:t xml:space="preserve"> alcanza: es simple y rápido de configurar. Para un backlog con Sprints y reportes, </w:t>
      </w:r>
      <w:r>
        <w:rPr>
          <w:rFonts w:ascii="Calibri" w:hAnsi="Calibri"/>
          <w:b/>
          <w:color w:val="12655D"/>
          <w:sz w:val="22"/>
        </w:rPr>
        <w:t>Jira</w:t>
      </w:r>
      <w:r>
        <w:rPr>
          <w:rFonts w:ascii="Calibri" w:hAnsi="Calibri"/>
          <w:sz w:val="22"/>
        </w:rPr>
        <w:t>: tiene Sprints, tipos de elementos y reportes automáticos. En los dos casos, la herramienta no reemplaza las políticas del equipo.</w:t>
      </w:r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Actividad 5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El promedio es 3 pedidos por semana: 12 ÷ 3 = </w:t>
      </w:r>
      <w:r>
        <w:rPr>
          <w:rFonts w:ascii="Calibri" w:hAnsi="Calibri"/>
          <w:b/>
          <w:color w:val="12655D"/>
          <w:sz w:val="22"/>
        </w:rPr>
        <w:t>4 semanas</w:t>
      </w:r>
      <w:r>
        <w:rPr>
          <w:rFonts w:ascii="Calibri" w:hAnsi="Calibri"/>
          <w:sz w:val="22"/>
        </w:rPr>
        <w:t xml:space="preserve"> como pronóstico central. Con la mejor semana (4) serían </w:t>
      </w:r>
      <w:r>
        <w:rPr>
          <w:rFonts w:ascii="Calibri" w:hAnsi="Calibri"/>
          <w:b/>
          <w:color w:val="12655D"/>
          <w:sz w:val="22"/>
        </w:rPr>
        <w:t>3 semanas</w:t>
      </w:r>
      <w:r>
        <w:rPr>
          <w:rFonts w:ascii="Calibri" w:hAnsi="Calibri"/>
          <w:sz w:val="22"/>
        </w:rPr>
        <w:t xml:space="preserve">; con la peor (2), </w:t>
      </w:r>
      <w:r>
        <w:rPr>
          <w:rFonts w:ascii="Calibri" w:hAnsi="Calibri"/>
          <w:b/>
          <w:color w:val="12655D"/>
          <w:sz w:val="22"/>
        </w:rPr>
        <w:t>6 semanas</w:t>
      </w:r>
      <w:r>
        <w:rPr>
          <w:rFonts w:ascii="Calibri" w:hAnsi="Calibri"/>
          <w:sz w:val="22"/>
        </w:rPr>
        <w:t>. Mensaje posible: "Con el ritmo actual, esperamos terminar en 3 a 6 semanas, siempre que no entren pedidos nuevos ni aparezcan bloqueos importantes".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Riesgo: la fuente deja de estar disponible. Impacto: no se pueden validar respuestas. Señal temprana: fallas de acceso o aviso de retiro. Respuesta: acordar una fuente alternativa autorizada y derivar las consultas sin respaldo. Si la fuente ya no está disponible y frena un pedido, deja de ser un riesgo y pasa a ser un bloqueo.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Del mensaje de la IA se puede conservar el cálculo de 4 semanas, pero como pronóstico con rango. Hay que quitar "exactamente" y "cerrar los bloqueos": los bloqueos se cierran cuando alguien comprueba que se resolvieron. Una persona del equipo revisa el mensaje antes de enviarlo.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La propuesta del agente no conviene tal como está: marcar algo como Terminado es </w:t>
      </w:r>
      <w:r>
        <w:rPr>
          <w:rFonts w:ascii="Calibri" w:hAnsi="Calibri"/>
          <w:b/>
          <w:color w:val="12655D"/>
          <w:sz w:val="22"/>
        </w:rPr>
        <w:t>aceptar un resultado</w:t>
      </w:r>
      <w:r>
        <w:rPr>
          <w:rFonts w:ascii="Calibri" w:hAnsi="Calibri"/>
          <w:sz w:val="22"/>
        </w:rPr>
        <w:t xml:space="preserve">, y esa decisión es de una persona. Además, un error sería difícil de detectar. Alternativa: que el agente </w:t>
      </w:r>
      <w:r>
        <w:rPr>
          <w:rFonts w:ascii="Calibri" w:hAnsi="Calibri"/>
          <w:b/>
          <w:color w:val="12655D"/>
          <w:sz w:val="22"/>
        </w:rPr>
        <w:t>proponga</w:t>
      </w:r>
      <w:r>
        <w:rPr>
          <w:rFonts w:ascii="Calibri" w:hAnsi="Calibri"/>
          <w:sz w:val="22"/>
        </w:rPr>
        <w:t xml:space="preserve"> mover la tarjeta y una persona lo confirme, con permisos limitados y registro de lo que hizo. Klarna mostró que medir solo la cantidad de trabajo que hace la IA puede ocultar problemas de calidad.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36173"/>
        <w:sz w:val="16"/>
      </w:rPr>
      <w:t xml:space="preserve">Gestión de Proyectos Ágiles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40"/>
    </w:pPr>
    <w:rPr>
      <w:rFonts w:ascii="Calibri" w:hAnsi="Calibri"/>
      <w:color w:val="17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="Calibri" w:hAnsi="Calibri"/>
      <w:b/>
      <w:bCs/>
      <w:color w:val="815B1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="Calibri" w:hAnsi="Calibri"/>
      <w:b/>
      <w:bCs/>
      <w:color w:val="1265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40"/>
      <w:outlineLvl w:val="2"/>
    </w:pPr>
    <w:rPr>
      <w:rFonts w:ascii="Calibri" w:hAnsi="Calibri"/>
      <w:b/>
      <w:bCs/>
      <w:color w:val="5D3E8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140" w:line="240" w:lineRule="auto" w:before="120"/>
      <w:contextualSpacing/>
    </w:pPr>
    <w:rPr>
      <w:rFonts w:ascii="Calibri" w:hAnsi="Calibri"/>
      <w:b w:val="0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120" w:after="140"/>
    </w:pPr>
    <w:rPr>
      <w:rFonts w:ascii="Calibri" w:hAnsi="Calibri"/>
      <w:b w:val="0"/>
      <w:i/>
      <w:iCs/>
      <w:color w:val="5361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</w:pPr>
    <w:rPr>
      <w:rFonts w:ascii="Calibri" w:hAnsi="Calibri"/>
      <w:b/>
      <w:bCs/>
      <w:color w:val="5361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245E9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 Proyectos Ágiles Módulo 4 Respuestas orientativas para el docente</dc:title>
  <dc:subject>Respuestas orientativas para el docente de Gestión de Proyectos Ágiles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es-AR</dc:language>
</cp:coreProperties>
</file>