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8C3838"/>
          <w:sz w:val="32"/>
        </w:rPr>
        <w:t>Módulo 5</w:t>
      </w:r>
    </w:p>
    <w:p>
      <w:pPr>
        <w:pStyle w:val="Title"/>
        <w:keepNext/>
        <w:spacing w:before="280" w:after="280"/>
      </w:pPr>
      <w:r>
        <w:rPr>
          <w:rFonts w:ascii="Calibri" w:hAnsi="Calibri"/>
          <w:b w:val="0"/>
          <w:color w:val="000000"/>
          <w:sz w:val="58"/>
        </w:rPr>
        <w:t>Equipos, Liderazgo, Mejora Continua y Casos de Estudio</w:t>
      </w:r>
    </w:p>
    <w:p>
      <w:pPr>
        <w:pStyle w:val="Subtitle"/>
        <w:keepNext/>
      </w:pPr>
      <w:r>
        <w:rPr>
          <w:rFonts w:ascii="Calibri" w:hAnsi="Calibri"/>
          <w:b w:val="0"/>
          <w:color w:val="536173"/>
          <w:sz w:val="26"/>
        </w:rPr>
        <w:t>Prácticas autónomas de aplicación</w:t>
      </w:r>
    </w:p>
    <w:p>
      <w:pPr>
        <w:pStyle w:val="Subtitle"/>
        <w:keepNext/>
      </w:pPr>
      <w:r>
        <w:rPr>
          <w:rFonts w:ascii="Calibri" w:hAnsi="Calibri"/>
          <w:b w:val="0"/>
          <w:color w:val="536173"/>
          <w:sz w:val="26"/>
        </w:rPr>
        <w:t>Actividades formativas</w:t>
      </w:r>
    </w:p>
    <w:p>
      <w:r>
        <w:br w:type="page"/>
      </w:r>
    </w:p>
    <w:p>
      <w:pPr>
        <w:pStyle w:val="Heading1"/>
        <w:keepNext/>
      </w:pPr>
      <w:r>
        <w:rPr>
          <w:rFonts w:ascii="Calibri" w:hAnsi="Calibri"/>
          <w:b/>
          <w:color w:val="8C3838"/>
          <w:sz w:val="34"/>
        </w:rPr>
        <w:t>Actividades formativas</w:t>
      </w:r>
    </w:p>
    <w:p>
      <w:pPr>
        <w:spacing w:after="80"/>
      </w:pPr>
      <w:hyperlink w:anchor="seccion-1">
        <w:r>
          <w:rPr>
            <w:rStyle w:val="Hyperlink"/>
          </w:rPr>
          <w:t xml:space="preserve">Actividad 1: Intervenir en el liderazgo y la comunicación</w:t>
        </w:r>
      </w:hyperlink>
    </w:p>
    <w:p>
      <w:pPr>
        <w:spacing w:after="80"/>
      </w:pPr>
      <w:hyperlink w:anchor="seccion-2">
        <w:r>
          <w:rPr>
            <w:rStyle w:val="Hyperlink"/>
          </w:rPr>
          <w:t xml:space="preserve">Actividad 2: Separar la Review de la retrospectiva</w:t>
        </w:r>
      </w:hyperlink>
    </w:p>
    <w:p>
      <w:pPr>
        <w:spacing w:after="80"/>
      </w:pPr>
      <w:hyperlink w:anchor="seccion-3">
        <w:r>
          <w:rPr>
            <w:rStyle w:val="Hyperlink"/>
          </w:rPr>
          <w:t xml:space="preserve">Actividad 3: Probar una mejora y cuidar la calidad</w:t>
        </w:r>
      </w:hyperlink>
    </w:p>
    <w:p>
      <w:pPr>
        <w:spacing w:after="80"/>
      </w:pPr>
      <w:hyperlink w:anchor="seccion-4">
        <w:r>
          <w:rPr>
            <w:rStyle w:val="Hyperlink"/>
          </w:rPr>
          <w:t xml:space="preserve">Actividad 4: Analizar casos reales de adopción ágil</w:t>
        </w:r>
      </w:hyperlink>
    </w:p>
    <w:p>
      <w:pPr>
        <w:spacing w:after="80"/>
      </w:pPr>
      <w:hyperlink w:anchor="seccion-5">
        <w:r>
          <w:rPr>
            <w:rStyle w:val="Hyperlink"/>
          </w:rPr>
          <w:t xml:space="preserve">Antes de terminar</w:t>
        </w:r>
      </w:hyperlink>
    </w:p>
    <w:p>
      <w:r>
        <w:br w:type="page"/>
      </w:r>
    </w:p>
    <w:p>
      <w:pPr>
        <w:spacing w:line="278" w:lineRule="auto" w:after="140"/>
      </w:pPr>
      <w:r>
        <w:rPr>
          <w:rFonts w:ascii="Calibri" w:hAnsi="Calibri"/>
          <w:sz w:val="22"/>
        </w:rPr>
        <w:t>En estas actividades vas a diagnosticar situaciones de un equipo, convertir problemas en mejoras verificables, relacionar calidad y entrega, y analizar casos reales de adopción ágil distinguiendo la evidencia de las conclusiones apresuradas.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Cómo usar estas actividades</w:t>
            </w:r>
          </w:p>
          <w:p>
            <w:pPr>
              <w:tabs>
                <w:tab w:pos="340" w:val="left"/>
              </w:tabs>
              <w:spacing w:after="80"/>
              <w:ind w:left="340" w:hanging="255"/>
            </w:pPr>
            <w:r>
              <w:rPr>
                <w:b/>
                <w:color w:val="1F4E86"/>
                <w:sz w:val="21"/>
              </w:rPr>
              <w:t>•</w:t>
              <w:tab/>
            </w:r>
            <w:r>
              <w:rPr>
                <w:rFonts w:ascii="Calibri" w:hAnsi="Calibri"/>
                <w:sz w:val="22"/>
              </w:rPr>
              <w:t>Son prácticas para vos: no se entregan y no tienen nota.</w:t>
            </w:r>
          </w:p>
          <w:p>
            <w:pPr>
              <w:tabs>
                <w:tab w:pos="340" w:val="left"/>
              </w:tabs>
              <w:spacing w:after="80"/>
              <w:ind w:left="340" w:hanging="255"/>
            </w:pPr>
            <w:r>
              <w:rPr>
                <w:b/>
                <w:color w:val="1F4E86"/>
                <w:sz w:val="21"/>
              </w:rPr>
              <w:t>•</w:t>
              <w:tab/>
            </w:r>
            <w:r>
              <w:rPr>
                <w:rFonts w:ascii="Calibri" w:hAnsi="Calibri"/>
                <w:sz w:val="22"/>
              </w:rPr>
              <w:t>Resolvé cada consigna en un borrador y usá la lista del final para revisar tu trabajo.</w:t>
            </w:r>
          </w:p>
          <w:p>
            <w:pPr>
              <w:tabs>
                <w:tab w:pos="340" w:val="left"/>
              </w:tabs>
              <w:spacing w:after="80"/>
              <w:ind w:left="340" w:hanging="255"/>
            </w:pPr>
            <w:r>
              <w:rPr>
                <w:b/>
                <w:color w:val="1F4E86"/>
                <w:sz w:val="21"/>
              </w:rPr>
              <w:t>•</w:t>
              <w:tab/>
            </w:r>
            <w:r>
              <w:rPr>
                <w:rFonts w:ascii="Calibri" w:hAnsi="Calibri"/>
                <w:sz w:val="22"/>
              </w:rPr>
              <w:t>Todas se pueden resolver con el Contenido del módulo. Las situaciones de las actividades 1 a 3 son didácticas; la actividad 4 usa los casos reales del módulo.</w:t>
            </w:r>
          </w:p>
          <w:p>
            <w:pPr>
              <w:tabs>
                <w:tab w:pos="340" w:val="left"/>
              </w:tabs>
              <w:spacing w:after="80"/>
              <w:ind w:left="340" w:hanging="255"/>
            </w:pPr>
            <w:r>
              <w:rPr>
                <w:b/>
                <w:color w:val="1F4E86"/>
                <w:sz w:val="21"/>
              </w:rPr>
              <w:t>•</w:t>
              <w:tab/>
            </w:r>
            <w:r>
              <w:rPr>
                <w:rFonts w:ascii="Calibri" w:hAnsi="Calibri"/>
                <w:sz w:val="22"/>
              </w:rPr>
              <w:t>No hay una única respuesta correcta: lo importante es que cada decisión esté fundamentada en el Contenido.</w:t>
            </w:r>
          </w:p>
        </w:tc>
      </w:tr>
    </w:tbl>
    <w:p>
      <w:pPr>
        <w:spacing w:after="80"/>
      </w:pPr>
    </w:p>
    <w:p>
      <w:pPr>
        <w:pStyle w:val="Heading1"/>
        <w:keepNext/>
        <w:shd w:fill="EAF4FA"/>
      </w:pPr>
      <w:bookmarkStart w:id="1" w:name="seccion-1"/>
      <w:r>
        <w:rPr>
          <w:rFonts w:ascii="Calibri" w:hAnsi="Calibri"/>
          <w:b/>
          <w:color w:val="8C3838"/>
          <w:sz w:val="34"/>
        </w:rPr>
        <w:t>Actividad 1: Intervenir en el liderazgo y la comunicación</w:t>
      </w:r>
      <w:bookmarkEnd w:id="1"/>
    </w:p>
    <w:p>
      <w:pPr>
        <w:spacing w:line="278" w:lineRule="auto" w:after="140"/>
      </w:pPr>
      <w:r>
        <w:rPr>
          <w:rFonts w:ascii="Calibri" w:hAnsi="Calibri"/>
          <w:b/>
          <w:color w:val="12655D"/>
          <w:sz w:val="22"/>
        </w:rPr>
        <w:t>Qué vas a practicar:</w:t>
      </w:r>
      <w:r>
        <w:rPr>
          <w:rFonts w:ascii="Calibri" w:hAnsi="Calibri"/>
          <w:sz w:val="22"/>
        </w:rPr>
        <w:t xml:space="preserve"> reconocer problemas de equipo, aplicar el liderazgo de servicio y dar feedback útil.</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En el equipo del asistente hay especialistas en datos, programación y pruebas, pero solo una persona sabe cómo validar los documentos. La dirección cambia integrantes del equipo casi todas las semanas. En la Daily Scrum, todos le informan su avance al Scrum Master y nadie menciona problemas. En la reunión del martes, una persona interrumpió dos veces a la especialista mientras explicaba que una fuente estaba desactualizada, y el equipo siguió usando esa fuente.</w:t>
            </w:r>
          </w:p>
        </w:tc>
      </w:tr>
    </w:tbl>
    <w:p>
      <w:pPr>
        <w:spacing w:after="80"/>
      </w:pPr>
    </w:p>
    <w:p>
      <w:pPr>
        <w:tabs>
          <w:tab w:pos="425" w:val="left"/>
        </w:tabs>
        <w:spacing w:after="100"/>
        <w:ind w:left="425" w:hanging="312"/>
      </w:pPr>
      <w:r>
        <w:rPr>
          <w:b/>
        </w:rPr>
        <w:t>1.</w:t>
        <w:tab/>
      </w:r>
      <w:r>
        <w:rPr>
          <w:rFonts w:ascii="Calibri" w:hAnsi="Calibri"/>
          <w:sz w:val="22"/>
        </w:rPr>
        <w:t>Identificá tres problemas y sus consecuencias. ¿Por qué tener distintas especialidades no alcanza para ser un equipo multifuncional?</w:t>
      </w:r>
    </w:p>
    <w:p>
      <w:pPr>
        <w:tabs>
          <w:tab w:pos="425" w:val="left"/>
        </w:tabs>
        <w:spacing w:after="100"/>
        <w:ind w:left="425" w:hanging="312"/>
      </w:pPr>
      <w:r>
        <w:rPr>
          <w:b/>
        </w:rPr>
        <w:t>2.</w:t>
        <w:tab/>
      </w:r>
      <w:r>
        <w:rPr>
          <w:rFonts w:ascii="Calibri" w:hAnsi="Calibri"/>
          <w:sz w:val="22"/>
        </w:rPr>
        <w:t>Relacioná la situación con la seguridad psicológica y el Proyecto Aristóteles de Google. ¿Qué señales muestran que falta?</w:t>
      </w:r>
    </w:p>
    <w:p>
      <w:pPr>
        <w:tabs>
          <w:tab w:pos="425" w:val="left"/>
        </w:tabs>
        <w:spacing w:after="100"/>
        <w:ind w:left="425" w:hanging="312"/>
      </w:pPr>
      <w:r>
        <w:rPr>
          <w:b/>
        </w:rPr>
        <w:t>3.</w:t>
        <w:tab/>
      </w:r>
      <w:r>
        <w:rPr>
          <w:rFonts w:ascii="Calibri" w:hAnsi="Calibri"/>
          <w:sz w:val="22"/>
        </w:rPr>
        <w:t>Proponé una acción de liderazgo de servicio para la próxima semana y una decisión que debería tomar el propio equipo.</w:t>
      </w:r>
    </w:p>
    <w:p>
      <w:pPr>
        <w:tabs>
          <w:tab w:pos="425" w:val="left"/>
        </w:tabs>
        <w:spacing w:after="100"/>
        <w:ind w:left="425" w:hanging="312"/>
      </w:pPr>
      <w:r>
        <w:rPr>
          <w:b/>
        </w:rPr>
        <w:t>4.</w:t>
        <w:tab/>
      </w:r>
      <w:r>
        <w:rPr>
          <w:rFonts w:ascii="Calibri" w:hAnsi="Calibri"/>
          <w:sz w:val="22"/>
        </w:rPr>
        <w:t>Escribí un feedback con la técnica SBI (situación, comportamiento, impacto) sobre las interrupciones, sin atribuir intenciones. Terminá con una invitación a conversar.</w:t>
      </w:r>
    </w:p>
    <w:p>
      <w:pPr>
        <w:tabs>
          <w:tab w:pos="425" w:val="left"/>
        </w:tabs>
        <w:spacing w:after="100"/>
        <w:ind w:left="425" w:hanging="312"/>
      </w:pPr>
      <w:r>
        <w:rPr>
          <w:b/>
        </w:rPr>
        <w:t>5.</w:t>
        <w:tab/>
      </w:r>
      <w:r>
        <w:rPr>
          <w:rFonts w:ascii="Calibri" w:hAnsi="Calibri"/>
          <w:sz w:val="22"/>
        </w:rPr>
        <w:t>Proponé un acuerdo de trabajo útil para el equipo. Si aparecen desacuerdos, ¿el modelo de Tuckman permite concluir que el equipo está fracasando?</w:t>
      </w:r>
    </w:p>
    <w:p>
      <w:pPr>
        <w:pStyle w:val="Heading1"/>
        <w:keepNext/>
        <w:shd w:fill="EAF4FA"/>
      </w:pPr>
      <w:bookmarkStart w:id="2" w:name="seccion-2"/>
      <w:r>
        <w:rPr>
          <w:rFonts w:ascii="Calibri" w:hAnsi="Calibri"/>
          <w:b/>
          <w:color w:val="8C3838"/>
          <w:sz w:val="34"/>
        </w:rPr>
        <w:t>Actividad 2: Separar la Review de la retrospectiva</w:t>
      </w:r>
      <w:bookmarkEnd w:id="2"/>
    </w:p>
    <w:p>
      <w:pPr>
        <w:spacing w:line="278" w:lineRule="auto" w:after="140"/>
      </w:pPr>
      <w:r>
        <w:rPr>
          <w:rFonts w:ascii="Calibri" w:hAnsi="Calibri"/>
          <w:b/>
          <w:color w:val="12655D"/>
          <w:sz w:val="22"/>
        </w:rPr>
        <w:t>Qué vas a practicar:</w:t>
      </w:r>
      <w:r>
        <w:rPr>
          <w:rFonts w:ascii="Calibri" w:hAnsi="Calibri"/>
          <w:sz w:val="22"/>
        </w:rPr>
        <w:t xml:space="preserve"> distinguir los dos eventos y convertir una queja en una acción concreta.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Al terminar el Sprint, la capacidad de orientar sobre documentación cumple la Definition of Done. En una prueba con estudiantes, varios no entienden un término que usa el asistente. Además, el equipo descubre que las validaciones se acumularon porque nadie acordó quién podía pedirlas. La última retrospectiva terminó con una sola conclusión: "mejorar la comunicación", y nadie hizo nada.</w:t>
            </w:r>
          </w:p>
        </w:tc>
      </w:tr>
    </w:tbl>
    <w:p>
      <w:pPr>
        <w:spacing w:after="80"/>
      </w:pPr>
    </w:p>
    <w:p>
      <w:pPr>
        <w:tabs>
          <w:tab w:pos="425" w:val="left"/>
        </w:tabs>
        <w:spacing w:after="100"/>
        <w:ind w:left="425" w:hanging="312"/>
      </w:pPr>
      <w:r>
        <w:rPr>
          <w:b/>
        </w:rPr>
        <w:t>1.</w:t>
        <w:tab/>
      </w:r>
      <w:r>
        <w:rPr>
          <w:rFonts w:ascii="Calibri" w:hAnsi="Calibri"/>
          <w:sz w:val="22"/>
        </w:rPr>
        <w:t>¿Qué tema llevarías a la Sprint Review, con quiénes y para decidir qué? ¿Qué llevarías a la retrospectiva?</w:t>
      </w:r>
    </w:p>
    <w:p>
      <w:pPr>
        <w:tabs>
          <w:tab w:pos="425" w:val="left"/>
        </w:tabs>
        <w:spacing w:after="100"/>
        <w:ind w:left="425" w:hanging="312"/>
      </w:pPr>
      <w:r>
        <w:rPr>
          <w:b/>
        </w:rPr>
        <w:t>2.</w:t>
        <w:tab/>
      </w:r>
      <w:r>
        <w:rPr>
          <w:rFonts w:ascii="Calibri" w:hAnsi="Calibri"/>
          <w:sz w:val="22"/>
        </w:rPr>
        <w:t>Diseñá una retrospectiva breve con los cinco pasos de Derby y Larsen. ¿Cómo usarías el Acuerdo Primario para evitar la búsqueda de culpables?</w:t>
      </w:r>
    </w:p>
    <w:p>
      <w:pPr>
        <w:tabs>
          <w:tab w:pos="425" w:val="left"/>
        </w:tabs>
        <w:spacing w:after="100"/>
        <w:ind w:left="425" w:hanging="312"/>
      </w:pPr>
      <w:r>
        <w:rPr>
          <w:b/>
        </w:rPr>
        <w:t>3.</w:t>
        <w:tab/>
      </w:r>
      <w:r>
        <w:rPr>
          <w:rFonts w:ascii="Calibri" w:hAnsi="Calibri"/>
          <w:sz w:val="22"/>
        </w:rPr>
        <w:t>Reemplazá "mejorar la comunicación" por una acción concreta, con responsable del seguimiento, plazo y la evidencia que se va a revisar en la próxima retrospectiva.</w:t>
      </w:r>
    </w:p>
    <w:p>
      <w:pPr>
        <w:pStyle w:val="Heading1"/>
        <w:keepNext/>
        <w:shd w:fill="EAF4FA"/>
      </w:pPr>
      <w:bookmarkStart w:id="3" w:name="seccion-3"/>
      <w:r>
        <w:rPr>
          <w:rFonts w:ascii="Calibri" w:hAnsi="Calibri"/>
          <w:b/>
          <w:color w:val="8C3838"/>
          <w:sz w:val="34"/>
        </w:rPr>
        <w:t>Actividad 3: Probar una mejora y cuidar la calidad</w:t>
      </w:r>
      <w:bookmarkEnd w:id="3"/>
    </w:p>
    <w:p>
      <w:pPr>
        <w:spacing w:line="278" w:lineRule="auto" w:after="140"/>
      </w:pPr>
      <w:r>
        <w:rPr>
          <w:rFonts w:ascii="Calibri" w:hAnsi="Calibri"/>
          <w:b/>
          <w:color w:val="12655D"/>
          <w:sz w:val="22"/>
        </w:rPr>
        <w:t>Qué vas a practicar:</w:t>
      </w:r>
      <w:r>
        <w:rPr>
          <w:rFonts w:ascii="Calibri" w:hAnsi="Calibri"/>
          <w:sz w:val="22"/>
        </w:rPr>
        <w:t xml:space="preserve"> aplicar el ciclo PDCA y distinguir las prácticas de entrega.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En las últimas dos semanas, seis de cada diez pedidos terminados esperaron más de dos días en validación. El equipo prueba una franja diaria compartida para revisar y hacer visibles los bloqueos. Durante las dos semanas de prueba, tres de diez pedidos superan esa espera. Los pedidos son parecidos, pero durante parte de la prueba hubo una persona más disponible.</w:t>
            </w:r>
          </w:p>
          <w:p>
            <w:pPr>
              <w:spacing w:after="120" w:line="276" w:lineRule="auto"/>
            </w:pPr>
            <w:r>
              <w:rPr>
                <w:rFonts w:ascii="Calibri" w:hAnsi="Calibri"/>
                <w:sz w:val="22"/>
              </w:rPr>
              <w:t>En otro equipo, los cambios se integran varias veces por día con pruebas automáticas y quedan listos para salir, pero la salida a producción la decide una persona. Alguien propone que todo cambio que pase las pruebas salga automáticamente.</w:t>
            </w:r>
          </w:p>
        </w:tc>
      </w:tr>
    </w:tbl>
    <w:p>
      <w:pPr>
        <w:spacing w:after="80"/>
      </w:pPr>
    </w:p>
    <w:p>
      <w:pPr>
        <w:tabs>
          <w:tab w:pos="425" w:val="left"/>
        </w:tabs>
        <w:spacing w:after="100"/>
        <w:ind w:left="425" w:hanging="312"/>
      </w:pPr>
      <w:r>
        <w:rPr>
          <w:b/>
        </w:rPr>
        <w:t>1.</w:t>
        <w:tab/>
      </w:r>
      <w:r>
        <w:rPr>
          <w:rFonts w:ascii="Calibri" w:hAnsi="Calibri"/>
          <w:sz w:val="22"/>
        </w:rPr>
        <w:t>Ordená la mejora según el ciclo PDCA: planificar, hacer, verificar y actuar.</w:t>
      </w:r>
    </w:p>
    <w:p>
      <w:pPr>
        <w:tabs>
          <w:tab w:pos="425" w:val="left"/>
        </w:tabs>
        <w:spacing w:after="100"/>
        <w:ind w:left="425" w:hanging="312"/>
      </w:pPr>
      <w:r>
        <w:rPr>
          <w:b/>
        </w:rPr>
        <w:t>2.</w:t>
        <w:tab/>
      </w:r>
      <w:r>
        <w:rPr>
          <w:rFonts w:ascii="Calibri" w:hAnsi="Calibri"/>
          <w:sz w:val="22"/>
        </w:rPr>
        <w:t>Calculá cuánto cambió la proporción de pedidos que esperan más de dos días. ¿Podés atribuir toda la mejora a la franja de revisión? ¿Qué más registrarías?</w:t>
      </w:r>
    </w:p>
    <w:p>
      <w:pPr>
        <w:tabs>
          <w:tab w:pos="425" w:val="left"/>
        </w:tabs>
        <w:spacing w:after="100"/>
        <w:ind w:left="425" w:hanging="312"/>
      </w:pPr>
      <w:r>
        <w:rPr>
          <w:b/>
        </w:rPr>
        <w:t>3.</w:t>
        <w:tab/>
      </w:r>
      <w:r>
        <w:rPr>
          <w:rFonts w:ascii="Calibri" w:hAnsi="Calibri"/>
          <w:sz w:val="22"/>
        </w:rPr>
        <w:t>Proponé una medida de calidad que acompañe a la de espera, para evitar que se apruebe trabajo sin revisarlo bien.</w:t>
      </w:r>
    </w:p>
    <w:p>
      <w:pPr>
        <w:tabs>
          <w:tab w:pos="425" w:val="left"/>
        </w:tabs>
        <w:spacing w:after="100"/>
        <w:ind w:left="425" w:hanging="312"/>
      </w:pPr>
      <w:r>
        <w:rPr>
          <w:b/>
        </w:rPr>
        <w:t>4.</w:t>
        <w:tab/>
      </w:r>
      <w:r>
        <w:rPr>
          <w:rFonts w:ascii="Calibri" w:hAnsi="Calibri"/>
          <w:sz w:val="22"/>
        </w:rPr>
        <w:t>Distinguí integración continua, entrega continua y despliegue continuo en el segundo equipo. Relacioná la propuesta con el caso de Knight Capital: ¿qué tiene que estar resuelto antes de automatizar la salida?</w:t>
      </w:r>
    </w:p>
    <w:p>
      <w:pPr>
        <w:pStyle w:val="Heading1"/>
        <w:keepNext/>
        <w:shd w:fill="EAF4FA"/>
      </w:pPr>
      <w:bookmarkStart w:id="4" w:name="seccion-4"/>
      <w:r>
        <w:rPr>
          <w:rFonts w:ascii="Calibri" w:hAnsi="Calibri"/>
          <w:b/>
          <w:color w:val="8C3838"/>
          <w:sz w:val="34"/>
        </w:rPr>
        <w:t>Actividad 4: Analizar casos reales de adopción ágil</w:t>
      </w:r>
      <w:bookmarkEnd w:id="4"/>
    </w:p>
    <w:p>
      <w:pPr>
        <w:spacing w:line="278" w:lineRule="auto" w:after="140"/>
      </w:pPr>
      <w:r>
        <w:rPr>
          <w:rFonts w:ascii="Calibri" w:hAnsi="Calibri"/>
          <w:b/>
          <w:color w:val="12655D"/>
          <w:sz w:val="22"/>
        </w:rPr>
        <w:t>Qué vas a practicar:</w:t>
      </w:r>
      <w:r>
        <w:rPr>
          <w:rFonts w:ascii="Calibri" w:hAnsi="Calibri"/>
          <w:sz w:val="22"/>
        </w:rPr>
        <w:t xml:space="preserve"> leer casos reales separando contexto, intervención, evidencia y lo que no se puede concluir.</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Situación</w:t>
            </w:r>
          </w:p>
          <w:p>
            <w:pPr>
              <w:spacing w:after="120" w:line="276" w:lineRule="auto"/>
            </w:pPr>
            <w:r>
              <w:rPr>
                <w:rFonts w:ascii="Calibri" w:hAnsi="Calibri"/>
                <w:sz w:val="22"/>
              </w:rPr>
              <w:t>Una organización compara públicamente la velocidad de cinco equipos. Hay reuniones con nombres de Scrum, pero las prioridades cambian por mensajes privados y los errores no se registran. La dirección quiere "implementar el modelo Spotify" para arreglarlo todo. Dos equipos construyen partes del mismo producto y recién integran su trabajo a fin de mes.</w:t>
            </w:r>
          </w:p>
        </w:tc>
      </w:tr>
    </w:tbl>
    <w:p>
      <w:pPr>
        <w:spacing w:after="80"/>
      </w:pPr>
    </w:p>
    <w:p>
      <w:pPr>
        <w:tabs>
          <w:tab w:pos="425" w:val="left"/>
        </w:tabs>
        <w:spacing w:after="100"/>
        <w:ind w:left="425" w:hanging="312"/>
      </w:pPr>
      <w:r>
        <w:rPr>
          <w:b/>
        </w:rPr>
        <w:t>1.</w:t>
        <w:tab/>
      </w:r>
      <w:r>
        <w:rPr>
          <w:rFonts w:ascii="Calibri" w:hAnsi="Calibri"/>
          <w:sz w:val="22"/>
        </w:rPr>
        <w:t>Identificá dos señales de adopción superficial y explicá qué problema produce cada una. ¿Qué usarías en lugar del ranking de velocidades?</w:t>
      </w:r>
    </w:p>
    <w:p>
      <w:pPr>
        <w:tabs>
          <w:tab w:pos="425" w:val="left"/>
        </w:tabs>
        <w:spacing w:after="100"/>
        <w:ind w:left="425" w:hanging="312"/>
      </w:pPr>
      <w:r>
        <w:rPr>
          <w:b/>
        </w:rPr>
        <w:t>2.</w:t>
        <w:tab/>
      </w:r>
      <w:r>
        <w:rPr>
          <w:rFonts w:ascii="Calibri" w:hAnsi="Calibri"/>
          <w:sz w:val="22"/>
        </w:rPr>
        <w:t>A partir del caso del "modelo Spotify", explicá qué riesgo tiene la propuesta de la dirección.</w:t>
      </w:r>
    </w:p>
    <w:p>
      <w:pPr>
        <w:tabs>
          <w:tab w:pos="425" w:val="left"/>
        </w:tabs>
        <w:spacing w:after="100"/>
        <w:ind w:left="425" w:hanging="312"/>
      </w:pPr>
      <w:r>
        <w:rPr>
          <w:b/>
        </w:rPr>
        <w:t>3.</w:t>
        <w:tab/>
      </w:r>
      <w:r>
        <w:rPr>
          <w:rFonts w:ascii="Calibri" w:hAnsi="Calibri"/>
          <w:sz w:val="22"/>
        </w:rPr>
        <w:t>Antes de elegir entre Scrum of Scrums, SAFe o LeSS, ¿qué revisarías sobre el producto, las dependencias y la integración?</w:t>
      </w:r>
    </w:p>
    <w:p>
      <w:pPr>
        <w:tabs>
          <w:tab w:pos="425" w:val="left"/>
        </w:tabs>
        <w:spacing w:after="100"/>
        <w:ind w:left="425" w:hanging="312"/>
      </w:pPr>
      <w:r>
        <w:rPr>
          <w:b/>
        </w:rPr>
        <w:t>4.</w:t>
        <w:tab/>
      </w:r>
      <w:r>
        <w:rPr>
          <w:rFonts w:ascii="Calibri" w:hAnsi="Calibri"/>
          <w:sz w:val="22"/>
        </w:rPr>
        <w:t>Para los casos de Sentinel e ING, completá: contexto, qué se hizo, qué está documentado y qué no se puede concluir.</w:t>
      </w:r>
    </w:p>
    <w:p>
      <w:pPr>
        <w:tabs>
          <w:tab w:pos="425" w:val="left"/>
        </w:tabs>
        <w:spacing w:after="100"/>
        <w:ind w:left="425" w:hanging="312"/>
      </w:pPr>
      <w:r>
        <w:rPr>
          <w:b/>
        </w:rPr>
        <w:t>5.</w:t>
        <w:tab/>
      </w:r>
      <w:r>
        <w:rPr>
          <w:rFonts w:ascii="Calibri" w:hAnsi="Calibri"/>
          <w:sz w:val="22"/>
        </w:rPr>
        <w:t>¿Qué aporta el estudio de Google sobre la deuda técnica oculta en los sistemas de IA para gestionar el asistente universitario?</w:t>
      </w:r>
    </w:p>
    <w:p>
      <w:pPr>
        <w:pStyle w:val="Heading1"/>
        <w:keepNext/>
        <w:shd w:fill="EAF4FA"/>
      </w:pPr>
      <w:bookmarkStart w:id="5" w:name="seccion-5"/>
      <w:r>
        <w:rPr>
          <w:rFonts w:ascii="Calibri" w:hAnsi="Calibri"/>
          <w:b/>
          <w:color w:val="8C3838"/>
          <w:sz w:val="34"/>
        </w:rPr>
        <w:t>Antes de terminar</w:t>
      </w:r>
      <w:bookmarkEnd w:id="5"/>
    </w:p>
    <w:p>
      <w:pPr>
        <w:spacing w:line="278" w:lineRule="auto" w:after="140"/>
      </w:pPr>
      <w:r>
        <w:rPr>
          <w:rFonts w:ascii="Calibri" w:hAnsi="Calibri"/>
          <w:sz w:val="22"/>
        </w:rPr>
        <w:t>Estas actividades no tienen una única respuesta correcta: cada resolución puede ser distinta si está bien fundamentada en el Contenido del módulo. Si querés comparar tu trabajo, podés pedirle al profesor sus respuestas orientativas.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Para revisar tu trabajo</w:t>
            </w:r>
          </w:p>
          <w:p>
            <w:pPr>
              <w:tabs>
                <w:tab w:pos="340" w:val="left"/>
              </w:tabs>
              <w:spacing w:after="80"/>
              <w:ind w:left="340" w:hanging="255"/>
            </w:pPr>
            <w:r>
              <w:rPr>
                <w:b/>
                <w:color w:val="3A5BA0"/>
                <w:sz w:val="21"/>
              </w:rPr>
              <w:t>•</w:t>
              <w:tab/>
            </w:r>
            <w:r>
              <w:rPr>
                <w:rFonts w:ascii="Calibri" w:hAnsi="Calibri"/>
                <w:sz w:val="22"/>
              </w:rPr>
              <w:t>¿Tus propuestas de mejora tienen acción, responsable, evidencia y fecha de revisión?</w:t>
            </w:r>
          </w:p>
          <w:p>
            <w:pPr>
              <w:tabs>
                <w:tab w:pos="340" w:val="left"/>
              </w:tabs>
              <w:spacing w:after="80"/>
              <w:ind w:left="340" w:hanging="255"/>
            </w:pPr>
            <w:r>
              <w:rPr>
                <w:b/>
                <w:color w:val="3A5BA0"/>
                <w:sz w:val="21"/>
              </w:rPr>
              <w:t>•</w:t>
              <w:tab/>
            </w:r>
            <w:r>
              <w:rPr>
                <w:rFonts w:ascii="Calibri" w:hAnsi="Calibri"/>
                <w:sz w:val="22"/>
              </w:rPr>
              <w:t>¿Distinguiste la mejora del producto (Review) de la mejora de la forma de trabajar (retrospectiva)?</w:t>
            </w:r>
          </w:p>
          <w:p>
            <w:pPr>
              <w:tabs>
                <w:tab w:pos="340" w:val="left"/>
              </w:tabs>
              <w:spacing w:after="80"/>
              <w:ind w:left="340" w:hanging="255"/>
            </w:pPr>
            <w:r>
              <w:rPr>
                <w:b/>
                <w:color w:val="3A5BA0"/>
                <w:sz w:val="21"/>
              </w:rPr>
              <w:t>•</w:t>
              <w:tab/>
            </w:r>
            <w:r>
              <w:rPr>
                <w:rFonts w:ascii="Calibri" w:hAnsi="Calibri"/>
                <w:sz w:val="22"/>
              </w:rPr>
              <w:t>¿Evitaste atribuir a un marco resultados que los datos no demuestran?</w:t>
            </w:r>
          </w:p>
          <w:p>
            <w:pPr>
              <w:tabs>
                <w:tab w:pos="340" w:val="left"/>
              </w:tabs>
              <w:spacing w:after="80"/>
              <w:ind w:left="340" w:hanging="255"/>
            </w:pPr>
            <w:r>
              <w:rPr>
                <w:b/>
                <w:color w:val="3A5BA0"/>
                <w:sz w:val="21"/>
              </w:rPr>
              <w:t>•</w:t>
              <w:tab/>
            </w:r>
            <w:r>
              <w:rPr>
                <w:rFonts w:ascii="Calibri" w:hAnsi="Calibri"/>
                <w:sz w:val="22"/>
              </w:rPr>
              <w:t>¿Al analizar los casos, separaste lo documentado de lo que no se puede concluir?</w:t>
            </w:r>
          </w:p>
        </w:tc>
      </w:tr>
    </w:tbl>
    <w:p>
      <w:pPr>
        <w:spacing w:after="80"/>
      </w:pP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8C3838"/>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5 Actividades formativas</dc:title>
  <dc:subject>Actividades formativas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