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8C3838"/>
          <w:sz w:val="32"/>
        </w:rPr>
        <w:t>Módulo 5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Equipos, Liderazgo, Mejora Continua y Casos de Estudio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Respuestas orientativas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8C3838"/>
          <w:sz w:val="34"/>
        </w:rPr>
        <w:t>Respuestas orientativas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8C3838"/>
          <w:sz w:val="34"/>
        </w:rPr>
        <w:t>Respuestas orientativas de las actividades</w:t>
      </w:r>
      <w:bookmarkEnd w:id="1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Problemas: </w:t>
      </w:r>
      <w:r>
        <w:rPr>
          <w:rFonts w:ascii="Calibri" w:hAnsi="Calibri"/>
          <w:b/>
          <w:color w:val="12655D"/>
          <w:sz w:val="22"/>
        </w:rPr>
        <w:t>dependencia de una sola persona</w:t>
      </w:r>
      <w:r>
        <w:rPr>
          <w:rFonts w:ascii="Calibri" w:hAnsi="Calibri"/>
          <w:sz w:val="22"/>
        </w:rPr>
        <w:t xml:space="preserve"> para validar (si falta, todo se frena); </w:t>
      </w:r>
      <w:r>
        <w:rPr>
          <w:rFonts w:ascii="Calibri" w:hAnsi="Calibri"/>
          <w:b/>
          <w:color w:val="12655D"/>
          <w:sz w:val="22"/>
        </w:rPr>
        <w:t>cambios constantes de integrantes</w:t>
      </w:r>
      <w:r>
        <w:rPr>
          <w:rFonts w:ascii="Calibri" w:hAnsi="Calibri"/>
          <w:sz w:val="22"/>
        </w:rPr>
        <w:t xml:space="preserve"> (se pierde confianza y conocimiento); </w:t>
      </w:r>
      <w:r>
        <w:rPr>
          <w:rFonts w:ascii="Calibri" w:hAnsi="Calibri"/>
          <w:b/>
          <w:color w:val="12655D"/>
          <w:sz w:val="22"/>
        </w:rPr>
        <w:t>Daily usada como informe</w:t>
      </w:r>
      <w:r>
        <w:rPr>
          <w:rFonts w:ascii="Calibri" w:hAnsi="Calibri"/>
          <w:sz w:val="22"/>
        </w:rPr>
        <w:t xml:space="preserve"> y silencio sobre los problemas (los bloqueos quedan ocultos). Tener especialidades distintas no alcanza si una capacidad clave depende de una sola persona y el equipo no puede terminar su trabajo sin ella.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Falta </w:t>
      </w:r>
      <w:r>
        <w:rPr>
          <w:rFonts w:ascii="Calibri" w:hAnsi="Calibri"/>
          <w:b/>
          <w:color w:val="12655D"/>
          <w:sz w:val="22"/>
        </w:rPr>
        <w:t>seguridad psicológica</w:t>
      </w:r>
      <w:r>
        <w:rPr>
          <w:rFonts w:ascii="Calibri" w:hAnsi="Calibri"/>
          <w:sz w:val="22"/>
        </w:rPr>
        <w:t>: nadie menciona problemas y una advertencia importante fue interrumpida e ignorada. El Proyecto Aristóteles mostró que ese es el factor que más distingue a los equipos efectivos.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Acción de liderazgo de servicio: conseguir que la dirección mantenga estable al equipo y organizar que la especialista enseñe a otra persona a validar. Decisión del equipo: cómo repartir las validaciones.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Feedback posible: "En la reunión del martes, mientras la especialista explicaba que la fuente estaba desactualizada (situación), la interrumpiste dos veces (comportamiento). La explicación quedó incompleta y seguimos usando un documento viejo (impacto). ¿Podemos conversar sobre cómo escuchar la advertencia completa?"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Acuerdo posible: "Cualquier persona puede frenar el uso de una fuente si sospecha que está desactualizada, y se revisa en el día". Tuckman describe la etapa de conflicto como esperable: los desacuerdos no significan fracaso, pero tampoco se resuelven solos.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 la </w:t>
      </w:r>
      <w:r>
        <w:rPr>
          <w:rFonts w:ascii="Calibri" w:hAnsi="Calibri"/>
          <w:b/>
          <w:color w:val="12655D"/>
          <w:sz w:val="22"/>
        </w:rPr>
        <w:t>Sprint Review</w:t>
      </w:r>
      <w:r>
        <w:rPr>
          <w:rFonts w:ascii="Calibri" w:hAnsi="Calibri"/>
          <w:sz w:val="22"/>
        </w:rPr>
        <w:t xml:space="preserve">, con estudiantes y la oficina de alumnos: el término que no se entiende, para decidir cómo cambiar el lenguaje del asistente y si afecta las prioridades. A la </w:t>
      </w:r>
      <w:r>
        <w:rPr>
          <w:rFonts w:ascii="Calibri" w:hAnsi="Calibri"/>
          <w:b/>
          <w:color w:val="12655D"/>
          <w:sz w:val="22"/>
        </w:rPr>
        <w:t>retrospectiva</w:t>
      </w:r>
      <w:r>
        <w:rPr>
          <w:rFonts w:ascii="Calibri" w:hAnsi="Calibri"/>
          <w:sz w:val="22"/>
        </w:rPr>
        <w:t>: cómo se organizan las validaciones, para mejorar la forma de trabajar.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Retrospectiva posible: </w:t>
      </w:r>
      <w:r>
        <w:rPr>
          <w:rFonts w:ascii="Calibri" w:hAnsi="Calibri"/>
          <w:b/>
          <w:color w:val="12655D"/>
          <w:sz w:val="22"/>
        </w:rPr>
        <w:t>preparar el ambiente</w:t>
      </w:r>
      <w:r>
        <w:rPr>
          <w:rFonts w:ascii="Calibri" w:hAnsi="Calibri"/>
          <w:sz w:val="22"/>
        </w:rPr>
        <w:t xml:space="preserve"> leyendo el Acuerdo Primario (todos hicieron lo mejor que pudieron con lo que sabían); </w:t>
      </w:r>
      <w:r>
        <w:rPr>
          <w:rFonts w:ascii="Calibri" w:hAnsi="Calibri"/>
          <w:b/>
          <w:color w:val="12655D"/>
          <w:sz w:val="22"/>
        </w:rPr>
        <w:t>reunir datos</w:t>
      </w:r>
      <w:r>
        <w:rPr>
          <w:rFonts w:ascii="Calibri" w:hAnsi="Calibri"/>
          <w:sz w:val="22"/>
        </w:rPr>
        <w:t xml:space="preserve"> sobre cuánto esperó cada validación; </w:t>
      </w:r>
      <w:r>
        <w:rPr>
          <w:rFonts w:ascii="Calibri" w:hAnsi="Calibri"/>
          <w:b/>
          <w:color w:val="12655D"/>
          <w:sz w:val="22"/>
        </w:rPr>
        <w:t>entender por qué</w:t>
      </w:r>
      <w:r>
        <w:rPr>
          <w:rFonts w:ascii="Calibri" w:hAnsi="Calibri"/>
          <w:sz w:val="22"/>
        </w:rPr>
        <w:t xml:space="preserve"> no estaba claro cómo pedirlas; </w:t>
      </w:r>
      <w:r>
        <w:rPr>
          <w:rFonts w:ascii="Calibri" w:hAnsi="Calibri"/>
          <w:b/>
          <w:color w:val="12655D"/>
          <w:sz w:val="22"/>
        </w:rPr>
        <w:t>decidir</w:t>
      </w:r>
      <w:r>
        <w:rPr>
          <w:rFonts w:ascii="Calibri" w:hAnsi="Calibri"/>
          <w:sz w:val="22"/>
        </w:rPr>
        <w:t xml:space="preserve"> una regla concreta; </w:t>
      </w:r>
      <w:r>
        <w:rPr>
          <w:rFonts w:ascii="Calibri" w:hAnsi="Calibri"/>
          <w:b/>
          <w:color w:val="12655D"/>
          <w:sz w:val="22"/>
        </w:rPr>
        <w:t>cerrar</w:t>
      </w:r>
      <w:r>
        <w:rPr>
          <w:rFonts w:ascii="Calibri" w:hAnsi="Calibri"/>
          <w:sz w:val="22"/>
        </w:rPr>
        <w:t xml:space="preserve"> con responsable y fecha. El Acuerdo Primario dirige la conversación hacia el sistema de trabajo y no hacia culpables.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Acción concreta: "Durante el próximo Sprint, cada pedido de validación se registra en el tablero con quién lo pidió y quién lo valida; una persona sigue el acuerdo y en la próxima retrospectiva comparamos los días de espera".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Planificar:</w:t>
      </w:r>
      <w:r>
        <w:rPr>
          <w:rFonts w:ascii="Calibri" w:hAnsi="Calibri"/>
          <w:sz w:val="22"/>
        </w:rPr>
        <w:t xml:space="preserve"> la hipótesis es que una franja diaria reduce las esperas. </w:t>
      </w:r>
      <w:r>
        <w:rPr>
          <w:rFonts w:ascii="Calibri" w:hAnsi="Calibri"/>
          <w:b/>
          <w:color w:val="12655D"/>
          <w:sz w:val="22"/>
        </w:rPr>
        <w:t>Hacer:</w:t>
      </w:r>
      <w:r>
        <w:rPr>
          <w:rFonts w:ascii="Calibri" w:hAnsi="Calibri"/>
          <w:sz w:val="22"/>
        </w:rPr>
        <w:t xml:space="preserve"> probarla dos semanas. </w:t>
      </w:r>
      <w:r>
        <w:rPr>
          <w:rFonts w:ascii="Calibri" w:hAnsi="Calibri"/>
          <w:b/>
          <w:color w:val="12655D"/>
          <w:sz w:val="22"/>
        </w:rPr>
        <w:t>Verificar:</w:t>
      </w:r>
      <w:r>
        <w:rPr>
          <w:rFonts w:ascii="Calibri" w:hAnsi="Calibri"/>
          <w:sz w:val="22"/>
        </w:rPr>
        <w:t xml:space="preserve"> comparar las esperas antes y después. </w:t>
      </w:r>
      <w:r>
        <w:rPr>
          <w:rFonts w:ascii="Calibri" w:hAnsi="Calibri"/>
          <w:b/>
          <w:color w:val="12655D"/>
          <w:sz w:val="22"/>
        </w:rPr>
        <w:t>Actuar:</w:t>
      </w:r>
      <w:r>
        <w:rPr>
          <w:rFonts w:ascii="Calibri" w:hAnsi="Calibri"/>
          <w:sz w:val="22"/>
        </w:rPr>
        <w:t xml:space="preserve"> mantener, ajustar o descartar la franja.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Se pasa de 6 de 10 (</w:t>
      </w:r>
      <w:r>
        <w:rPr>
          <w:rFonts w:ascii="Calibri" w:hAnsi="Calibri"/>
          <w:b/>
          <w:color w:val="12655D"/>
          <w:sz w:val="22"/>
        </w:rPr>
        <w:t>60 %</w:t>
      </w:r>
      <w:r>
        <w:rPr>
          <w:rFonts w:ascii="Calibri" w:hAnsi="Calibri"/>
          <w:sz w:val="22"/>
        </w:rPr>
        <w:t>) a 3 de 10 (</w:t>
      </w:r>
      <w:r>
        <w:rPr>
          <w:rFonts w:ascii="Calibri" w:hAnsi="Calibri"/>
          <w:b/>
          <w:color w:val="12655D"/>
          <w:sz w:val="22"/>
        </w:rPr>
        <w:t>30 %</w:t>
      </w:r>
      <w:r>
        <w:rPr>
          <w:rFonts w:ascii="Calibri" w:hAnsi="Calibri"/>
          <w:sz w:val="22"/>
        </w:rPr>
        <w:t>): una baja de 30 puntos porcentuales. No se puede atribuir toda la mejora a la franja, porque hubo una persona más disponible. Conviene registrar la disponibilidad, el tamaño de los pedidos, los bloqueos y si la franja realmente se cumplió.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Medida de calidad: cuántas respuestas validadas hubo que corregir después, con la misma definición antes y después.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En el segundo equipo, integrar varias veces por día con pruebas es </w:t>
      </w:r>
      <w:r>
        <w:rPr>
          <w:rFonts w:ascii="Calibri" w:hAnsi="Calibri"/>
          <w:b/>
          <w:color w:val="12655D"/>
          <w:sz w:val="22"/>
        </w:rPr>
        <w:t>integración continua</w:t>
      </w:r>
      <w:r>
        <w:rPr>
          <w:rFonts w:ascii="Calibri" w:hAnsi="Calibri"/>
          <w:sz w:val="22"/>
        </w:rPr>
        <w:t xml:space="preserve">; tener el software siempre listo con una decisión humana de salida es </w:t>
      </w:r>
      <w:r>
        <w:rPr>
          <w:rFonts w:ascii="Calibri" w:hAnsi="Calibri"/>
          <w:b/>
          <w:color w:val="12655D"/>
          <w:sz w:val="22"/>
        </w:rPr>
        <w:t>entrega continua</w:t>
      </w:r>
      <w:r>
        <w:rPr>
          <w:rFonts w:ascii="Calibri" w:hAnsi="Calibri"/>
          <w:sz w:val="22"/>
        </w:rPr>
        <w:t xml:space="preserve">; que todo salga solo si pasa las pruebas es </w:t>
      </w:r>
      <w:r>
        <w:rPr>
          <w:rFonts w:ascii="Calibri" w:hAnsi="Calibri"/>
          <w:b/>
          <w:color w:val="12655D"/>
          <w:sz w:val="22"/>
        </w:rPr>
        <w:t>despliegue continuo</w:t>
      </w:r>
      <w:r>
        <w:rPr>
          <w:rFonts w:ascii="Calibri" w:hAnsi="Calibri"/>
          <w:sz w:val="22"/>
        </w:rPr>
        <w:t>. Knight Capital perdió 440 millones de dólares por un despliegue manual sin verificación. Antes de automatizar la salida, las pruebas tienen que ser confiables, el despliegue tiene que estar automatizado y verificado, y tiene que existir una forma rápida de volver atrás.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4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Señales de adopción superficial: </w:t>
      </w:r>
      <w:r>
        <w:rPr>
          <w:rFonts w:ascii="Calibri" w:hAnsi="Calibri"/>
          <w:b/>
          <w:color w:val="12655D"/>
          <w:sz w:val="22"/>
        </w:rPr>
        <w:t>comparar velocidades</w:t>
      </w:r>
      <w:r>
        <w:rPr>
          <w:rFonts w:ascii="Calibri" w:hAnsi="Calibri"/>
          <w:sz w:val="22"/>
        </w:rPr>
        <w:t xml:space="preserve"> entre equipos (cada escala es distinta y empuja a inflar estimaciones) y </w:t>
      </w:r>
      <w:r>
        <w:rPr>
          <w:rFonts w:ascii="Calibri" w:hAnsi="Calibri"/>
          <w:b/>
          <w:color w:val="12655D"/>
          <w:sz w:val="22"/>
        </w:rPr>
        <w:t>prioridades por mensajes privados</w:t>
      </w:r>
      <w:r>
        <w:rPr>
          <w:rFonts w:ascii="Calibri" w:hAnsi="Calibri"/>
          <w:sz w:val="22"/>
        </w:rPr>
        <w:t xml:space="preserve"> (el backlog deja de ser la fuente de verdad). En lugar del ranking, conviene mirar el valor entregado, la calidad y el flujo de cada equipo en su propio contexto.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El "modelo Spotify" era, según sus propios autores, una foto de un momento, y Spotify nunca lo aplicó del todo. Copiar su estructura no copia su cultura: la organización podría cambiar los nombres de los equipos sin resolver los problemas de fondo.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Antes de elegir un marco de escala, conviene revisar si el producto está bien definido, si las prioridades son compartidas, qué dependencias se pueden eliminar reorganizando los equipos y por qué se integra recién a fin de mes (la integración continua podría resolver buena parte del problema).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Sentinel.</w:t>
      </w:r>
      <w:r>
        <w:rPr>
          <w:rFonts w:ascii="Calibri" w:hAnsi="Calibri"/>
          <w:sz w:val="22"/>
        </w:rPr>
        <w:t xml:space="preserve"> Contexto: segundo intento del FBI tras el fracaso del Virtual Case File; en 2010 se habían gastado 405 millones de dólares con solo dos de cuatro etapas entregadas. Qué se hizo: el FBI tomó la conducción y adoptó un enfoque ágil. Documentado: el sistema entró en funcionamiento en 2012 y se usa a diario. No se puede concluir: que el éxito se deba solo a la agilidad, porque también cambiaron el liderazgo y la forma de contratar.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ING.</w:t>
      </w:r>
      <w:r>
        <w:rPr>
          <w:rFonts w:ascii="Calibri" w:hAnsi="Calibri"/>
          <w:sz w:val="22"/>
        </w:rPr>
        <w:t xml:space="preserve"> Contexto: la sede central de un gran banco. Qué se hizo: reorganizó a 3.500 personas en squads y tribus, con cambios en el liderazgo y la financiación. Documentado: los directivos informan mejoras en velocidad, compromiso y productividad. No se puede concluir: que esas mejoras estén medidas de forma independiente, ni que la misma estructura funcione en cualquier organización.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El estudio de Google muestra que el código del modelo es una parte pequeña de un sistema de IA y que la deuda se acumula alrededor: datos, configuración, monitoreo. Para el asistente, significa que el backlog y la Definition of Done tienen que incluir el versionado de las fuentes, la evaluación registrada y el monitoreo, y no solo el modelo.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8C38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5 Respuestas orientativas para el docente</dc:title>
  <dc:subject>Respuestas orientativas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