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ubtitle"/>
        <w:keepNext/>
        <w:spacing w:before="1701"/>
      </w:pPr>
      <w:r>
        <w:rPr>
          <w:rFonts w:ascii="Calibri" w:hAnsi="Calibri"/>
          <w:b w:val="0"/>
          <w:color w:val="536173"/>
          <w:sz w:val="26"/>
        </w:rPr>
        <w:t>Gestión de Proyectos Ágiles</w:t>
      </w:r>
    </w:p>
    <w:p>
      <w:r>
        <w:rPr>
          <w:color w:val="8C3838"/>
          <w:sz w:val="32"/>
        </w:rPr>
        <w:t>Módulo 5</w:t>
      </w:r>
    </w:p>
    <w:p>
      <w:pPr>
        <w:pStyle w:val="Title"/>
        <w:keepNext/>
        <w:spacing w:before="280" w:after="280"/>
      </w:pPr>
      <w:r>
        <w:rPr>
          <w:rFonts w:ascii="Calibri" w:hAnsi="Calibri"/>
          <w:b w:val="0"/>
          <w:color w:val="000000"/>
          <w:sz w:val="58"/>
        </w:rPr>
        <w:t>Equipos, Liderazgo, Mejora Continua y Casos de Estudio</w:t>
      </w:r>
    </w:p>
    <w:p>
      <w:pPr>
        <w:pStyle w:val="Subtitle"/>
        <w:keepNext/>
      </w:pPr>
      <w:r>
        <w:rPr>
          <w:rFonts w:ascii="Calibri" w:hAnsi="Calibri"/>
          <w:b w:val="0"/>
          <w:color w:val="536173"/>
          <w:sz w:val="26"/>
        </w:rPr>
        <w:t>Microobjetivos</w:t>
      </w:r>
    </w:p>
    <w:p>
      <w:r>
        <w:br w:type="page"/>
      </w:r>
    </w:p>
    <w:p>
      <w:pPr>
        <w:pStyle w:val="Heading1"/>
        <w:keepNext/>
        <w:shd w:fill="EAF4FA"/>
      </w:pPr>
      <w:r>
        <w:rPr>
          <w:rFonts w:ascii="Calibri" w:hAnsi="Calibri"/>
          <w:b/>
          <w:color w:val="8C3838"/>
          <w:sz w:val="34"/>
        </w:rPr>
        <w:t>Microobjetivos</w:t>
      </w:r>
    </w:p>
    <w:p>
      <w:pPr>
        <w:numPr>
          <w:ilvl w:val="0"/>
          <w:numId w:val="10"/>
        </w:numPr>
        <w:spacing w:line="278" w:lineRule="auto" w:after="140"/>
      </w:pPr>
      <w:r>
        <w:rPr>
          <w:rFonts w:ascii="Calibri" w:hAnsi="Calibri"/>
          <w:sz w:val="22"/>
        </w:rPr>
        <w:t>Comprender cómo se forman y se lideran los equipos ágiles, y por qué la seguridad psicológica es clave.</w:t>
      </w:r>
    </w:p>
    <w:p>
      <w:pPr>
        <w:numPr>
          <w:ilvl w:val="0"/>
          <w:numId w:val="10"/>
        </w:numPr>
        <w:spacing w:line="278" w:lineRule="auto" w:after="140"/>
      </w:pPr>
      <w:r>
        <w:rPr>
          <w:rFonts w:ascii="Calibri" w:hAnsi="Calibri"/>
          <w:sz w:val="22"/>
        </w:rPr>
        <w:t>Aplicar la Sprint Review, la retrospectiva y la mejora continua para producir cambios verificables.</w:t>
      </w:r>
    </w:p>
    <w:p>
      <w:pPr>
        <w:numPr>
          <w:ilvl w:val="0"/>
          <w:numId w:val="10"/>
        </w:numPr>
        <w:spacing w:line="278" w:lineRule="auto" w:after="140"/>
      </w:pPr>
      <w:r>
        <w:rPr>
          <w:rFonts w:ascii="Calibri" w:hAnsi="Calibri"/>
          <w:sz w:val="22"/>
        </w:rPr>
        <w:t>Relacionar la agilidad con la calidad técnica, la entrega continua y la coordinación entre equipos.</w:t>
      </w:r>
    </w:p>
    <w:p>
      <w:pPr>
        <w:numPr>
          <w:ilvl w:val="0"/>
          <w:numId w:val="10"/>
        </w:numPr>
        <w:spacing w:line="278" w:lineRule="auto" w:after="140"/>
      </w:pPr>
      <w:r>
        <w:rPr>
          <w:rFonts w:ascii="Calibri" w:hAnsi="Calibri"/>
          <w:sz w:val="22"/>
        </w:rPr>
        <w:t>Analizar casos reales de adopción ágil para reconocer los factores de éxito y los desafíos más comunes.</w:t>
      </w:r>
    </w:p>
    <w:sectPr w:rsidR="00FC693F" w:rsidRPr="0006063C" w:rsidSect="00034616">
      <w:footerReference w:type="default" r:id="rId9"/>
      <w:pgSz w:w="11906" w:h="16838"/>
      <w:pgMar w:top="1134" w:right="1247" w:bottom="1134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36173"/>
        <w:sz w:val="16"/>
      </w:rPr>
      <w:t xml:space="preserve">Gestión de Proyectos Ágiles  •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lvl w:ilvl="0">
      <w:start w:val="1"/>
      <w:numFmt w:val="bullet"/>
      <w:lvlText w:val="•"/>
      <w:pPr>
        <w:ind w:left="380" w:hanging="220"/>
      </w:pPr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hAnsi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8" w:lineRule="auto" w:after="140"/>
    </w:pPr>
    <w:rPr>
      <w:rFonts w:ascii="Calibri" w:hAnsi="Calibri"/>
      <w:color w:val="172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40"/>
      <w:outlineLvl w:val="0"/>
    </w:pPr>
    <w:rPr>
      <w:rFonts w:ascii="Calibri" w:hAnsi="Calibri"/>
      <w:b/>
      <w:bCs/>
      <w:color w:val="8C3838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00" w:after="140"/>
      <w:outlineLvl w:val="1"/>
    </w:pPr>
    <w:rPr>
      <w:rFonts w:ascii="Calibri" w:hAnsi="Calibri"/>
      <w:b/>
      <w:bCs/>
      <w:color w:val="1265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00" w:after="140"/>
      <w:outlineLvl w:val="2"/>
    </w:pPr>
    <w:rPr>
      <w:rFonts w:ascii="Calibri" w:hAnsi="Calibri"/>
      <w:b/>
      <w:bCs/>
      <w:color w:val="5D3E83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/>
      <w:b/>
      <w:bCs/>
      <w:i/>
      <w:iCs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/>
      <w:color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/>
      <w:i/>
      <w:iCs/>
      <w:color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/>
      <w:color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/>
      <w:b/>
      <w:bCs/>
      <w:color w:val="365F9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/>
      <w:b/>
      <w:bCs/>
      <w:color w:val="4F81BD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/>
      <w:b/>
      <w:bCs/>
      <w:color w:val="4F81BD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0"/>
      <w:spacing w:after="140" w:line="240" w:lineRule="auto" w:before="120"/>
      <w:contextualSpacing/>
    </w:pPr>
    <w:rPr>
      <w:rFonts w:ascii="Calibri" w:hAnsi="Calibri"/>
      <w:b w:val="0"/>
      <w:color w:val="000000"/>
      <w:spacing w:val="5"/>
      <w:kern w:val="28"/>
      <w:sz w:val="5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/>
      <w:color w:val="17365D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before="120" w:after="140"/>
    </w:pPr>
    <w:rPr>
      <w:rFonts w:ascii="Calibri" w:hAnsi="Calibri"/>
      <w:b w:val="0"/>
      <w:i/>
      <w:iCs/>
      <w:color w:val="536173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/>
      <w:i/>
      <w:iCs/>
      <w:color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/>
      <w:b/>
      <w:bCs/>
      <w:i/>
      <w:iCs/>
      <w:color w:val="4F81B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/>
      <w:color w:val="243F6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/>
      <w:i/>
      <w:iCs/>
      <w:color w:val="243F6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/>
      <w:color w:val="4F81BD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after="200"/>
    </w:pPr>
    <w:rPr>
      <w:rFonts w:ascii="Calibri" w:hAnsi="Calibri"/>
      <w:b/>
      <w:bCs/>
      <w:color w:val="536173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/>
    </w:rPr>
    <w:tblPr>
      <w:tblStyleRowBandSize w:val="1"/>
      <w:tblStyleColBandSize w:val="1"/>
      <w:tblInd w:w="0" w:type="dxa"/>
      <w:tblBorders>
        <w:top w:val="single" w:sz="8" w:space="0" w:color="C0504D"/>
        <w:bottom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/>
    </w:rPr>
    <w:tblPr>
      <w:tblStyleRowBandSize w:val="1"/>
      <w:tblStyleColBandSize w:val="1"/>
      <w:tblInd w:w="0" w:type="dxa"/>
      <w:tblBorders>
        <w:top w:val="single" w:sz="8" w:space="0" w:color="9BBB59"/>
        <w:bottom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/>
    </w:rPr>
    <w:tblPr>
      <w:tblStyleRowBandSize w:val="1"/>
      <w:tblStyleColBandSize w:val="1"/>
      <w:tblInd w:w="0" w:type="dxa"/>
      <w:tblBorders>
        <w:top w:val="single" w:sz="8" w:space="0" w:color="8064A2"/>
        <w:bottom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/>
    </w:rPr>
    <w:tblPr>
      <w:tblStyleRowBandSize w:val="1"/>
      <w:tblStyleColBandSize w:val="1"/>
      <w:tblInd w:w="0" w:type="dxa"/>
      <w:tblBorders>
        <w:top w:val="single" w:sz="8" w:space="0" w:color="4BACC6"/>
        <w:bottom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/>
    </w:rPr>
    <w:tblPr>
      <w:tblStyleRowBandSize w:val="1"/>
      <w:tblStyleColBandSize w:val="1"/>
      <w:tblInd w:w="0" w:type="dxa"/>
      <w:tblBorders>
        <w:top w:val="single" w:sz="8" w:space="0" w:color="F79646"/>
        <w:bottom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/>
        <w:bottom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/>
        <w:bottom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/>
        <w:bottom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/>
        <w:bottom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/>
        <w:bottom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 w:themeFill="tex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firstCol">
      <w:rPr>
        <w:color w:val="FFFFFF"/>
      </w:rPr>
      <w:tblPr/>
      <w:tcPr>
        <w:shd w:val="clear" w:color="auto" w:fill="000000" w:themeFill="text1" w:themeFillShade="BF"/>
      </w:tcPr>
    </w:tblStylePr>
    <w:tblStylePr w:type="lastCol">
      <w:rPr>
        <w:color w:val="FFFFFF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65F91" w:themeFill="accent1" w:themeFillShade="BF"/>
      </w:tcPr>
    </w:tblStylePr>
    <w:tblStylePr w:type="lastCol">
      <w:rPr>
        <w:color w:val="FFFFFF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firstCol">
      <w:rPr>
        <w:color w:val="FFFFFF"/>
      </w:rPr>
      <w:tblPr/>
      <w:tcPr>
        <w:shd w:val="clear" w:color="auto" w:fill="943634" w:themeFill="accent2" w:themeFillShade="BF"/>
      </w:tcPr>
    </w:tblStylePr>
    <w:tblStylePr w:type="lastCol">
      <w:rPr>
        <w:color w:val="FFFFFF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firstCol">
      <w:rPr>
        <w:color w:val="FFFFFF"/>
      </w:rPr>
      <w:tblPr/>
      <w:tcPr>
        <w:shd w:val="clear" w:color="auto" w:fill="76923C" w:themeFill="accent3" w:themeFillShade="BF"/>
      </w:tcPr>
    </w:tblStylePr>
    <w:tblStylePr w:type="lastCol">
      <w:rPr>
        <w:color w:val="FFFFFF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firstCol">
      <w:rPr>
        <w:color w:val="FFFFFF"/>
      </w:rPr>
      <w:tblPr/>
      <w:tcPr>
        <w:shd w:val="clear" w:color="auto" w:fill="5F497A" w:themeFill="accent4" w:themeFillShade="BF"/>
      </w:tcPr>
    </w:tblStylePr>
    <w:tblStylePr w:type="lastCol">
      <w:rPr>
        <w:color w:val="FFFFFF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firstCol">
      <w:rPr>
        <w:color w:val="FFFFFF"/>
      </w:rPr>
      <w:tblPr/>
      <w:tcPr>
        <w:shd w:val="clear" w:color="auto" w:fill="31849B" w:themeFill="accent5" w:themeFillShade="BF"/>
      </w:tcPr>
    </w:tblStylePr>
    <w:tblStylePr w:type="lastCol">
      <w:rPr>
        <w:color w:val="FFFFFF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firstCol">
      <w:rPr>
        <w:color w:val="FFFFFF"/>
      </w:rPr>
      <w:tblPr/>
      <w:tcPr>
        <w:shd w:val="clear" w:color="auto" w:fill="E36C0A" w:themeFill="accent6" w:themeFillShade="BF"/>
      </w:tcPr>
    </w:tblStylePr>
    <w:tblStylePr w:type="lastCol">
      <w:rPr>
        <w:color w:val="FFFFFF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Hyperlink">
    <w:name w:val="Hyperlink"/>
    <w:rPr>
      <w:color w:val="245E91"/>
      <w:u w:val="singl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Gestión de Proyectos Ágiles Módulo 5 Microobjetivos</dc:title>
  <dc:subject>Microobjetivos de Gestión de Proyectos Ágiles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es-AR</dc:language>
</cp:coreProperties>
</file>