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80" w:after="280"/>
      </w:pPr>
      <w:r>
        <w:rPr>
          <w:rFonts w:ascii="Calibri" w:hAnsi="Calibri"/>
          <w:b w:val="0"/>
          <w:color w:val="000000"/>
          <w:sz w:val="52"/>
        </w:rPr>
        <w:t>Actividades del módulo 1</w:t>
      </w:r>
    </w:p>
    <w:p>
      <w:pPr>
        <w:spacing w:line="278" w:lineRule="auto" w:after="140"/>
      </w:pPr>
      <w:r>
        <w:rPr>
          <w:rFonts w:ascii="Calibri" w:hAnsi="Calibri"/>
          <w:b/>
          <w:color w:val="12655D"/>
          <w:sz w:val="22"/>
        </w:rPr>
        <w:t>Gestión de Proyectos Ágiles · Gestión de Proyectos y Fundamentos de Agilidad</w:t>
      </w:r>
    </w:p>
    <w:p>
      <w:pPr>
        <w:spacing w:line="278" w:lineRule="auto" w:after="140"/>
      </w:pPr>
      <w:r>
        <w:rPr>
          <w:rFonts w:ascii="Calibri" w:hAnsi="Calibri"/>
          <w:sz w:val="22"/>
        </w:rPr>
        <w:t>Vas a distinguir qué se gestiona, analizar restricciones y justificar un enfoque de trabajo. Resolvé las consignas en un borrador propio y después compará con las respuestas del final. Son prácticas autónomas, sin entrega ni calificación. Todos los casos y datos son didácticos.</w:t>
      </w:r>
    </w:p>
    <w:p>
      <w:pPr>
        <w:pStyle w:val="Heading1"/>
        <w:keepNext/>
        <w:shd w:fill="EAF4FA"/>
      </w:pPr>
      <w:r>
        <w:rPr>
          <w:rFonts w:ascii="Calibri" w:hAnsi="Calibri"/>
          <w:b/>
          <w:color w:val="000000"/>
          <w:sz w:val="32"/>
        </w:rPr>
        <w:t>Actividad 1 Delimitar el proyecto</w:t>
      </w:r>
    </w:p>
    <w:p>
      <w:pPr>
        <w:spacing w:line="278" w:lineRule="auto" w:after="140"/>
      </w:pPr>
      <w:r>
        <w:rPr>
          <w:rFonts w:ascii="Calibri" w:hAnsi="Calibri"/>
          <w:b/>
          <w:color w:val="12655D"/>
          <w:sz w:val="22"/>
        </w:rPr>
        <w:t>Contexto general.</w:t>
      </w:r>
      <w:r>
        <w:rPr>
          <w:rFonts w:ascii="Calibri" w:hAnsi="Calibri"/>
          <w:sz w:val="22"/>
        </w:rPr>
        <w:t xml:space="preserve"> Una universidad prepara en seis semanas un piloto de un asistente con IA que orienta sobre inscripciones. La oficina de alumnos valida la información; estudiantes prueban las respuestas; una dirección autoriza el presupuesto. Una vez habilitado, un equipo atiende incidentes y actualiza documentos cada semana.</w:t>
      </w:r>
    </w:p>
    <w:p>
      <w:pPr>
        <w:numPr>
          <w:ilvl w:val="0"/>
          <w:numId w:val="10"/>
        </w:numPr>
        <w:spacing w:line="278" w:lineRule="auto" w:after="140"/>
      </w:pPr>
      <w:r>
        <w:rPr>
          <w:rFonts w:ascii="Calibri" w:hAnsi="Calibri"/>
          <w:sz w:val="22"/>
        </w:rPr>
        <w:t>Identificá proyecto, producto y dos tareas de operación. Indicá qué resultado permitiría cerrar el proyecto piloto aunque el producto continúe.</w:t>
      </w:r>
    </w:p>
    <w:p>
      <w:pPr>
        <w:numPr>
          <w:ilvl w:val="0"/>
          <w:numId w:val="10"/>
        </w:numPr>
        <w:spacing w:line="278" w:lineRule="auto" w:after="140"/>
      </w:pPr>
      <w:r>
        <w:rPr>
          <w:rFonts w:ascii="Calibri" w:hAnsi="Calibri"/>
          <w:sz w:val="22"/>
        </w:rPr>
        <w:t>Distinguí cliente, usuarios, sponsor y especialistas del dominio. Elegí dos interesados y proponé cómo involucrarlos; explicá qué información perderías si no participaran.</w:t>
      </w:r>
    </w:p>
    <w:p>
      <w:pPr>
        <w:numPr>
          <w:ilvl w:val="0"/>
          <w:numId w:val="10"/>
        </w:numPr>
        <w:spacing w:line="278" w:lineRule="auto" w:after="140"/>
      </w:pPr>
      <w:r>
        <w:rPr>
          <w:rFonts w:ascii="Calibri" w:hAnsi="Calibri"/>
          <w:sz w:val="22"/>
        </w:rPr>
        <w:t>Relacioná estas acciones con funciones de gestión: autorizar el piloto; organizar las pruebas; integrar el asistente; comparar respuestas con lo esperado; transferir responsabilidades de soporte. ¿Es necesario esperar al final para monitorear y controlar?</w:t>
      </w:r>
    </w:p>
    <w:p>
      <w:pPr>
        <w:pStyle w:val="Heading1"/>
        <w:keepNext/>
        <w:shd w:fill="EAF4FA"/>
      </w:pPr>
      <w:r>
        <w:rPr>
          <w:rFonts w:ascii="Calibri" w:hAnsi="Calibri"/>
          <w:b/>
          <w:color w:val="000000"/>
          <w:sz w:val="32"/>
        </w:rPr>
        <w:t>Actividad 2 Elegir cómo avanzar</w:t>
      </w:r>
    </w:p>
    <w:p>
      <w:pPr>
        <w:spacing w:line="278" w:lineRule="auto" w:after="140"/>
      </w:pPr>
      <w:r>
        <w:rPr>
          <w:rFonts w:ascii="Calibri" w:hAnsi="Calibri"/>
          <w:b/>
          <w:color w:val="12655D"/>
          <w:sz w:val="22"/>
        </w:rPr>
        <w:t>Contexto general.</w:t>
      </w:r>
      <w:r>
        <w:rPr>
          <w:rFonts w:ascii="Calibri" w:hAnsi="Calibri"/>
          <w:sz w:val="22"/>
        </w:rPr>
        <w:t xml:space="preserve"> Compará tres trabajos: A) trasladar documentos a un repositorio con formato y procedimiento ya probados; B) descubrir cómo responder consultas que los estudiantes formulan de maneras impredecibles; C) coordinar una migración con fecha fija y, al mismo tiempo, explorar la interacción del asistente.</w:t>
      </w:r>
    </w:p>
    <w:p>
      <w:pPr>
        <w:numPr>
          <w:ilvl w:val="0"/>
          <w:numId w:val="11"/>
        </w:numPr>
        <w:spacing w:line="278" w:lineRule="auto" w:after="140"/>
      </w:pPr>
      <w:r>
        <w:rPr>
          <w:rFonts w:ascii="Calibri" w:hAnsi="Calibri"/>
          <w:sz w:val="22"/>
        </w:rPr>
        <w:t>Elegí un enfoque predictivo, adaptativo o híbrido para cada trabajo. Fundamentá con incertidumbre, posibilidad de obtener feedback y restricciones. Indicá un dato adicional que podría cambiar tu decisión.</w:t>
      </w:r>
    </w:p>
    <w:p>
      <w:pPr>
        <w:numPr>
          <w:ilvl w:val="0"/>
          <w:numId w:val="11"/>
        </w:numPr>
        <w:spacing w:line="278" w:lineRule="auto" w:after="140"/>
      </w:pPr>
      <w:r>
        <w:rPr>
          <w:rFonts w:ascii="Calibri" w:hAnsi="Calibri"/>
          <w:sz w:val="22"/>
        </w:rPr>
        <w:t>Clasificá estas acciones como iteración, incremento o ambas: mejorar la claridad de respuestas existentes; incorporar consultas sobre becas como nueva capacidad utilizable; agregar becas y ajustar sus respuestas a partir de pruebas.</w:t>
      </w:r>
    </w:p>
    <w:p>
      <w:pPr>
        <w:numPr>
          <w:ilvl w:val="0"/>
          <w:numId w:val="11"/>
        </w:numPr>
        <w:spacing w:line="278" w:lineRule="auto" w:after="140"/>
      </w:pPr>
      <w:r>
        <w:rPr>
          <w:rFonts w:ascii="Calibri" w:hAnsi="Calibri"/>
          <w:sz w:val="22"/>
        </w:rPr>
        <w:t>En el piloto se pide agregar consultas de becas manteniendo fecha y presupuesto. Proponé dos alternativas de alcance y explicá qué conservarías para cuidar la calidad. ¿Quiénes necesitan participar de la decisión?</w:t>
      </w:r>
    </w:p>
    <w:p>
      <w:pPr>
        <w:pStyle w:val="Heading1"/>
        <w:keepNext/>
        <w:shd w:fill="EAF4FA"/>
      </w:pPr>
      <w:r>
        <w:rPr>
          <w:rFonts w:ascii="Calibri" w:hAnsi="Calibri"/>
          <w:b/>
          <w:color w:val="000000"/>
          <w:sz w:val="32"/>
        </w:rPr>
        <w:t>Actividad 3 Interpretar los valores ágiles</w:t>
      </w:r>
    </w:p>
    <w:p>
      <w:pPr>
        <w:spacing w:line="278" w:lineRule="auto" w:after="140"/>
      </w:pPr>
      <w:r>
        <w:rPr>
          <w:rFonts w:ascii="Calibri" w:hAnsi="Calibri"/>
          <w:b/>
          <w:color w:val="12655D"/>
          <w:sz w:val="22"/>
        </w:rPr>
        <w:t>Fundamentos de agilidad.</w:t>
      </w:r>
      <w:r>
        <w:rPr>
          <w:rFonts w:ascii="Calibri" w:hAnsi="Calibri"/>
          <w:sz w:val="22"/>
        </w:rPr>
        <w:t xml:space="preserve"> En una reunión se escuchan cuatro frases: A) «Como somos ágiles, no necesitamos registrar las fuentes del asistente»; B) «El plan está aprobado, así que no vamos a corregir una necesidad mal entendida»; C) «Si hay un tablero actualizado, ya no hace falta conversar con alumnos»; D) «Podemos ajustar el plan con el cliente y documentar el acuerdo».</w:t>
      </w:r>
    </w:p>
    <w:p>
      <w:pPr>
        <w:numPr>
          <w:ilvl w:val="0"/>
          <w:numId w:val="12"/>
        </w:numPr>
        <w:spacing w:line="278" w:lineRule="auto" w:after="140"/>
      </w:pPr>
      <w:r>
        <w:rPr>
          <w:rFonts w:ascii="Calibri" w:hAnsi="Calibri"/>
          <w:sz w:val="22"/>
        </w:rPr>
        <w:t>Indicá qué frases son coherentes con el Manifiesto y corregí las demás. Relacioná cada respuesta con un valor y su aplicación al caso.</w:t>
      </w:r>
    </w:p>
    <w:p>
      <w:pPr>
        <w:numPr>
          <w:ilvl w:val="0"/>
          <w:numId w:val="12"/>
        </w:numPr>
        <w:spacing w:line="278" w:lineRule="auto" w:after="140"/>
      </w:pPr>
      <w:r>
        <w:rPr>
          <w:rFonts w:ascii="Calibri" w:hAnsi="Calibri"/>
          <w:sz w:val="22"/>
        </w:rPr>
        <w:t>Elegí dos principios del módulo y proponé una conducta observable para cada uno durante el piloto. Evitá repetir el principio sin mostrar cómo se aplica.</w:t>
      </w:r>
    </w:p>
    <w:p>
      <w:pPr>
        <w:numPr>
          <w:ilvl w:val="0"/>
          <w:numId w:val="12"/>
        </w:numPr>
        <w:spacing w:line="278" w:lineRule="auto" w:after="140"/>
      </w:pPr>
      <w:r>
        <w:rPr>
          <w:rFonts w:ascii="Calibri" w:hAnsi="Calibri"/>
          <w:sz w:val="22"/>
        </w:rPr>
        <w:t>Explicá por qué la entrega frecuente puede ayudar a aprender y por qué una demostración que todavía responde mal no prueba valor para el usuario.</w:t>
      </w:r>
    </w:p>
    <w:p>
      <w:pPr>
        <w:spacing w:line="278" w:lineRule="auto" w:after="140"/>
      </w:pPr>
      <w:r>
        <w:rPr>
          <w:rFonts w:ascii="Calibri" w:hAnsi="Calibri"/>
          <w:b/>
          <w:color w:val="12655D"/>
          <w:sz w:val="22"/>
        </w:rPr>
        <w:t>Consulta opcional.</w:t>
      </w:r>
      <w:r>
        <w:rPr>
          <w:rFonts w:ascii="Calibri" w:hAnsi="Calibri"/>
          <w:sz w:val="22"/>
        </w:rPr>
        <w:t xml:space="preserve"> Contrastá tu lectura con el </w:t>
      </w:r>
      <w:hyperlink r:id="rId10">
        <w:r>
          <w:rPr>
            <w:rStyle w:val="Hyperlink"/>
          </w:rPr>
          <w:t xml:space="preserve">Manifiesto Ágil en español</w:t>
        </w:r>
      </w:hyperlink>
      <w:r>
        <w:rPr>
          <w:rFonts w:ascii="Calibri" w:hAnsi="Calibri"/>
          <w:sz w:val="22"/>
        </w:rPr>
        <w:t>. Observá cómo se establece una prioridad sin eliminar lo que se valora en segundo término. Si no podés abrirlo, usá las secciones 11 y 12 del Contenido.</w:t>
      </w:r>
    </w:p>
    <w:p>
      <w:pPr>
        <w:pStyle w:val="Heading1"/>
        <w:keepNext/>
        <w:shd w:fill="EAF4FA"/>
      </w:pPr>
      <w:r>
        <w:rPr>
          <w:rFonts w:ascii="Calibri" w:hAnsi="Calibri"/>
          <w:b/>
          <w:color w:val="000000"/>
          <w:sz w:val="32"/>
        </w:rPr>
        <w:t>Actividad 4 Distinguir trabajo realizado de valor</w:t>
      </w:r>
    </w:p>
    <w:p>
      <w:pPr>
        <w:spacing w:line="278" w:lineRule="auto" w:after="140"/>
      </w:pPr>
      <w:r>
        <w:rPr>
          <w:rFonts w:ascii="Calibri" w:hAnsi="Calibri"/>
          <w:b/>
          <w:color w:val="12655D"/>
          <w:sz w:val="22"/>
        </w:rPr>
        <w:t>Caso de IA.</w:t>
      </w:r>
      <w:r>
        <w:rPr>
          <w:rFonts w:ascii="Calibri" w:hAnsi="Calibri"/>
          <w:sz w:val="22"/>
        </w:rPr>
        <w:t xml:space="preserve"> En una prueba de 20 consultas definidas de antemano, el asistente orientó correctamente 12. Tras una revisión, resolvió 16 de las mismas 20. Además, el equipo cargó 40 documentos y completó 25 tareas. Todavía no se comprobó si los estudiantes entienden las respuestas ni si pueden terminar su trámite.</w:t>
      </w:r>
    </w:p>
    <w:p>
      <w:pPr>
        <w:numPr>
          <w:ilvl w:val="0"/>
          <w:numId w:val="13"/>
        </w:numPr>
        <w:spacing w:line="278" w:lineRule="auto" w:after="140"/>
      </w:pPr>
      <w:r>
        <w:rPr>
          <w:rFonts w:ascii="Calibri" w:hAnsi="Calibri"/>
          <w:sz w:val="22"/>
        </w:rPr>
        <w:t>Separá indicadores de trabajo realizado, evidencia de funcionamiento y evidencia de beneficio para usuarios.</w:t>
      </w:r>
    </w:p>
    <w:p>
      <w:pPr>
        <w:numPr>
          <w:ilvl w:val="0"/>
          <w:numId w:val="13"/>
        </w:numPr>
        <w:spacing w:line="278" w:lineRule="auto" w:after="140"/>
      </w:pPr>
      <w:r>
        <w:rPr>
          <w:rFonts w:ascii="Calibri" w:hAnsi="Calibri"/>
          <w:sz w:val="22"/>
        </w:rPr>
        <w:t>Calculá el porcentaje de consultas correctas antes y después. ¿Qué mejora muestran estos datos y qué conclusión todavía no permiten?</w:t>
      </w:r>
    </w:p>
    <w:p>
      <w:pPr>
        <w:numPr>
          <w:ilvl w:val="0"/>
          <w:numId w:val="13"/>
        </w:numPr>
        <w:spacing w:line="278" w:lineRule="auto" w:after="140"/>
      </w:pPr>
      <w:r>
        <w:rPr>
          <w:rFonts w:ascii="Calibri" w:hAnsi="Calibri"/>
          <w:sz w:val="22"/>
        </w:rPr>
        <w:t>Proponé una prueba con estudiantes que aporte la evidencia faltante, indicando qué observarías. Luego distinguí construir este asistente de usar una IA para resumir las reuniones del proyecto.</w:t>
      </w:r>
    </w:p>
    <w:p>
      <w:r>
        <w:br w:type="page"/>
      </w:r>
    </w:p>
    <w:p>
      <w:pPr>
        <w:pStyle w:val="Heading1"/>
        <w:keepNext/>
        <w:shd w:fill="EAF4FA"/>
      </w:pPr>
      <w:r>
        <w:rPr>
          <w:rFonts w:ascii="Calibri" w:hAnsi="Calibri"/>
          <w:b/>
          <w:color w:val="000000"/>
          <w:sz w:val="32"/>
        </w:rPr>
        <w:t>Respuestas orientativas y autoevaluación</w:t>
      </w:r>
    </w:p>
    <w:p>
      <w:pPr>
        <w:pStyle w:val="Heading2"/>
        <w:keepNext/>
      </w:pPr>
      <w:r>
        <w:rPr>
          <w:rFonts w:ascii="Calibri" w:hAnsi="Calibri"/>
          <w:b/>
          <w:color w:val="000000"/>
          <w:sz w:val="26"/>
        </w:rPr>
        <w:t>Actividad 1</w:t>
      </w:r>
    </w:p>
    <w:p>
      <w:pPr>
        <w:spacing w:line="278" w:lineRule="auto" w:after="140"/>
      </w:pPr>
      <w:r>
        <w:rPr>
          <w:rFonts w:ascii="Calibri" w:hAnsi="Calibri"/>
          <w:sz w:val="22"/>
        </w:rPr>
        <w:t>El proyecto es preparar y evaluar el piloto en el plazo acordado; el producto es el asistente; atender incidentes y actualizar información son operación. El cierre requiere contrastar resultados con criterios acordados, registrar aprendizajes y transferir responsabilidades, incluso si se decide no ampliar el piloto.</w:t>
      </w:r>
    </w:p>
    <w:p>
      <w:pPr>
        <w:spacing w:line="278" w:lineRule="auto" w:after="140"/>
      </w:pPr>
      <w:r>
        <w:rPr>
          <w:rFonts w:ascii="Calibri" w:hAnsi="Calibri"/>
          <w:sz w:val="22"/>
        </w:rPr>
        <w:t>La universidad encarga la solución; los estudiantes la usan; la dirección que autoriza recursos cumple la función de sponsor; alumnos aporta conocimiento de trámites. Involucrá a alumnos en la validación y a estudiantes en pruebas de comprensión. Autorizar corresponde a inicio; organizar, a planificación; integrar, a ejecución; comparar, a monitoreo y control; transferir responsabilidades, al cierre. Estas funciones pueden superponerse y repetirse.</w:t>
      </w:r>
    </w:p>
    <w:p>
      <w:pPr>
        <w:pStyle w:val="Heading2"/>
        <w:keepNext/>
      </w:pPr>
      <w:r>
        <w:rPr>
          <w:rFonts w:ascii="Calibri" w:hAnsi="Calibri"/>
          <w:b/>
          <w:color w:val="000000"/>
          <w:sz w:val="26"/>
        </w:rPr>
        <w:t>Actividad 2</w:t>
      </w:r>
    </w:p>
    <w:p>
      <w:pPr>
        <w:spacing w:line="278" w:lineRule="auto" w:after="140"/>
      </w:pPr>
      <w:r>
        <w:rPr>
          <w:rFonts w:ascii="Calibri" w:hAnsi="Calibri"/>
          <w:sz w:val="22"/>
        </w:rPr>
        <w:t>A admite planificación predictiva por la estabilidad del procedimiento; B necesita prueba y adaptación; C admite coordinación híbrida. La elección debe justificar condiciones: errores previos en el procedimiento de A o falta de acceso a usuarios en B obligarían a revisar el diagnóstico. Mejorar lo existente es iterar; añadir becas es incrementar; añadirlas y revisarlas combina ambos movimientos.</w:t>
      </w:r>
    </w:p>
    <w:p>
      <w:pPr>
        <w:spacing w:line="278" w:lineRule="auto" w:after="140"/>
      </w:pPr>
      <w:r>
        <w:rPr>
          <w:rFonts w:ascii="Calibri" w:hAnsi="Calibri"/>
          <w:sz w:val="22"/>
        </w:rPr>
        <w:t>Ante el cambio, podés postergar becas o sustituir otra capacidad menos prioritaria, previa evaluación de dependencias. No conviene ocultar el aumento ni eliminar pruebas. Quienes tienen autoridad sobre recursos, el equipo y quienes conocen las necesidades aportan a la decisión.</w:t>
      </w:r>
    </w:p>
    <w:p>
      <w:pPr>
        <w:pStyle w:val="Heading2"/>
        <w:keepNext/>
      </w:pPr>
      <w:r>
        <w:rPr>
          <w:rFonts w:ascii="Calibri" w:hAnsi="Calibri"/>
          <w:b/>
          <w:color w:val="000000"/>
          <w:sz w:val="26"/>
        </w:rPr>
        <w:t>Actividad 3</w:t>
      </w:r>
    </w:p>
    <w:p>
      <w:pPr>
        <w:spacing w:line="278" w:lineRule="auto" w:after="140"/>
      </w:pPr>
      <w:r>
        <w:rPr>
          <w:rFonts w:ascii="Calibri" w:hAnsi="Calibri"/>
          <w:sz w:val="22"/>
        </w:rPr>
        <w:t>A, B y C interpretan mal los valores; D es coherente. Registrar fuentes apoya la confiabilidad. Revisar una necesidad mal entendida permite adaptar el plan. La herramienta apoya la conversación, pero no reemplaza a quienes conocen el trámite. Dos aplicaciones posibles de los principios son probar una capacidad acotada con frecuencia y revisar regularmente cómo trabaja el equipo. La frecuencia sirve si permite comprobar calidad y utilidad.</w:t>
      </w:r>
    </w:p>
    <w:p>
      <w:pPr>
        <w:pStyle w:val="Heading2"/>
        <w:keepNext/>
      </w:pPr>
      <w:r>
        <w:rPr>
          <w:rFonts w:ascii="Calibri" w:hAnsi="Calibri"/>
          <w:b/>
          <w:color w:val="000000"/>
          <w:sz w:val="26"/>
        </w:rPr>
        <w:t>Actividad 4</w:t>
      </w:r>
    </w:p>
    <w:p>
      <w:pPr>
        <w:spacing w:line="278" w:lineRule="auto" w:after="140"/>
      </w:pPr>
      <w:r>
        <w:rPr>
          <w:rFonts w:ascii="Calibri" w:hAnsi="Calibri"/>
          <w:sz w:val="22"/>
        </w:rPr>
        <w:t>Documentos y tareas describen actividad. Las respuestas correctas aportan evidencia de funcionamiento: 12/20 = 60 % y 16/20 = 80 %, una mejora de 20 puntos porcentuales en ese conjunto. No demuestra igual desempeño ante todas las consultas, comprensión ni beneficio real. Podés observar si estudiantes identifican los pasos de inscripción, dónde se confunden y cuándo necesitan ayuda, con tareas y criterios explícitos. Construir el asistente es el objeto del proyecto; resumir reuniones con IA es un apoyo a su gestión y requiere revisar el resumen.</w:t>
      </w:r>
    </w:p>
    <w:p>
      <w:pPr>
        <w:spacing w:line="278" w:lineRule="auto" w:after="140"/>
      </w:pPr>
      <w:r>
        <w:rPr>
          <w:rFonts w:ascii="Calibri" w:hAnsi="Calibri"/>
          <w:b/>
          <w:color w:val="12655D"/>
          <w:sz w:val="22"/>
        </w:rPr>
        <w:t>Antes de avanzar.</w:t>
      </w:r>
      <w:r>
        <w:rPr>
          <w:rFonts w:ascii="Calibri" w:hAnsi="Calibri"/>
          <w:sz w:val="22"/>
        </w:rPr>
        <w:t xml:space="preserve"> Comprobá que distinguís los tres horizontes, justificás enfoques con datos, interpretás valores sin extremos y no confundís cantidad de tareas con valor. Si una respuesta queda genérica, agregá una decisión concreta del caso.</w:t>
      </w:r>
    </w:p>
    <w:sectPr w:rsidR="00FC693F" w:rsidRPr="0006063C" w:rsidSect="00034616">
      <w:footerReference w:type="default" r:id="rId9"/>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73"/>
        <w:sz w:val="16"/>
      </w:rPr>
      <w:t xml:space="preserve">Gestión de Proyectos Ágiles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80" w:hanging="220"/>
      </w:pPr>
    </w:lvl>
  </w:abstractNum>
  <w:num w:numId="10">
    <w:abstractNumId w:val="9"/>
  </w:num>
  <w:abstractNum w:abstractNumId="10">
    <w:lvl w:ilvl="0">
      <w:start w:val="1"/>
      <w:numFmt w:val="decimal"/>
      <w:lvlText w:val="%1."/>
      <w:pPr>
        <w:ind w:left="380" w:hanging="220"/>
      </w:pPr>
    </w:lvl>
  </w:abstractNum>
  <w:num w:numId="11">
    <w:abstractNumId w:val="10"/>
  </w:num>
  <w:abstractNum w:abstractNumId="11">
    <w:lvl w:ilvl="0">
      <w:start w:val="1"/>
      <w:numFmt w:val="decimal"/>
      <w:lvlText w:val="%1."/>
      <w:pPr>
        <w:ind w:left="380" w:hanging="220"/>
      </w:pPr>
    </w:lvl>
  </w:abstractNum>
  <w:num w:numId="12">
    <w:abstractNumId w:val="11"/>
  </w:num>
  <w:abstractNum w:abstractNumId="12">
    <w:lvl w:ilvl="0">
      <w:start w:val="1"/>
      <w:numFmt w:val="decimal"/>
      <w:lvlText w:val="%1."/>
      <w:pPr>
        <w:ind w:left="380" w:hanging="22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Calibri" w:hAnsi="Calibri"/>
      <w:color w:val="172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val="0"/>
      <w:spacing w:after="140" w:line="240" w:lineRule="auto" w:before="120"/>
      <w:contextualSpacing/>
    </w:pPr>
    <w:rPr>
      <w:rFonts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120" w:after="140"/>
    </w:pPr>
    <w:rPr>
      <w:rFonts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color w:val="5361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245E9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ilemanifesto.org/iso/es/manifest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Actividades del módulo 1 Gestión de Proyectos Ágiles</dc:title>
  <dc:subject>Práctica autónoma con respuestas orientativas</dc:subject>
  <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