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2"/>
        </w:rPr>
        <w:t>Actividades del módulo 2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Gestión de Proyectos Ágiles · Metodologías y Marcos de Trabajo Ágiles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Vas a practicar cada enfoque por separado y después compararlos. Resolvé en un borrador antes de consultar las respuestas del final. Son actividades autónomas, sin entrega ni calificación. Todos los escenarios son didácticos y se resuelven con el Contenido.</w:t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000000"/>
          <w:sz w:val="32"/>
        </w:rPr>
        <w:t>Actividad 1 Reconstruir el funcionamiento de Scrum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Contexto Scrum.</w:t>
      </w:r>
      <w:r>
        <w:rPr>
          <w:rFonts w:ascii="Calibri" w:hAnsi="Calibri"/>
          <w:sz w:val="22"/>
        </w:rPr>
        <w:t xml:space="preserve"> El equipo del asistente inicia un Sprint para que estudiantes consulten requisitos de inscripción con una fuente vigente. A mitad del Sprint aparece una respuesta sin respaldo. Al finalizar, una funcionalidad cumple la Definition of Done y otra tiene pruebas pendientes.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Explicá las responsabilidades del Product Owner, los Developers y el Scrum Master. ¿Quién decide cómo realizar el trabajo y quién responde por el orden del Product Backlog?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Relacioná Product Backlog, Sprint Backlog e Incremento con Product Goal, Sprint Goal y Definition of Done. ¿Qué artefacto hace visible el plan del Sprint?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Proponé una acción de transparencia, una de inspección y una de adaptación frente a la respuesta sin respaldo. Relacioná una con un valor de Scrum.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Explicá para qué se usarían Sprint Planning, Daily Scrum, Sprint Review y Sprint Retrospective en este caso. ¿La funcionalidad con pruebas pendientes integra el Incremento? ¿La Daily es un reporte al Scrum Master?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Consulta opcional.</w:t>
      </w:r>
      <w:r>
        <w:rPr>
          <w:rFonts w:ascii="Calibri" w:hAnsi="Calibri"/>
          <w:sz w:val="22"/>
        </w:rPr>
        <w:t xml:space="preserve"> En la </w:t>
      </w:r>
      <w:hyperlink r:id="rId10">
        <w:r>
          <w:rPr>
            <w:rStyle w:val="Hyperlink"/>
          </w:rPr>
          <w:t xml:space="preserve">página de descarga de la Guía Scrum</w:t>
        </w:r>
      </w:hyperlink>
      <w:r>
        <w:rPr>
          <w:rFonts w:ascii="Calibri" w:hAnsi="Calibri"/>
          <w:sz w:val="22"/>
        </w:rPr>
        <w:t>, seleccioná una traducción al español y contrastá artefactos y compromisos. Sin acceso, usá las secciones 2 a 6 del módulo.</w:t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000000"/>
          <w:sz w:val="32"/>
        </w:rPr>
        <w:t>Actividad 2 Decidir en un flujo Kanban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Contexto Kanban.</w:t>
      </w:r>
      <w:r>
        <w:rPr>
          <w:rFonts w:ascii="Calibri" w:hAnsi="Calibri"/>
          <w:sz w:val="22"/>
        </w:rPr>
        <w:t xml:space="preserve"> Soporte usa cuatro columnas. Los límites cuentan todos los ítems de la columna, incluidos los bloqueados.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21"/>
        <w:gridCol w:w="3433"/>
        <w:gridCol w:w="3058"/>
      </w:tblGrid>
      <w:tr>
        <w:trPr>
          <w:tblHeader/>
          <w:cantSplit/>
        </w:trPr>
        <w:tc>
          <w:tcPr>
            <w:tcW w:type="dxa" w:w="2921"/>
            <w:shd w:fill="203D59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433"/>
            <w:shd w:fill="203D59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b/>
                <w:color w:val="FFFFFF"/>
                <w:sz w:val="20"/>
              </w:rPr>
              <w:t>Ítems actuales</w:t>
            </w:r>
          </w:p>
        </w:tc>
        <w:tc>
          <w:tcPr>
            <w:tcW w:type="dxa" w:w="3058"/>
            <w:shd w:fill="203D59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b/>
                <w:color w:val="FFFFFF"/>
                <w:sz w:val="20"/>
              </w:rPr>
              <w:t>Límite WIP</w:t>
            </w:r>
          </w:p>
        </w:tc>
      </w:tr>
      <w:tr>
        <w:trPr>
          <w:cantSplit/>
        </w:trPr>
        <w:tc>
          <w:tcPr>
            <w:tcW w:type="dxa" w:w="2921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Por hacer</w:t>
            </w:r>
          </w:p>
        </w:tc>
        <w:tc>
          <w:tcPr>
            <w:tcW w:type="dxa" w:w="3433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058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No definido</w:t>
            </w:r>
          </w:p>
        </w:tc>
      </w:tr>
      <w:tr>
        <w:trPr>
          <w:cantSplit/>
        </w:trPr>
        <w:tc>
          <w:tcPr>
            <w:tcW w:type="dxa" w:w="2921"/>
            <w:shd w:fill="F2F6FA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En curso</w:t>
            </w:r>
          </w:p>
        </w:tc>
        <w:tc>
          <w:tcPr>
            <w:tcW w:type="dxa" w:w="3433"/>
            <w:shd w:fill="F2F6FA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058"/>
            <w:shd w:fill="F2F6FA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2921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Validación</w:t>
            </w:r>
          </w:p>
        </w:tc>
        <w:tc>
          <w:tcPr>
            <w:tcW w:type="dxa" w:w="3433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058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2921"/>
            <w:shd w:fill="F2F6FA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Terminado</w:t>
            </w:r>
          </w:p>
        </w:tc>
        <w:tc>
          <w:tcPr>
            <w:tcW w:type="dxa" w:w="3433"/>
            <w:shd w:fill="F2F6FA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058"/>
            <w:shd w:fill="F2F6FA"/>
            <w:tcMar>
              <w:top w:w="95" w:type="dxa"/>
              <w:bottom w:w="95" w:type="dxa"/>
              <w:left w:w="95" w:type="dxa"/>
              <w:right w:w="9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100" w:before="80"/>
            </w:pPr>
            <w:r>
              <w:rPr>
                <w:rFonts w:ascii="Calibri" w:hAnsi="Calibri"/>
                <w:sz w:val="20"/>
              </w:rPr>
              <w:t>No aplica</w:t>
            </w:r>
          </w:p>
        </w:tc>
      </w:tr>
    </w:tbl>
    <w:p>
      <w:pPr>
        <w:spacing w:after="40"/>
      </w:pPr>
    </w:p>
    <w:p>
      <w:pPr>
        <w:spacing w:line="278" w:lineRule="auto" w:after="140"/>
      </w:pPr>
      <w:r>
        <w:rPr>
          <w:rFonts w:ascii="Calibri" w:hAnsi="Calibri"/>
          <w:sz w:val="22"/>
        </w:rPr>
        <w:t>Un ítem en curso espera un documento; los dos de validación necesitan que una especialista confirme respuestas.</w:t>
      </w:r>
    </w:p>
    <w:p>
      <w:pPr>
        <w:numPr>
          <w:ilvl w:val="0"/>
          <w:numId w:val="11"/>
        </w:numPr>
        <w:spacing w:line="278" w:lineRule="auto" w:after="140"/>
      </w:pPr>
      <w:r>
        <w:rPr>
          <w:rFonts w:ascii="Calibri" w:hAnsi="Calibri"/>
          <w:sz w:val="22"/>
        </w:rPr>
        <w:t>Se propone comenzar un tercer ítem «para no quedarse quietos». Decidí qué hacer según el flujo y los límites.</w:t>
      </w:r>
    </w:p>
    <w:p>
      <w:pPr>
        <w:numPr>
          <w:ilvl w:val="0"/>
          <w:numId w:val="11"/>
        </w:numPr>
        <w:spacing w:line="278" w:lineRule="auto" w:after="140"/>
      </w:pPr>
      <w:r>
        <w:rPr>
          <w:rFonts w:ascii="Calibri" w:hAnsi="Calibri"/>
          <w:sz w:val="22"/>
        </w:rPr>
        <w:t>Redactá una política de entrada a Validación y otra de salida a Terminado. ¿Cómo mostrarías el bloqueo sin sacarlo artificialmente del WIP?</w:t>
      </w:r>
    </w:p>
    <w:p>
      <w:pPr>
        <w:numPr>
          <w:ilvl w:val="0"/>
          <w:numId w:val="11"/>
        </w:numPr>
        <w:spacing w:line="278" w:lineRule="auto" w:after="140"/>
      </w:pPr>
      <w:r>
        <w:rPr>
          <w:rFonts w:ascii="Calibri" w:hAnsi="Calibri"/>
          <w:sz w:val="22"/>
        </w:rPr>
        <w:t>Llega un incidente urgente. Explicá qué acuerdo debería existir para tratarlo y qué trabajo o capacidad se vería afectado.</w:t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000000"/>
          <w:sz w:val="32"/>
        </w:rPr>
        <w:t>Actividad 3 Elegir prácticas de XP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Contexto XP.</w:t>
      </w:r>
      <w:r>
        <w:rPr>
          <w:rFonts w:ascii="Calibri" w:hAnsi="Calibri"/>
          <w:sz w:val="22"/>
        </w:rPr>
        <w:t xml:space="preserve"> El equipo integra cambios al terminar la semana, repite errores al modificar una validación y concentra el conocimiento de una parte difícil en una sola persona.</w:t>
      </w:r>
    </w:p>
    <w:p>
      <w:pPr>
        <w:numPr>
          <w:ilvl w:val="0"/>
          <w:numId w:val="12"/>
        </w:numPr>
        <w:spacing w:line="278" w:lineRule="auto" w:after="140"/>
      </w:pPr>
      <w:r>
        <w:rPr>
          <w:rFonts w:ascii="Calibri" w:hAnsi="Calibri"/>
          <w:sz w:val="22"/>
        </w:rPr>
        <w:t>Relacioná cada problema con integración continua, TDD, programación en pares o refactorización. Explicá qué mecanismo de mejora esperás.</w:t>
      </w:r>
    </w:p>
    <w:p>
      <w:pPr>
        <w:numPr>
          <w:ilvl w:val="0"/>
          <w:numId w:val="12"/>
        </w:numPr>
        <w:spacing w:line="278" w:lineRule="auto" w:after="140"/>
      </w:pPr>
      <w:r>
        <w:rPr>
          <w:rFonts w:ascii="Calibri" w:hAnsi="Calibri"/>
          <w:sz w:val="22"/>
        </w:rPr>
        <w:t>Describí el orden prueba que falla, implementación mínima y refactorización para una validación de entrada. No hace falta programar.</w:t>
      </w:r>
    </w:p>
    <w:p>
      <w:pPr>
        <w:numPr>
          <w:ilvl w:val="0"/>
          <w:numId w:val="12"/>
        </w:numPr>
        <w:spacing w:line="278" w:lineRule="auto" w:after="140"/>
      </w:pPr>
      <w:r>
        <w:rPr>
          <w:rFonts w:ascii="Calibri" w:hAnsi="Calibri"/>
          <w:sz w:val="22"/>
        </w:rPr>
        <w:t>Para el asistente con IA se propone comprobar solamente que el programa no falle al ejecutarse. ¿Qué otra evidencia sobre las respuestas necesitás y por qué?</w:t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000000"/>
          <w:sz w:val="32"/>
        </w:rPr>
        <w:t>Actividad 4 Detectar desperdicios con Lean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Contexto Lean.</w:t>
      </w:r>
      <w:r>
        <w:rPr>
          <w:rFonts w:ascii="Calibri" w:hAnsi="Calibri"/>
          <w:sz w:val="22"/>
        </w:rPr>
        <w:t xml:space="preserve"> Se desarrollan tres variantes de una pantalla sin consultar a estudiantes; los cambios esperan aprobación cuatro días; un error en documentos obliga a rehacer respuestas.</w:t>
      </w:r>
    </w:p>
    <w:p>
      <w:pPr>
        <w:numPr>
          <w:ilvl w:val="0"/>
          <w:numId w:val="13"/>
        </w:numPr>
        <w:spacing w:line="278" w:lineRule="auto" w:after="140"/>
      </w:pPr>
      <w:r>
        <w:rPr>
          <w:rFonts w:ascii="Calibri" w:hAnsi="Calibri"/>
          <w:sz w:val="22"/>
        </w:rPr>
        <w:t>Identificá un desperdicio en cada situación y proponé una acción pequeña para reducirlo.</w:t>
      </w:r>
    </w:p>
    <w:p>
      <w:pPr>
        <w:numPr>
          <w:ilvl w:val="0"/>
          <w:numId w:val="13"/>
        </w:numPr>
        <w:spacing w:line="278" w:lineRule="auto" w:after="140"/>
      </w:pPr>
      <w:r>
        <w:rPr>
          <w:rFonts w:ascii="Calibri" w:hAnsi="Calibri"/>
          <w:sz w:val="22"/>
        </w:rPr>
        <w:t>Se sugiere eliminar toda validación para avanzar rápido. Distinguí reducir esperas innecesarias de quitar un control que aporta calidad.</w:t>
      </w:r>
    </w:p>
    <w:p>
      <w:pPr>
        <w:numPr>
          <w:ilvl w:val="0"/>
          <w:numId w:val="13"/>
        </w:numPr>
        <w:spacing w:line="278" w:lineRule="auto" w:after="140"/>
      </w:pPr>
      <w:r>
        <w:rPr>
          <w:rFonts w:ascii="Calibri" w:hAnsi="Calibri"/>
          <w:sz w:val="22"/>
        </w:rPr>
        <w:t>Elegí una intervención y explicá cómo comprobarías que mejoró el proceso completo, además de una sola etapa.</w:t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000000"/>
          <w:sz w:val="32"/>
        </w:rPr>
        <w:t>Actividad 5 Comparar enfoques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Comparación de enfoques.</w:t>
      </w:r>
      <w:r>
        <w:rPr>
          <w:rFonts w:ascii="Calibri" w:hAnsi="Calibri"/>
          <w:sz w:val="22"/>
        </w:rPr>
        <w:t xml:space="preserve"> Producto puede sostener objetivos de corto plazo y revisar incrementos con usuarios. Soporte recibe incidentes impredecibles. Ambos sufren defectos de integración. La dirección acepta revisar prioridades, pero exige visibilidad de compromisos y riesgos.</w:t>
      </w:r>
    </w:p>
    <w:p>
      <w:pPr>
        <w:numPr>
          <w:ilvl w:val="0"/>
          <w:numId w:val="14"/>
        </w:numPr>
        <w:spacing w:line="278" w:lineRule="auto" w:after="140"/>
      </w:pPr>
      <w:r>
        <w:rPr>
          <w:rFonts w:ascii="Calibri" w:hAnsi="Calibri"/>
          <w:sz w:val="22"/>
        </w:rPr>
        <w:t>Proponé cómo organizar producto y soporte. Justificá según demanda, autonomía y restricciones. Distinguí el marco de coordinación de las prácticas técnicas que sumarías.</w:t>
      </w:r>
    </w:p>
    <w:p>
      <w:pPr>
        <w:numPr>
          <w:ilvl w:val="0"/>
          <w:numId w:val="14"/>
        </w:numPr>
        <w:spacing w:line="278" w:lineRule="auto" w:after="140"/>
      </w:pPr>
      <w:r>
        <w:rPr>
          <w:rFonts w:ascii="Calibri" w:hAnsi="Calibri"/>
          <w:sz w:val="22"/>
        </w:rPr>
        <w:t>Explicá qué conservarías al complementar Scrum con límites WIP. Si eliminás el Sprint y sus eventos, ¿seguís aplicando Scrum completo? Contrastá con Scrumban según el módulo.</w:t>
      </w:r>
    </w:p>
    <w:p>
      <w:pPr>
        <w:numPr>
          <w:ilvl w:val="0"/>
          <w:numId w:val="14"/>
        </w:numPr>
        <w:spacing w:line="278" w:lineRule="auto" w:after="140"/>
      </w:pPr>
      <w:r>
        <w:rPr>
          <w:rFonts w:ascii="Calibri" w:hAnsi="Calibri"/>
          <w:sz w:val="22"/>
        </w:rPr>
        <w:t>Relacioná estos indicios con Crystal, FDD o DSDM: ajustar el método al tamaño y criticidad; organizar desarrollo por funcionalidades con modelado de dominio; mantener tiempo y costo y negociar alcance. ¿Qué más necesitás saber para elegir?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000000"/>
          <w:sz w:val="32"/>
        </w:rPr>
        <w:t>Respuestas orientativas y autoevaluación</w:t>
      </w:r>
    </w:p>
    <w:p>
      <w:pPr>
        <w:pStyle w:val="Heading2"/>
        <w:keepNext/>
      </w:pPr>
      <w:r>
        <w:rPr>
          <w:rFonts w:ascii="Calibri" w:hAnsi="Calibri"/>
          <w:b/>
          <w:color w:val="000000"/>
          <w:sz w:val="26"/>
        </w:rPr>
        <w:t>Actividad 1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El Product Owner responde por valor y gestión eficaz del Product Backlog, incluido su orden. Los Developers construyen el Incremento y deciden cómo trabajar. El Scrum Master ayuda a comprender Scrum y mejorar la efectividad del equipo. Las asociaciones son Product Backlog–Product Goal, Sprint Backlog–Sprint Goal e Incremento–Definition of Done. El Sprint Backlog contiene objetivo, ítems seleccionados y plan.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Registrar la respuesta y su fuente aporta transparencia; contrastarla con criterios, inspección; corregir la causa y ajustar el plan, adaptación. Hacer visible el problema exige apertura y coraje. Planning acuerda propósito y plan; Daily inspecciona avance hacia el Sprint Goal; Review examina resultados y adaptaciones del producto con interesados; Retrospective mejora el modo de trabajo. Sin cumplir la DoD, la funcionalidad no integra el Incremento. La Daily no es un reporte al Scrum Master.</w:t>
      </w:r>
    </w:p>
    <w:p>
      <w:pPr>
        <w:pStyle w:val="Heading2"/>
        <w:keepNext/>
      </w:pPr>
      <w:r>
        <w:rPr>
          <w:rFonts w:ascii="Calibri" w:hAnsi="Calibri"/>
          <w:b/>
          <w:color w:val="000000"/>
          <w:sz w:val="26"/>
        </w:rPr>
        <w:t>Actividad 2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En curso y Validación están al límite. Conviene colaborar para validar o resolver la dependencia antes de iniciar más trabajo. Un bloqueado sigue iniciado. Entrada a Validación puede requerir respuesta implementada, fuente identificada y pruebas previas; salida, resolución comprobada según criterios acordados. La tarjeta muestra causa del bloqueo, persona que lo sigue y próxima acción. La urgencia necesita una política explícita de prioridad, capacidad y excepciones, haciendo visible su impacto.</w:t>
      </w:r>
    </w:p>
    <w:p>
      <w:pPr>
        <w:pStyle w:val="Heading2"/>
        <w:keepNext/>
      </w:pPr>
      <w:r>
        <w:rPr>
          <w:rFonts w:ascii="Calibri" w:hAnsi="Calibri"/>
          <w:b/>
          <w:color w:val="000000"/>
          <w:sz w:val="26"/>
        </w:rPr>
        <w:t>Actividad 3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Integrar frecuentemente con verificaciones reduce conflictos acumulados; TDD precisa comportamientos verificables; trabajar en pares comparte conocimiento. Refactorizar mejora estructura sin cambiar comportamiento. En TDD se define una prueba que falla, se implementa lo mínimo para pasarla y se mejora la estructura conservando las pruebas. En IA también se evalúan respuestas con consultas y fuentes acordadas: código ejecutable no equivale a respuesta correcta o útil.</w:t>
      </w:r>
    </w:p>
    <w:p>
      <w:pPr>
        <w:pStyle w:val="Heading2"/>
        <w:keepNext/>
      </w:pPr>
      <w:r>
        <w:rPr>
          <w:rFonts w:ascii="Calibri" w:hAnsi="Calibri"/>
          <w:b/>
          <w:color w:val="000000"/>
          <w:sz w:val="26"/>
        </w:rPr>
        <w:t>Actividad 4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Las variantes no validadas pueden ser funcionalidades innecesarias; la cola genera espera; el error causa defectos y retrabajo. Se puede validar antes la necesidad, acordar disponibilidad para revisar y comprobar fuentes temprano. Reducir una cola no exige eliminar validación. Observá tiempo total hasta una respuesta validada y correcciones posteriores: acelerar programación a costa de más errores puede empeorar el conjunto.</w:t>
      </w:r>
    </w:p>
    <w:p>
      <w:pPr>
        <w:pStyle w:val="Heading2"/>
        <w:keepNext/>
      </w:pPr>
      <w:r>
        <w:rPr>
          <w:rFonts w:ascii="Calibri" w:hAnsi="Calibri"/>
          <w:b/>
          <w:color w:val="000000"/>
          <w:sz w:val="26"/>
        </w:rPr>
        <w:t>Actividad 5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Scrum puede organizar desarrollo; Kanban, soporte; XP aporta prácticas de ingeniería y Lean ayuda a examinar desperdicios. Se admiten otras elecciones fundamentadas. Añadir WIP a Scrum conserva responsabilidades, eventos, artefactos y compromisos. Eliminar partes cambia esa afirmación; Scrumban requiere describir qué reglas se usan realmente. Crystal considera tamaño y criticidad; FDD enfatiza funcionalidades y dominio; DSDM fija tiempo y costo y negocia alcance. También importan capacidades, cultura y problema concreto.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Antes de avanzar.</w:t>
      </w:r>
      <w:r>
        <w:rPr>
          <w:rFonts w:ascii="Calibri" w:hAnsi="Calibri"/>
          <w:sz w:val="22"/>
        </w:rPr>
        <w:t xml:space="preserve"> Revisá si cada término está ubicado en su enfoque y si podés explicar sus mecanismos. Un tablero por sí solo no acredita la adopción de un método.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pPr>
        <w:ind w:left="380" w:hanging="22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pPr>
        <w:ind w:left="380" w:hanging="22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pPr>
        <w:ind w:left="380" w:hanging="220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pPr>
        <w:ind w:left="380" w:hanging="220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pPr>
        <w:ind w:left="380" w:hanging="22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scrumguides.org/downloa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Actividades del módulo 2 Gestión de Proyectos Ágiles</dc:title>
  <dc:subject>Práctica autónoma con respuestas orientativas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