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280" w:after="280"/>
      </w:pPr>
      <w:r>
        <w:rPr>
          <w:rFonts w:ascii="Calibri" w:hAnsi="Calibri"/>
          <w:b w:val="0"/>
          <w:color w:val="000000"/>
          <w:sz w:val="52"/>
        </w:rPr>
        <w:t>Actividades del módulo 3</w:t>
      </w:r>
    </w:p>
    <w:p>
      <w:pPr>
        <w:spacing w:line="278" w:lineRule="auto" w:after="140"/>
      </w:pPr>
      <w:r>
        <w:rPr>
          <w:rFonts w:ascii="Calibri" w:hAnsi="Calibri"/>
          <w:b/>
          <w:color w:val="12655D"/>
          <w:sz w:val="22"/>
        </w:rPr>
        <w:t>Gestión de Proyectos Ágiles · Planificación Ágil y Gestión del Producto</w:t>
      </w:r>
    </w:p>
    <w:p>
      <w:pPr>
        <w:spacing w:line="278" w:lineRule="auto" w:after="140"/>
      </w:pPr>
      <w:r>
        <w:rPr>
          <w:rFonts w:ascii="Calibri" w:hAnsi="Calibri"/>
          <w:sz w:val="22"/>
        </w:rPr>
        <w:t>Vas a convertir una necesidad en decisiones de producto y trabajo verificable. Resolvé primero y consultá las respuestas al finalizar. Son prácticas autónomas, sin entrega ni calificación. Los datos son didácticos; no describen resultados reales de la universidad.</w:t>
      </w:r>
    </w:p>
    <w:p>
      <w:pPr>
        <w:pStyle w:val="Heading1"/>
        <w:keepNext/>
        <w:shd w:fill="EAF4FA"/>
      </w:pPr>
      <w:r>
        <w:rPr>
          <w:rFonts w:ascii="Calibri" w:hAnsi="Calibri"/>
          <w:b/>
          <w:color w:val="000000"/>
          <w:sz w:val="32"/>
        </w:rPr>
        <w:t>Actividad 1 Pasar de una idea a un objetivo</w:t>
      </w:r>
    </w:p>
    <w:p>
      <w:pPr>
        <w:spacing w:line="278" w:lineRule="auto" w:after="140"/>
      </w:pPr>
      <w:r>
        <w:rPr>
          <w:rFonts w:ascii="Calibri" w:hAnsi="Calibri"/>
          <w:b/>
          <w:color w:val="12655D"/>
          <w:sz w:val="22"/>
        </w:rPr>
        <w:t>Contexto de producto.</w:t>
      </w:r>
      <w:r>
        <w:rPr>
          <w:rFonts w:ascii="Calibri" w:hAnsi="Calibri"/>
          <w:sz w:val="22"/>
        </w:rPr>
        <w:t xml:space="preserve"> Se propone «hacer un chatbot moderno». En entrevistas del caso, estudiantes cuentan que no encuentran requisitos de inscripción actualizados. En una prueba inicial, 10 de 20 estudiantes encontraron la información correcta sin ayuda. El equipo quiere explorar si el asistente mejora esa experiencia.</w:t>
      </w:r>
    </w:p>
    <w:p>
      <w:pPr>
        <w:numPr>
          <w:ilvl w:val="0"/>
          <w:numId w:val="10"/>
        </w:numPr>
        <w:spacing w:line="278" w:lineRule="auto" w:after="140"/>
      </w:pPr>
      <w:r>
        <w:rPr>
          <w:rFonts w:ascii="Calibri" w:hAnsi="Calibri"/>
          <w:sz w:val="22"/>
        </w:rPr>
        <w:t>Reescribí la idea como visión usando el formato de elevator pitch del módulo: usuario, necesidad, categoría de solución, beneficio y diferencia frente a la alternativa.</w:t>
      </w:r>
    </w:p>
    <w:p>
      <w:pPr>
        <w:numPr>
          <w:ilvl w:val="0"/>
          <w:numId w:val="10"/>
        </w:numPr>
        <w:spacing w:line="278" w:lineRule="auto" w:after="140"/>
      </w:pPr>
      <w:r>
        <w:rPr>
          <w:rFonts w:ascii="Calibri" w:hAnsi="Calibri"/>
          <w:sz w:val="22"/>
        </w:rPr>
        <w:t>Proponé un objetivo medible para un piloto de seis semanas, usando el dato inicial. Identificá qué parte es línea de base y cuál es una meta propuesta.</w:t>
      </w:r>
    </w:p>
    <w:p>
      <w:pPr>
        <w:numPr>
          <w:ilvl w:val="0"/>
          <w:numId w:val="10"/>
        </w:numPr>
        <w:spacing w:line="278" w:lineRule="auto" w:after="140"/>
      </w:pPr>
      <w:r>
        <w:rPr>
          <w:rFonts w:ascii="Calibri" w:hAnsi="Calibri"/>
          <w:sz w:val="22"/>
        </w:rPr>
        <w:t>Elegí una métrica de beneficio para estudiantes y otra de calidad de las respuestas. Explicá por qué contar documentos cargados no reemplaza ninguna de las dos.</w:t>
      </w:r>
    </w:p>
    <w:p>
      <w:pPr>
        <w:numPr>
          <w:ilvl w:val="0"/>
          <w:numId w:val="10"/>
        </w:numPr>
        <w:spacing w:line="278" w:lineRule="auto" w:after="140"/>
      </w:pPr>
      <w:r>
        <w:rPr>
          <w:rFonts w:ascii="Calibri" w:hAnsi="Calibri"/>
          <w:sz w:val="22"/>
        </w:rPr>
        <w:t>Organizá una hoja de ruta Ahora–Próximo–Después. Indicá qué evidencia necesitarías para avanzar del piloto de inscripciones a otros trámites.</w:t>
      </w:r>
    </w:p>
    <w:p>
      <w:pPr>
        <w:pStyle w:val="Heading1"/>
        <w:keepNext/>
        <w:shd w:fill="EAF4FA"/>
      </w:pPr>
      <w:r>
        <w:rPr>
          <w:rFonts w:ascii="Calibri" w:hAnsi="Calibri"/>
          <w:b/>
          <w:color w:val="000000"/>
          <w:sz w:val="32"/>
        </w:rPr>
        <w:t>Actividad 2 Refinar trabajo y comprobar calidad</w:t>
      </w:r>
    </w:p>
    <w:p>
      <w:pPr>
        <w:spacing w:line="278" w:lineRule="auto" w:after="140"/>
      </w:pPr>
      <w:r>
        <w:rPr>
          <w:rFonts w:ascii="Calibri" w:hAnsi="Calibri"/>
          <w:b/>
          <w:color w:val="12655D"/>
          <w:sz w:val="22"/>
        </w:rPr>
        <w:t>Scrum y prácticas complementarias.</w:t>
      </w:r>
      <w:r>
        <w:rPr>
          <w:rFonts w:ascii="Calibri" w:hAnsi="Calibri"/>
          <w:sz w:val="22"/>
        </w:rPr>
        <w:t xml:space="preserve"> El Product Backlog incluye «resolver todas las consultas académicas». El equipo usa historias de usuario para conversar sobre necesidades y una DoR como acuerdo de preparación. Estas prácticas no son requisitos obligatorios de Scrum; la Definition of Done sí es el compromiso del Incremento.</w:t>
      </w:r>
    </w:p>
    <w:p>
      <w:pPr>
        <w:numPr>
          <w:ilvl w:val="0"/>
          <w:numId w:val="11"/>
        </w:numPr>
        <w:spacing w:line="278" w:lineRule="auto" w:after="140"/>
      </w:pPr>
      <w:r>
        <w:rPr>
          <w:rFonts w:ascii="Calibri" w:hAnsi="Calibri"/>
          <w:sz w:val="22"/>
        </w:rPr>
        <w:t>Dividí el ítem grande en dos historias pequeñas con beneficio identificable. Distinguí una épica, una funcionalidad y una tarea técnica del caso.</w:t>
      </w:r>
    </w:p>
    <w:p>
      <w:pPr>
        <w:numPr>
          <w:ilvl w:val="0"/>
          <w:numId w:val="11"/>
        </w:numPr>
        <w:spacing w:line="278" w:lineRule="auto" w:after="140"/>
      </w:pPr>
      <w:r>
        <w:rPr>
          <w:rFonts w:ascii="Calibri" w:hAnsi="Calibri"/>
          <w:sz w:val="22"/>
        </w:rPr>
        <w:t>Revisá una historia con las seis letras de INVEST. Si todavía no es estimable o testeable, indicá qué conversación o información falta.</w:t>
      </w:r>
    </w:p>
    <w:p>
      <w:pPr>
        <w:numPr>
          <w:ilvl w:val="0"/>
          <w:numId w:val="11"/>
        </w:numPr>
        <w:spacing w:line="278" w:lineRule="auto" w:after="140"/>
      </w:pPr>
      <w:r>
        <w:rPr>
          <w:rFonts w:ascii="Calibri" w:hAnsi="Calibri"/>
          <w:sz w:val="22"/>
        </w:rPr>
        <w:t>Para esa historia, escribí tres criterios de aceptación Dado/Cuando/Entonces: respuesta respaldada, ausencia de fuente vigente y consulta fuera del alcance.</w:t>
      </w:r>
    </w:p>
    <w:p>
      <w:pPr>
        <w:numPr>
          <w:ilvl w:val="0"/>
          <w:numId w:val="11"/>
        </w:numPr>
        <w:spacing w:line="278" w:lineRule="auto" w:after="140"/>
      </w:pPr>
      <w:r>
        <w:rPr>
          <w:rFonts w:ascii="Calibri" w:hAnsi="Calibri"/>
          <w:sz w:val="22"/>
        </w:rPr>
        <w:t>Separá los siguientes acuerdos: «la respuesta incluye el enlace de inscripción correspondiente»; «el incremento supera las verificaciones de calidad acordadas»; «antes de seleccionar el ítem conocemos la fuente autorizada». ¿Cuál es criterio específico, cuál puede integrar la DoD y cuál la DoR? ¿Qué ocurre si se cumple el criterio específico pero no la DoD?</w:t>
      </w:r>
    </w:p>
    <w:p>
      <w:pPr>
        <w:pStyle w:val="Heading1"/>
        <w:keepNext/>
        <w:shd w:fill="EAF4FA"/>
      </w:pPr>
      <w:r>
        <w:rPr>
          <w:rFonts w:ascii="Calibri" w:hAnsi="Calibri"/>
          <w:b/>
          <w:color w:val="000000"/>
          <w:sz w:val="32"/>
        </w:rPr>
        <w:t>Actividad 3 Priorizar sin convertir la técnica en una orden automática</w:t>
      </w:r>
    </w:p>
    <w:p>
      <w:pPr>
        <w:spacing w:line="278" w:lineRule="auto" w:after="140"/>
      </w:pPr>
      <w:r>
        <w:rPr>
          <w:rFonts w:ascii="Calibri" w:hAnsi="Calibri"/>
          <w:b/>
          <w:color w:val="12655D"/>
          <w:sz w:val="22"/>
        </w:rPr>
        <w:t>Prácticas de priorización.</w:t>
      </w:r>
      <w:r>
        <w:rPr>
          <w:rFonts w:ascii="Calibri" w:hAnsi="Calibri"/>
          <w:sz w:val="22"/>
        </w:rPr>
        <w:t xml:space="preserve"> El objetivo del piloto es orientar sobre inscripciones con fuentes verificadas y derivar cuando no hay respaldo. Para este caso, mostrar fuentes y derivar son condiciones indispensables del piloto. El equipo estima las siguientes magnitudes relativas en una escala común. El tamaño sirve para comparar estos ítems, no representa horas.</w:t>
      </w:r>
    </w:p>
    <w:tbl>
      <w:tblPr>
        <w:tblW w:type="auto" w:w="0"/>
        <w:tblLayout w:type="fixed"/>
        <w:tblLook w:firstColumn="1" w:firstRow="1" w:lastColumn="0" w:lastRow="0" w:noHBand="0" w:noVBand="1" w:val="04A0"/>
      </w:tblPr>
      <w:tblGrid>
        <w:gridCol w:w="2956"/>
        <w:gridCol w:w="1231"/>
        <w:gridCol w:w="1543"/>
        <w:gridCol w:w="2337"/>
        <w:gridCol w:w="1344"/>
      </w:tblGrid>
      <w:tr>
        <w:trPr>
          <w:tblHeader/>
          <w:cantSplit/>
        </w:trPr>
        <w:tc>
          <w:tcPr>
            <w:tcW w:type="dxa" w:w="2956"/>
            <w:shd w:fill="203D59"/>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b/>
                <w:color w:val="FFFFFF"/>
                <w:sz w:val="20"/>
              </w:rPr>
              <w:t>Ítem</w:t>
            </w:r>
          </w:p>
        </w:tc>
        <w:tc>
          <w:tcPr>
            <w:tcW w:type="dxa" w:w="1231"/>
            <w:shd w:fill="203D59"/>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b/>
                <w:color w:val="FFFFFF"/>
                <w:sz w:val="20"/>
              </w:rPr>
              <w:t>Valor</w:t>
            </w:r>
          </w:p>
        </w:tc>
        <w:tc>
          <w:tcPr>
            <w:tcW w:type="dxa" w:w="1543"/>
            <w:shd w:fill="203D59"/>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b/>
                <w:color w:val="FFFFFF"/>
                <w:sz w:val="20"/>
              </w:rPr>
              <w:t>Urgencia</w:t>
            </w:r>
          </w:p>
        </w:tc>
        <w:tc>
          <w:tcPr>
            <w:tcW w:type="dxa" w:w="2337"/>
            <w:shd w:fill="203D59"/>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b/>
                <w:color w:val="FFFFFF"/>
                <w:sz w:val="20"/>
              </w:rPr>
              <w:t>Reducción de riesgo</w:t>
            </w:r>
          </w:p>
        </w:tc>
        <w:tc>
          <w:tcPr>
            <w:tcW w:type="dxa" w:w="1344"/>
            <w:shd w:fill="203D59"/>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b/>
                <w:color w:val="FFFFFF"/>
                <w:sz w:val="20"/>
              </w:rPr>
              <w:t>Tamaño</w:t>
            </w:r>
          </w:p>
        </w:tc>
      </w:tr>
      <w:tr>
        <w:trPr>
          <w:cantSplit/>
        </w:trPr>
        <w:tc>
          <w:tcPr>
            <w:tcW w:type="dxa" w:w="2956"/>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A Mostrar la fuente vigente</w:t>
            </w:r>
          </w:p>
        </w:tc>
        <w:tc>
          <w:tcPr>
            <w:tcW w:type="dxa" w:w="1231"/>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8</w:t>
            </w:r>
          </w:p>
        </w:tc>
        <w:tc>
          <w:tcPr>
            <w:tcW w:type="dxa" w:w="1543"/>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5</w:t>
            </w:r>
          </w:p>
        </w:tc>
        <w:tc>
          <w:tcPr>
            <w:tcW w:type="dxa" w:w="2337"/>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8</w:t>
            </w:r>
          </w:p>
        </w:tc>
        <w:tc>
          <w:tcPr>
            <w:tcW w:type="dxa" w:w="1344"/>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3</w:t>
            </w:r>
          </w:p>
        </w:tc>
      </w:tr>
      <w:tr>
        <w:trPr>
          <w:cantSplit/>
        </w:trPr>
        <w:tc>
          <w:tcPr>
            <w:tcW w:type="dxa" w:w="2956"/>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B Personalizar colores</w:t>
            </w:r>
          </w:p>
        </w:tc>
        <w:tc>
          <w:tcPr>
            <w:tcW w:type="dxa" w:w="1231"/>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2</w:t>
            </w:r>
          </w:p>
        </w:tc>
        <w:tc>
          <w:tcPr>
            <w:tcW w:type="dxa" w:w="1543"/>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1</w:t>
            </w:r>
          </w:p>
        </w:tc>
        <w:tc>
          <w:tcPr>
            <w:tcW w:type="dxa" w:w="2337"/>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1</w:t>
            </w:r>
          </w:p>
        </w:tc>
        <w:tc>
          <w:tcPr>
            <w:tcW w:type="dxa" w:w="1344"/>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2</w:t>
            </w:r>
          </w:p>
        </w:tc>
      </w:tr>
      <w:tr>
        <w:trPr>
          <w:cantSplit/>
        </w:trPr>
        <w:tc>
          <w:tcPr>
            <w:tcW w:type="dxa" w:w="2956"/>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C Derivar sin respaldo</w:t>
            </w:r>
          </w:p>
        </w:tc>
        <w:tc>
          <w:tcPr>
            <w:tcW w:type="dxa" w:w="1231"/>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8</w:t>
            </w:r>
          </w:p>
        </w:tc>
        <w:tc>
          <w:tcPr>
            <w:tcW w:type="dxa" w:w="1543"/>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8</w:t>
            </w:r>
          </w:p>
        </w:tc>
        <w:tc>
          <w:tcPr>
            <w:tcW w:type="dxa" w:w="2337"/>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5</w:t>
            </w:r>
          </w:p>
        </w:tc>
        <w:tc>
          <w:tcPr>
            <w:tcW w:type="dxa" w:w="1344"/>
            <w:shd w:fill="FFFFFF"/>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3</w:t>
            </w:r>
          </w:p>
        </w:tc>
      </w:tr>
      <w:tr>
        <w:trPr>
          <w:cantSplit/>
        </w:trPr>
        <w:tc>
          <w:tcPr>
            <w:tcW w:type="dxa" w:w="2956"/>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D Incorporar consultas de becas</w:t>
            </w:r>
          </w:p>
        </w:tc>
        <w:tc>
          <w:tcPr>
            <w:tcW w:type="dxa" w:w="1231"/>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5</w:t>
            </w:r>
          </w:p>
        </w:tc>
        <w:tc>
          <w:tcPr>
            <w:tcW w:type="dxa" w:w="1543"/>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3</w:t>
            </w:r>
          </w:p>
        </w:tc>
        <w:tc>
          <w:tcPr>
            <w:tcW w:type="dxa" w:w="2337"/>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2</w:t>
            </w:r>
          </w:p>
        </w:tc>
        <w:tc>
          <w:tcPr>
            <w:tcW w:type="dxa" w:w="1344"/>
            <w:shd w:fill="F2F6FA"/>
            <w:tcMar>
              <w:top w:w="95" w:type="dxa"/>
              <w:bottom w:w="95" w:type="dxa"/>
              <w:left w:w="95" w:type="dxa"/>
              <w:right w:w="95" w:type="dxa"/>
            </w:tcMar>
            <w:vAlign w:val="center"/>
            <w:tcBorders>
              <w:top w:val="single" w:sz="4" w:color="D9D9D9"/>
              <w:left w:val="single" w:sz="4" w:color="D9D9D9"/>
              <w:bottom w:val="single" w:sz="4" w:color="D9D9D9"/>
              <w:right w:val="single" w:sz="4" w:color="D9D9D9"/>
            </w:tcBorders>
          </w:tcPr>
          <w:p>
            <w:pPr>
              <w:spacing w:line="264" w:lineRule="auto" w:after="100" w:before="80"/>
            </w:pPr>
            <w:r>
              <w:rPr>
                <w:rFonts w:ascii="Calibri" w:hAnsi="Calibri"/>
                <w:sz w:val="20"/>
              </w:rPr>
              <w:t>5</w:t>
            </w:r>
          </w:p>
        </w:tc>
      </w:tr>
    </w:tbl>
    <w:p>
      <w:pPr>
        <w:spacing w:after="40"/>
      </w:pPr>
    </w:p>
    <w:p>
      <w:pPr>
        <w:numPr>
          <w:ilvl w:val="0"/>
          <w:numId w:val="12"/>
        </w:numPr>
        <w:spacing w:line="278" w:lineRule="auto" w:after="140"/>
      </w:pPr>
      <w:r>
        <w:rPr>
          <w:rFonts w:ascii="Calibri" w:hAnsi="Calibri"/>
          <w:sz w:val="22"/>
        </w:rPr>
        <w:t>Aplicá MoSCoW para este piloto y justificá las categorías. Explicá por qué una categoría no establece por sí sola un orden exacto.</w:t>
      </w:r>
    </w:p>
    <w:p>
      <w:pPr>
        <w:numPr>
          <w:ilvl w:val="0"/>
          <w:numId w:val="12"/>
        </w:numPr>
        <w:spacing w:line="278" w:lineRule="auto" w:after="140"/>
      </w:pPr>
      <w:r>
        <w:rPr>
          <w:rFonts w:ascii="Calibri" w:hAnsi="Calibri"/>
          <w:sz w:val="22"/>
        </w:rPr>
        <w:t>Calculá WSJF como (valor + urgencia + reducción de riesgo) / tamaño. Ordená los ítems; ante un empate, proponé información para decidir. No inventes una diferencia numérica.</w:t>
      </w:r>
    </w:p>
    <w:p>
      <w:pPr>
        <w:numPr>
          <w:ilvl w:val="0"/>
          <w:numId w:val="12"/>
        </w:numPr>
        <w:spacing w:line="278" w:lineRule="auto" w:after="140"/>
      </w:pPr>
      <w:r>
        <w:rPr>
          <w:rFonts w:ascii="Calibri" w:hAnsi="Calibri"/>
          <w:sz w:val="22"/>
        </w:rPr>
        <w:t>Ubicá A, B y D en una matriz Valor–Esfuerzo usando los datos de valor y tamaño. ¿Ser pequeño convierte a B en prioritario?</w:t>
      </w:r>
    </w:p>
    <w:p>
      <w:pPr>
        <w:numPr>
          <w:ilvl w:val="0"/>
          <w:numId w:val="12"/>
        </w:numPr>
        <w:spacing w:line="278" w:lineRule="auto" w:after="140"/>
      </w:pPr>
      <w:r>
        <w:rPr>
          <w:rFonts w:ascii="Calibri" w:hAnsi="Calibri"/>
          <w:sz w:val="22"/>
        </w:rPr>
        <w:t>Con Kano, ¿podés asegurar que los colores entusiasman a los estudiantes sin consultarles? Formulá una hipótesis sobre una característica básica y explicá cómo la contrastarías.</w:t>
      </w:r>
    </w:p>
    <w:p>
      <w:pPr>
        <w:pStyle w:val="Heading1"/>
        <w:keepNext/>
        <w:shd w:fill="EAF4FA"/>
      </w:pPr>
      <w:r>
        <w:rPr>
          <w:rFonts w:ascii="Calibri" w:hAnsi="Calibri"/>
          <w:b/>
          <w:color w:val="000000"/>
          <w:sz w:val="32"/>
        </w:rPr>
        <w:t>Actividad 4 Delimitar el MVP y responder a un cambio</w:t>
      </w:r>
    </w:p>
    <w:p>
      <w:pPr>
        <w:spacing w:line="278" w:lineRule="auto" w:after="140"/>
      </w:pPr>
      <w:r>
        <w:rPr>
          <w:rFonts w:ascii="Calibri" w:hAnsi="Calibri"/>
          <w:b/>
          <w:color w:val="12655D"/>
          <w:sz w:val="22"/>
        </w:rPr>
        <w:t>Aprendizaje de producto.</w:t>
      </w:r>
      <w:r>
        <w:rPr>
          <w:rFonts w:ascii="Calibri" w:hAnsi="Calibri"/>
          <w:sz w:val="22"/>
        </w:rPr>
        <w:t xml:space="preserve"> Ya existe la capacidad básica de responder consultas de inscripción. Se prepara un piloto acotado con fuentes vigentes, derivación cuando falta respaldo y pruebas con estudiantes. Antes de abrirlo, el sponsor pide que también inscriba automáticamente a materias. Esta nueva función requiere permisos e integración todavía no investigados.</w:t>
      </w:r>
    </w:p>
    <w:p>
      <w:pPr>
        <w:numPr>
          <w:ilvl w:val="0"/>
          <w:numId w:val="13"/>
        </w:numPr>
        <w:spacing w:line="278" w:lineRule="auto" w:after="140"/>
      </w:pPr>
      <w:r>
        <w:rPr>
          <w:rFonts w:ascii="Calibri" w:hAnsi="Calibri"/>
          <w:sz w:val="22"/>
        </w:rPr>
        <w:t>Formulá la hipótesis que probaría el MVP, qué incluirías, qué dejarías afuera y qué observarías para decidir continuar, cambiar o detener.</w:t>
      </w:r>
    </w:p>
    <w:p>
      <w:pPr>
        <w:numPr>
          <w:ilvl w:val="0"/>
          <w:numId w:val="13"/>
        </w:numPr>
        <w:spacing w:line="278" w:lineRule="auto" w:after="140"/>
      </w:pPr>
      <w:r>
        <w:rPr>
          <w:rFonts w:ascii="Calibri" w:hAnsi="Calibri"/>
          <w:sz w:val="22"/>
        </w:rPr>
        <w:t>Explicá por qué un prototipo que no puede comprobar la hipótesis no basta solo por ser pequeño. Diferenciá este experimento de una funcionalidad mínima comercializable.</w:t>
      </w:r>
    </w:p>
    <w:p>
      <w:pPr>
        <w:numPr>
          <w:ilvl w:val="0"/>
          <w:numId w:val="13"/>
        </w:numPr>
        <w:spacing w:line="278" w:lineRule="auto" w:after="140"/>
      </w:pPr>
      <w:r>
        <w:rPr>
          <w:rFonts w:ascii="Calibri" w:hAnsi="Calibri"/>
          <w:sz w:val="22"/>
        </w:rPr>
        <w:t>Analizá el cambio pedido: necesidad, riesgos, dependencias y efecto sobre alcance. Proponé una decisión y cómo quedaría reflejada en backlog y roadmap.</w:t>
      </w:r>
    </w:p>
    <w:p>
      <w:pPr>
        <w:numPr>
          <w:ilvl w:val="0"/>
          <w:numId w:val="13"/>
        </w:numPr>
        <w:spacing w:line="278" w:lineRule="auto" w:after="140"/>
      </w:pPr>
      <w:r>
        <w:rPr>
          <w:rFonts w:ascii="Calibri" w:hAnsi="Calibri"/>
          <w:sz w:val="22"/>
        </w:rPr>
        <w:t>Indicá quién responde por el Product Backlog en Scrum y cómo participa el equipo en comprender la viabilidad. ¿Aceptar la necesidad obliga a implementarla inmediatamente?</w:t>
      </w:r>
    </w:p>
    <w:p>
      <w:r>
        <w:br w:type="page"/>
      </w:r>
    </w:p>
    <w:p>
      <w:pPr>
        <w:pStyle w:val="Heading1"/>
        <w:keepNext/>
        <w:shd w:fill="EAF4FA"/>
      </w:pPr>
      <w:r>
        <w:rPr>
          <w:rFonts w:ascii="Calibri" w:hAnsi="Calibri"/>
          <w:b/>
          <w:color w:val="000000"/>
          <w:sz w:val="32"/>
        </w:rPr>
        <w:t>Respuestas orientativas y autoevaluación</w:t>
      </w:r>
    </w:p>
    <w:p>
      <w:pPr>
        <w:pStyle w:val="Heading2"/>
        <w:keepNext/>
      </w:pPr>
      <w:r>
        <w:rPr>
          <w:rFonts w:ascii="Calibri" w:hAnsi="Calibri"/>
          <w:b/>
          <w:color w:val="000000"/>
          <w:sz w:val="26"/>
        </w:rPr>
        <w:t>Actividad 1</w:t>
      </w:r>
    </w:p>
    <w:p>
      <w:pPr>
        <w:spacing w:line="278" w:lineRule="auto" w:after="140"/>
      </w:pPr>
      <w:r>
        <w:rPr>
          <w:rFonts w:ascii="Calibri" w:hAnsi="Calibri"/>
          <w:sz w:val="22"/>
        </w:rPr>
        <w:t>Una visión posible es: para estudiantes que necesitan conocer requisitos vigentes, el asistente es una herramienta de orientación que reúne respuestas con fuentes, a diferencia de buscar en documentos dispersos. La línea de base es 10/20, equivalente al 50 %. Una meta didáctica posible es que 16 de 20 participantes de una prueba comparable encuentren correctamente la información sin ayuda al terminar el piloto. Esa meta se propone; no es un resultado ni un requisito institucional.</w:t>
      </w:r>
    </w:p>
    <w:p>
      <w:pPr>
        <w:spacing w:line="278" w:lineRule="auto" w:after="140"/>
      </w:pPr>
      <w:r>
        <w:rPr>
          <w:rFonts w:ascii="Calibri" w:hAnsi="Calibri"/>
          <w:sz w:val="22"/>
        </w:rPr>
        <w:t>El logro de la tarea expresa beneficio; la proporción de respuestas respaldadas y correctas examina calidad. Cargar documentos solo informa actividad. Ahora puede incluir inscripciones; Próximo, corregir dificultades observadas; Después, explorar becas. Avanzar requiere evidencia de utilidad y calidad del piloto, no solamente que llegó una fecha.</w:t>
      </w:r>
    </w:p>
    <w:p>
      <w:pPr>
        <w:pStyle w:val="Heading2"/>
        <w:keepNext/>
      </w:pPr>
      <w:r>
        <w:rPr>
          <w:rFonts w:ascii="Calibri" w:hAnsi="Calibri"/>
          <w:b/>
          <w:color w:val="000000"/>
          <w:sz w:val="26"/>
        </w:rPr>
        <w:t>Actividad 2</w:t>
      </w:r>
    </w:p>
    <w:p>
      <w:pPr>
        <w:spacing w:line="278" w:lineRule="auto" w:after="140"/>
      </w:pPr>
      <w:r>
        <w:rPr>
          <w:rFonts w:ascii="Calibri" w:hAnsi="Calibri"/>
          <w:sz w:val="22"/>
        </w:rPr>
        <w:t>Dos historias posibles son consultar requisitos de inscripción para preparar documentación y reconocer una consulta sin respaldo para pedir ayuda al área adecuada. La épica podría ser orientación académica; una funcionalidad, consultas de inscripción; una tarea técnica, implementar el enlace a la fuente. INVEST exige revisar independencia, negociación, valor, estimación, tamaño y posibilidad de prueba: una historia no mejora solo por usar «Como… quiero… para…».</w:t>
      </w:r>
    </w:p>
    <w:p>
      <w:pPr>
        <w:spacing w:line="278" w:lineRule="auto" w:after="140"/>
      </w:pPr>
      <w:r>
        <w:rPr>
          <w:rFonts w:ascii="Calibri" w:hAnsi="Calibri"/>
          <w:sz w:val="22"/>
        </w:rPr>
        <w:t>Para consultar requisitos: dado un trámite con fuente vigente, cuando se solicita información, entonces se muestran requisitos y enlace correspondiente; dada la falta de fuente vigente, cuando se consulta, entonces se informa el límite y se deriva; dada una consulta fuera del piloto, cuando se recibe, entonces se comunica el alcance y el canal de atención. Estos criterios son ejemplos que deben acordarse. El enlace es criterio específico; las verificaciones comunes pueden integrar la DoD; conocer la fuente antes de seleccionar puede integrar la DoR.</w:t>
      </w:r>
    </w:p>
    <w:p>
      <w:pPr>
        <w:spacing w:line="278" w:lineRule="auto" w:after="140"/>
      </w:pPr>
      <w:r>
        <w:rPr>
          <w:rFonts w:ascii="Calibri" w:hAnsi="Calibri"/>
          <w:sz w:val="22"/>
        </w:rPr>
        <w:t>Si falta la DoD, no se cuenta como Incremento, aunque cumpla un criterio particular.</w:t>
      </w:r>
    </w:p>
    <w:p>
      <w:pPr>
        <w:pStyle w:val="Heading2"/>
        <w:keepNext/>
      </w:pPr>
      <w:r>
        <w:rPr>
          <w:rFonts w:ascii="Calibri" w:hAnsi="Calibri"/>
          <w:b/>
          <w:color w:val="000000"/>
          <w:sz w:val="26"/>
        </w:rPr>
        <w:t>Actividad 3</w:t>
      </w:r>
    </w:p>
    <w:p>
      <w:pPr>
        <w:spacing w:line="278" w:lineRule="auto" w:after="140"/>
      </w:pPr>
      <w:r>
        <w:rPr>
          <w:rFonts w:ascii="Calibri" w:hAnsi="Calibri"/>
          <w:sz w:val="22"/>
        </w:rPr>
        <w:t>A y C son Must por las condiciones explícitas del piloto. B puede ser Could y D Won’t have this time; otra clasificación de B necesita justificación. No es necesario llenar todas las categorías. WSJF: A = 21/3 = 7; B = 4/2 = 2; C = 21/3 = 7; D = 10/5 = 2. A y C empatan, al igual que B y D. Dependencias, evidencia o urgencia real ayudan a desempatar; un puntaje no reemplaza juicio.</w:t>
      </w:r>
    </w:p>
    <w:p>
      <w:pPr>
        <w:spacing w:line="278" w:lineRule="auto" w:after="140"/>
      </w:pPr>
      <w:r>
        <w:rPr>
          <w:rFonts w:ascii="Calibri" w:hAnsi="Calibri"/>
          <w:sz w:val="22"/>
        </w:rPr>
        <w:t>A combina mayor valor y tamaño relativamente bajo; B es pequeño pero aporta poco al objetivo; D tiene valor intermedio y mayor tamaño. «Pequeño» no significa prioritario. Kano requiere investigar expectativas: que la información sea correcta puede ser una hipótesis de atributo básico; colores atractivos no prueban deleite. Consultá reacciones a presencia y ausencia de la característica, según la explicación del módulo.</w:t>
      </w:r>
    </w:p>
    <w:p>
      <w:pPr>
        <w:pStyle w:val="Heading2"/>
        <w:keepNext/>
      </w:pPr>
      <w:r>
        <w:rPr>
          <w:rFonts w:ascii="Calibri" w:hAnsi="Calibri"/>
          <w:b/>
          <w:color w:val="000000"/>
          <w:sz w:val="26"/>
        </w:rPr>
        <w:t>Actividad 4</w:t>
      </w:r>
    </w:p>
    <w:p>
      <w:pPr>
        <w:spacing w:line="278" w:lineRule="auto" w:after="140"/>
      </w:pPr>
      <w:r>
        <w:rPr>
          <w:rFonts w:ascii="Calibri" w:hAnsi="Calibri"/>
          <w:sz w:val="22"/>
        </w:rPr>
        <w:t>Una hipótesis es que respuestas acotadas con respaldo ayudan a encontrar información correcta sin ayuda. El MVP necesita la capacidad básica, fuentes, derivación y observación del uso; puede excluir becas e inscripción automática. El criterio de decisión debe fijarse antes y considerar errores, comprensión y utilidad. Un MVP busca aprendizaje validado; una MMF es una porción que puede aportar valor comercial por sí misma. Un prototipo sirve si permite comprobar la hipótesis elegida, no por su nombre.</w:t>
      </w:r>
    </w:p>
    <w:p>
      <w:pPr>
        <w:spacing w:line="278" w:lineRule="auto" w:after="140"/>
      </w:pPr>
      <w:r>
        <w:rPr>
          <w:rFonts w:ascii="Calibri" w:hAnsi="Calibri"/>
          <w:sz w:val="22"/>
        </w:rPr>
        <w:t>La inscripción automática cambia riesgo y dependencias. Es razonable registrar la necesidad e investigar permisos e integración antes de prometerla, conservando el piloto informativo. El Product Owner responde por el backlog y conversa con interesados y Developers; el equipo aporta viabilidad y esfuerzo. El roadmap expresa la decisión y su incertidumbre. Aceptar una necesidad no equivale a empezar de inmediato.</w:t>
      </w:r>
    </w:p>
    <w:p>
      <w:pPr>
        <w:spacing w:line="278" w:lineRule="auto" w:after="140"/>
      </w:pPr>
      <w:r>
        <w:rPr>
          <w:rFonts w:ascii="Calibri" w:hAnsi="Calibri"/>
          <w:b/>
          <w:color w:val="12655D"/>
          <w:sz w:val="22"/>
        </w:rPr>
        <w:t>Antes de avanzar.</w:t>
      </w:r>
      <w:r>
        <w:rPr>
          <w:rFonts w:ascii="Calibri" w:hAnsi="Calibri"/>
          <w:sz w:val="22"/>
        </w:rPr>
        <w:t xml:space="preserve"> Revisá que visión, objetivo, historias, prioridades y MVP apunten al mismo beneficio, y que cada respuesta pueda verificarse con evidencia.</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pPr>
        <w:ind w:left="380" w:hanging="220"/>
      </w:pPr>
    </w:lvl>
  </w:abstractNum>
  <w:num w:numId="10">
    <w:abstractNumId w:val="9"/>
  </w:num>
  <w:abstractNum w:abstractNumId="10">
    <w:lvl w:ilvl="0">
      <w:start w:val="1"/>
      <w:numFmt w:val="decimal"/>
      <w:lvlText w:val="%1."/>
      <w:pPr>
        <w:ind w:left="380" w:hanging="220"/>
      </w:pPr>
    </w:lvl>
  </w:abstractNum>
  <w:num w:numId="11">
    <w:abstractNumId w:val="10"/>
  </w:num>
  <w:abstractNum w:abstractNumId="11">
    <w:lvl w:ilvl="0">
      <w:start w:val="1"/>
      <w:numFmt w:val="decimal"/>
      <w:lvlText w:val="%1."/>
      <w:pPr>
        <w:ind w:left="380" w:hanging="220"/>
      </w:pPr>
    </w:lvl>
  </w:abstractNum>
  <w:num w:numId="12">
    <w:abstractNumId w:val="11"/>
  </w:num>
  <w:abstractNum w:abstractNumId="12">
    <w:lvl w:ilvl="0">
      <w:start w:val="1"/>
      <w:numFmt w:val="decimal"/>
      <w:lvlText w:val="%1."/>
      <w:pPr>
        <w:ind w:left="380" w:hanging="22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Actividades del módulo 3 Gestión de Proyectos Ágiles</dc:title>
  <dc:subject>Práctica autónoma con respuestas orientativas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