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before="280" w:after="280"/>
      </w:pPr>
      <w:r>
        <w:rPr>
          <w:rFonts w:ascii="Calibri" w:hAnsi="Calibri"/>
          <w:b w:val="0"/>
          <w:color w:val="000000"/>
          <w:sz w:val="52"/>
        </w:rPr>
        <w:t>Actividades del módulo 4</w:t>
      </w:r>
    </w:p>
    <w:p>
      <w:pPr>
        <w:spacing w:line="278" w:lineRule="auto" w:after="140"/>
      </w:pPr>
      <w:r>
        <w:rPr>
          <w:rFonts w:ascii="Calibri" w:hAnsi="Calibri"/>
          <w:b/>
          <w:color w:val="12655D"/>
          <w:sz w:val="22"/>
        </w:rPr>
        <w:t>Gestión de Proyectos Ágiles · Planificación y Seguimiento del Trabajo en Scrum y Kanban</w:t>
      </w:r>
    </w:p>
    <w:p>
      <w:pPr>
        <w:spacing w:line="278" w:lineRule="auto" w:after="140"/>
      </w:pPr>
      <w:r>
        <w:rPr>
          <w:rFonts w:ascii="Calibri" w:hAnsi="Calibri"/>
          <w:sz w:val="22"/>
        </w:rPr>
        <w:t>Vas a planificar con datos, interpretar seguimiento y representar decisiones en un tablero. Primero trabajarás en Scrum y luego en Kanban. Son prácticas autónomas, sin entrega ni calificación. Todos los datos son didácticos. Usá papel, un documento o una planilla; no necesitás crear cuentas.</w:t>
      </w:r>
    </w:p>
    <w:p>
      <w:pPr>
        <w:pStyle w:val="Heading1"/>
        <w:keepNext/>
        <w:shd w:fill="EAF4FA"/>
      </w:pPr>
      <w:r>
        <w:rPr>
          <w:rFonts w:ascii="Calibri" w:hAnsi="Calibri"/>
          <w:b/>
          <w:color w:val="000000"/>
          <w:sz w:val="32"/>
        </w:rPr>
        <w:t>Actividad 1 Estimar y planificar un Sprint</w:t>
      </w:r>
    </w:p>
    <w:p>
      <w:pPr>
        <w:spacing w:line="278" w:lineRule="auto" w:after="140"/>
      </w:pPr>
      <w:r>
        <w:rPr>
          <w:rFonts w:ascii="Calibri" w:hAnsi="Calibri"/>
          <w:b/>
          <w:color w:val="12655D"/>
          <w:sz w:val="22"/>
        </w:rPr>
        <w:t>Contexto Scrum y estimación complementaria.</w:t>
      </w:r>
      <w:r>
        <w:rPr>
          <w:rFonts w:ascii="Calibri" w:hAnsi="Calibri"/>
          <w:sz w:val="22"/>
        </w:rPr>
        <w:t xml:space="preserve"> Cuatro Developers preparan un Sprint de diez días hábiles. Cada jornada tiene ocho horas, con una hora reservada a reuniones por cada día efectivamente trabajado. Una persona tendrá dos días de licencia. No hay otros descuentos en este ejercicio. En los tres Sprints anteriores, de disponibilidad comparable entre sí, se completaron 24, 27 y 21 puntos.</w:t>
      </w:r>
    </w:p>
    <w:p>
      <w:pPr>
        <w:numPr>
          <w:ilvl w:val="0"/>
          <w:numId w:val="10"/>
        </w:numPr>
        <w:spacing w:line="278" w:lineRule="auto" w:after="140"/>
      </w:pPr>
      <w:r>
        <w:rPr>
          <w:rFonts w:ascii="Calibri" w:hAnsi="Calibri"/>
          <w:sz w:val="22"/>
        </w:rPr>
        <w:t>Calculá la disponibilidad neta de cada persona y del equipo. Explicá por qué no se descuentan reuniones durante los días de licencia.</w:t>
      </w:r>
    </w:p>
    <w:p>
      <w:pPr>
        <w:numPr>
          <w:ilvl w:val="0"/>
          <w:numId w:val="10"/>
        </w:numPr>
        <w:spacing w:line="278" w:lineRule="auto" w:after="140"/>
      </w:pPr>
      <w:r>
        <w:rPr>
          <w:rFonts w:ascii="Calibri" w:hAnsi="Calibri"/>
          <w:sz w:val="22"/>
        </w:rPr>
        <w:t>Calculá el promedio histórico de puntos. ¿Podés dividir horas por puntos para obtener una equivalencia válida? ¿Ese promedio garantiza completar lo mismo con menor disponibilidad?</w:t>
      </w:r>
    </w:p>
    <w:p>
      <w:pPr>
        <w:numPr>
          <w:ilvl w:val="0"/>
          <w:numId w:val="10"/>
        </w:numPr>
        <w:spacing w:line="278" w:lineRule="auto" w:after="140"/>
      </w:pPr>
      <w:r>
        <w:rPr>
          <w:rFonts w:ascii="Calibri" w:hAnsi="Calibri"/>
          <w:sz w:val="22"/>
        </w:rPr>
        <w:t>Compará dos ítems: mostrar un enlace a una fuente usando un componente conocido; integrar un repositorio externo cuya autenticación todavía se desconoce. Indicá qué conversarías sobre complejidad, volumen e incertidumbre. Si en Planning Poker aparecen 3 y 13, ¿qué harías antes de decidir? ¿Dónde usarías tallas de remera?</w:t>
      </w:r>
    </w:p>
    <w:p>
      <w:pPr>
        <w:numPr>
          <w:ilvl w:val="0"/>
          <w:numId w:val="10"/>
        </w:numPr>
        <w:spacing w:line="278" w:lineRule="auto" w:after="140"/>
      </w:pPr>
      <w:r>
        <w:rPr>
          <w:rFonts w:ascii="Calibri" w:hAnsi="Calibri"/>
          <w:sz w:val="22"/>
        </w:rPr>
        <w:t>El objetivo propuesto es «permitir consultar requisitos vigentes con respaldo». Hay candidatos ya refinados: A, mostrar fuente, 5 puntos; B, consultar requisitos, 8; C, derivar consultas fuera de alcance, 5; D, personalizar colores, 8. Para el caso, no hay dependencias pendientes entre A, B y C. Proponé una selección inicial y justificá objetivo, capacidad e incertidumbre. No la presentes como promesa automática.</w:t>
      </w:r>
    </w:p>
    <w:p>
      <w:pPr>
        <w:pStyle w:val="Heading1"/>
        <w:keepNext/>
        <w:shd w:fill="EAF4FA"/>
      </w:pPr>
      <w:r>
        <w:rPr>
          <w:rFonts w:ascii="Calibri" w:hAnsi="Calibri"/>
          <w:b/>
          <w:color w:val="000000"/>
          <w:sz w:val="32"/>
        </w:rPr>
        <w:t>Actividad 2 Interpretar el avance en Scrum</w:t>
      </w:r>
    </w:p>
    <w:p>
      <w:pPr>
        <w:spacing w:line="278" w:lineRule="auto" w:after="140"/>
      </w:pPr>
      <w:r>
        <w:rPr>
          <w:rFonts w:ascii="Calibri" w:hAnsi="Calibri"/>
          <w:b/>
          <w:color w:val="12655D"/>
          <w:sz w:val="22"/>
        </w:rPr>
        <w:t>Contexto Scrum.</w:t>
      </w:r>
      <w:r>
        <w:rPr>
          <w:rFonts w:ascii="Calibri" w:hAnsi="Calibri"/>
          <w:sz w:val="22"/>
        </w:rPr>
        <w:t xml:space="preserve"> En otro Sprint se pronosticaron 30 puntos. Al día 6 de 10, un burndown ideal muestra 12 pendientes y el real 22. El equipo descuenta puntos cuando el ítem cumple la DoD. Dos ítems esperan validación. Por separado, un burnup registra estos datos:</w:t>
      </w:r>
    </w:p>
    <w:tbl>
      <w:tblPr>
        <w:tblW w:type="auto" w:w="0"/>
        <w:tblLayout w:type="fixed"/>
        <w:tblLook w:firstColumn="1" w:firstRow="1" w:lastColumn="0" w:lastRow="0" w:noHBand="0" w:noVBand="1" w:val="04A0"/>
      </w:tblPr>
      <w:tblGrid>
        <w:gridCol w:w="2127"/>
        <w:gridCol w:w="3764"/>
        <w:gridCol w:w="3520"/>
      </w:tblGrid>
      <w:tr>
        <w:trPr>
          <w:tblHeader/>
          <w:cantSplit/>
        </w:trPr>
        <w:tc>
          <w:tcPr>
            <w:tcW w:type="dxa" w:w="2127"/>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Momento</w:t>
            </w:r>
          </w:p>
        </w:tc>
        <w:tc>
          <w:tcPr>
            <w:tcW w:type="dxa" w:w="3764"/>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Alcance total en puntos</w:t>
            </w:r>
          </w:p>
        </w:tc>
        <w:tc>
          <w:tcPr>
            <w:tcW w:type="dxa" w:w="3520"/>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Completado en puntos</w:t>
            </w:r>
          </w:p>
        </w:tc>
      </w:tr>
      <w:tr>
        <w:trPr>
          <w:cantSplit/>
        </w:trPr>
        <w:tc>
          <w:tcPr>
            <w:tcW w:type="dxa" w:w="2127"/>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Día 1</w:t>
            </w:r>
          </w:p>
        </w:tc>
        <w:tc>
          <w:tcPr>
            <w:tcW w:type="dxa" w:w="3764"/>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30</w:t>
            </w:r>
          </w:p>
        </w:tc>
        <w:tc>
          <w:tcPr>
            <w:tcW w:type="dxa" w:w="3520"/>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0</w:t>
            </w:r>
          </w:p>
        </w:tc>
      </w:tr>
      <w:tr>
        <w:trPr>
          <w:cantSplit/>
        </w:trPr>
        <w:tc>
          <w:tcPr>
            <w:tcW w:type="dxa" w:w="2127"/>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Día 4</w:t>
            </w:r>
          </w:p>
        </w:tc>
        <w:tc>
          <w:tcPr>
            <w:tcW w:type="dxa" w:w="3764"/>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30</w:t>
            </w:r>
          </w:p>
        </w:tc>
        <w:tc>
          <w:tcPr>
            <w:tcW w:type="dxa" w:w="3520"/>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8</w:t>
            </w:r>
          </w:p>
        </w:tc>
      </w:tr>
      <w:tr>
        <w:trPr>
          <w:cantSplit/>
        </w:trPr>
        <w:tc>
          <w:tcPr>
            <w:tcW w:type="dxa" w:w="2127"/>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Día 6</w:t>
            </w:r>
          </w:p>
        </w:tc>
        <w:tc>
          <w:tcPr>
            <w:tcW w:type="dxa" w:w="3764"/>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38</w:t>
            </w:r>
          </w:p>
        </w:tc>
        <w:tc>
          <w:tcPr>
            <w:tcW w:type="dxa" w:w="3520"/>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16</w:t>
            </w:r>
          </w:p>
        </w:tc>
      </w:tr>
    </w:tbl>
    <w:p>
      <w:pPr>
        <w:spacing w:after="40"/>
      </w:pPr>
    </w:p>
    <w:p>
      <w:pPr>
        <w:numPr>
          <w:ilvl w:val="0"/>
          <w:numId w:val="11"/>
        </w:numPr>
        <w:spacing w:line="278" w:lineRule="auto" w:after="140"/>
      </w:pPr>
      <w:r>
        <w:rPr>
          <w:rFonts w:ascii="Calibri" w:hAnsi="Calibri"/>
          <w:sz w:val="22"/>
        </w:rPr>
        <w:t>¿Qué señal aporta el burndown y qué no permite concluir sobre desempeño individual? Proponé una pregunta y una acción para la Daily Scrum orientadas al Sprint Goal.</w:t>
      </w:r>
    </w:p>
    <w:p>
      <w:pPr>
        <w:numPr>
          <w:ilvl w:val="0"/>
          <w:numId w:val="11"/>
        </w:numPr>
        <w:spacing w:line="278" w:lineRule="auto" w:after="140"/>
      </w:pPr>
      <w:r>
        <w:rPr>
          <w:rFonts w:ascii="Calibri" w:hAnsi="Calibri"/>
          <w:sz w:val="22"/>
        </w:rPr>
        <w:t>En el burnup, calculá cuánto creció lo completado y cuánto el alcance entre días 4 y 6. Explicá por qué el trabajo pendiente no baja aunque hubo avance.</w:t>
      </w:r>
    </w:p>
    <w:p>
      <w:pPr>
        <w:numPr>
          <w:ilvl w:val="0"/>
          <w:numId w:val="11"/>
        </w:numPr>
        <w:spacing w:line="278" w:lineRule="auto" w:after="140"/>
      </w:pPr>
      <w:r>
        <w:rPr>
          <w:rFonts w:ascii="Calibri" w:hAnsi="Calibri"/>
          <w:sz w:val="22"/>
        </w:rPr>
        <w:t>¿Qué revisarías antes de agregar trabajo o quitar pruebas? Distinguí una adaptación del plan acordada con el Product Owner de un crecimiento de alcance oculto.</w:t>
      </w:r>
    </w:p>
    <w:p>
      <w:pPr>
        <w:pStyle w:val="Heading1"/>
        <w:keepNext/>
        <w:shd w:fill="EAF4FA"/>
      </w:pPr>
      <w:r>
        <w:rPr>
          <w:rFonts w:ascii="Calibri" w:hAnsi="Calibri"/>
          <w:b/>
          <w:color w:val="000000"/>
          <w:sz w:val="32"/>
        </w:rPr>
        <w:t>Actividad 3 Medir el flujo de Kanban</w:t>
      </w:r>
    </w:p>
    <w:p>
      <w:pPr>
        <w:spacing w:line="278" w:lineRule="auto" w:after="140"/>
      </w:pPr>
      <w:r>
        <w:rPr>
          <w:rFonts w:ascii="Calibri" w:hAnsi="Calibri"/>
          <w:b/>
          <w:color w:val="12655D"/>
          <w:sz w:val="22"/>
        </w:rPr>
        <w:t>Contexto Kanban.</w:t>
      </w:r>
      <w:r>
        <w:rPr>
          <w:rFonts w:ascii="Calibri" w:hAnsi="Calibri"/>
          <w:sz w:val="22"/>
        </w:rPr>
        <w:t xml:space="preserve"> En soporte se mide desde solicitud hasta terminación para Lead Time, y desde inicio hasta terminación para Cycle Time. Usá diferencias entre los números de día: no cuentes extremos inclusivamente. Todos son días consecutivos de una misma escala temporal y la terminación incluye validación.</w:t>
      </w:r>
    </w:p>
    <w:tbl>
      <w:tblPr>
        <w:tblW w:type="auto" w:w="0"/>
        <w:tblLayout w:type="fixed"/>
        <w:tblLook w:firstColumn="1" w:firstRow="1" w:lastColumn="0" w:lastRow="0" w:noHBand="0" w:noVBand="1" w:val="04A0"/>
      </w:tblPr>
      <w:tblGrid>
        <w:gridCol w:w="1822"/>
        <w:gridCol w:w="2688"/>
        <w:gridCol w:w="2213"/>
        <w:gridCol w:w="2688"/>
      </w:tblGrid>
      <w:tr>
        <w:trPr>
          <w:tblHeader/>
          <w:cantSplit/>
        </w:trPr>
        <w:tc>
          <w:tcPr>
            <w:tcW w:type="dxa" w:w="1822"/>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Ítem</w:t>
            </w:r>
          </w:p>
        </w:tc>
        <w:tc>
          <w:tcPr>
            <w:tcW w:type="dxa" w:w="2688"/>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Solicitud</w:t>
            </w:r>
          </w:p>
        </w:tc>
        <w:tc>
          <w:tcPr>
            <w:tcW w:type="dxa" w:w="2213"/>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Inicio</w:t>
            </w:r>
          </w:p>
        </w:tc>
        <w:tc>
          <w:tcPr>
            <w:tcW w:type="dxa" w:w="2688"/>
            <w:shd w:fill="203D59"/>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b/>
                <w:color w:val="FFFFFF"/>
                <w:sz w:val="20"/>
              </w:rPr>
              <w:t>Terminado</w:t>
            </w:r>
          </w:p>
        </w:tc>
      </w:tr>
      <w:tr>
        <w:trPr>
          <w:cantSplit/>
        </w:trPr>
        <w:tc>
          <w:tcPr>
            <w:tcW w:type="dxa" w:w="1822"/>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A</w:t>
            </w:r>
          </w:p>
        </w:tc>
        <w:tc>
          <w:tcPr>
            <w:tcW w:type="dxa" w:w="2688"/>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1</w:t>
            </w:r>
          </w:p>
        </w:tc>
        <w:tc>
          <w:tcPr>
            <w:tcW w:type="dxa" w:w="2213"/>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3</w:t>
            </w:r>
          </w:p>
        </w:tc>
        <w:tc>
          <w:tcPr>
            <w:tcW w:type="dxa" w:w="2688"/>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7</w:t>
            </w:r>
          </w:p>
        </w:tc>
      </w:tr>
      <w:tr>
        <w:trPr>
          <w:cantSplit/>
        </w:trPr>
        <w:tc>
          <w:tcPr>
            <w:tcW w:type="dxa" w:w="1822"/>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B</w:t>
            </w:r>
          </w:p>
        </w:tc>
        <w:tc>
          <w:tcPr>
            <w:tcW w:type="dxa" w:w="2688"/>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2</w:t>
            </w:r>
          </w:p>
        </w:tc>
        <w:tc>
          <w:tcPr>
            <w:tcW w:type="dxa" w:w="2213"/>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5</w:t>
            </w:r>
          </w:p>
        </w:tc>
        <w:tc>
          <w:tcPr>
            <w:tcW w:type="dxa" w:w="2688"/>
            <w:shd w:fill="F2F6FA"/>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9</w:t>
            </w:r>
          </w:p>
        </w:tc>
      </w:tr>
      <w:tr>
        <w:trPr>
          <w:cantSplit/>
        </w:trPr>
        <w:tc>
          <w:tcPr>
            <w:tcW w:type="dxa" w:w="1822"/>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C</w:t>
            </w:r>
          </w:p>
        </w:tc>
        <w:tc>
          <w:tcPr>
            <w:tcW w:type="dxa" w:w="2688"/>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4</w:t>
            </w:r>
          </w:p>
        </w:tc>
        <w:tc>
          <w:tcPr>
            <w:tcW w:type="dxa" w:w="2213"/>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4</w:t>
            </w:r>
          </w:p>
        </w:tc>
        <w:tc>
          <w:tcPr>
            <w:tcW w:type="dxa" w:w="2688"/>
            <w:shd w:fill="FFFFFF"/>
            <w:tcMar>
              <w:top w:w="95" w:type="dxa"/>
              <w:bottom w:w="95" w:type="dxa"/>
              <w:left w:w="95" w:type="dxa"/>
              <w:right w:w="95" w:type="dxa"/>
            </w:tcMar>
            <w:vAlign w:val="center"/>
            <w:tcBorders>
              <w:top w:val="single" w:sz="4" w:color="D9D9D9"/>
              <w:left w:val="single" w:sz="4" w:color="D9D9D9"/>
              <w:bottom w:val="single" w:sz="4" w:color="D9D9D9"/>
              <w:right w:val="single" w:sz="4" w:color="D9D9D9"/>
            </w:tcBorders>
          </w:tcPr>
          <w:p>
            <w:pPr>
              <w:spacing w:line="264" w:lineRule="auto" w:after="100" w:before="80"/>
            </w:pPr>
            <w:r>
              <w:rPr>
                <w:rFonts w:ascii="Calibri" w:hAnsi="Calibri"/>
                <w:sz w:val="20"/>
              </w:rPr>
              <w:t>10</w:t>
            </w:r>
          </w:p>
        </w:tc>
      </w:tr>
    </w:tbl>
    <w:p>
      <w:pPr>
        <w:spacing w:after="40"/>
      </w:pPr>
    </w:p>
    <w:p>
      <w:pPr>
        <w:numPr>
          <w:ilvl w:val="0"/>
          <w:numId w:val="12"/>
        </w:numPr>
        <w:spacing w:line="278" w:lineRule="auto" w:after="140"/>
      </w:pPr>
      <w:r>
        <w:rPr>
          <w:rFonts w:ascii="Calibri" w:hAnsi="Calibri"/>
          <w:sz w:val="22"/>
        </w:rPr>
        <w:t>Calculá Lead Time, Cycle Time y espera anterior al inicio para cada ítem. Comprobá que espera + Cycle Time = Lead Time.</w:t>
      </w:r>
    </w:p>
    <w:p>
      <w:pPr>
        <w:numPr>
          <w:ilvl w:val="0"/>
          <w:numId w:val="12"/>
        </w:numPr>
        <w:spacing w:line="278" w:lineRule="auto" w:after="140"/>
      </w:pPr>
      <w:r>
        <w:rPr>
          <w:rFonts w:ascii="Calibri" w:hAnsi="Calibri"/>
          <w:sz w:val="22"/>
        </w:rPr>
        <w:t>Calculá el throughput del intervalo de siete días desde el día 4 hasta antes del 11. ¿Se expresa en puntos o en ítems?</w:t>
      </w:r>
    </w:p>
    <w:p>
      <w:pPr>
        <w:numPr>
          <w:ilvl w:val="0"/>
          <w:numId w:val="12"/>
        </w:numPr>
        <w:spacing w:line="278" w:lineRule="auto" w:after="140"/>
      </w:pPr>
      <w:r>
        <w:rPr>
          <w:rFonts w:ascii="Calibri" w:hAnsi="Calibri"/>
          <w:sz w:val="22"/>
        </w:rPr>
        <w:t>Hoy hay tres ítems en Validación, cuyo límite WIP es tres. Uno lleva cuatro días esperando una confirmación. En curso hay dos ítems con límite dos. ¿Qué harías antes de iniciar otro?</w:t>
      </w:r>
    </w:p>
    <w:p>
      <w:pPr>
        <w:numPr>
          <w:ilvl w:val="0"/>
          <w:numId w:val="12"/>
        </w:numPr>
        <w:spacing w:line="278" w:lineRule="auto" w:after="140"/>
      </w:pPr>
      <w:r>
        <w:rPr>
          <w:rFonts w:ascii="Calibri" w:hAnsi="Calibri"/>
          <w:sz w:val="22"/>
        </w:rPr>
        <w:t>Si la banda de Validación del CFD se ensancha durante varios días, ¿qué hipótesis investigarías? Con tres ítems terminados, ¿podés prometer una fecha exacta para los siguientes?</w:t>
      </w:r>
    </w:p>
    <w:p>
      <w:pPr>
        <w:pStyle w:val="Heading1"/>
        <w:keepNext/>
        <w:shd w:fill="EAF4FA"/>
      </w:pPr>
      <w:r>
        <w:rPr>
          <w:rFonts w:ascii="Calibri" w:hAnsi="Calibri"/>
          <w:b/>
          <w:color w:val="000000"/>
          <w:sz w:val="32"/>
        </w:rPr>
        <w:t>Actividad 4 Representar decisiones en Trello y Jira</w:t>
      </w:r>
    </w:p>
    <w:p>
      <w:pPr>
        <w:spacing w:line="278" w:lineRule="auto" w:after="140"/>
      </w:pPr>
      <w:r>
        <w:rPr>
          <w:rFonts w:ascii="Calibri" w:hAnsi="Calibri"/>
          <w:b/>
          <w:color w:val="12655D"/>
          <w:sz w:val="22"/>
        </w:rPr>
        <w:t>Herramientas.</w:t>
      </w:r>
      <w:r>
        <w:rPr>
          <w:rFonts w:ascii="Calibri" w:hAnsi="Calibri"/>
          <w:sz w:val="22"/>
        </w:rPr>
        <w:t xml:space="preserve"> Representá el flujo de soporte de la actividad 3 con tres tarjetas: «corregir fecha sin fuente», «validar respuesta sobre documentación» y «derivar consulta fuera de alcance». La primera espera una fuente autorizada; la segunda está lista para validar; la tercera está pendiente de iniciar. Los totales de WIP del ejercicio anterior representan el tablero completo, no solo estas tres tarjetas.</w:t>
      </w:r>
    </w:p>
    <w:p>
      <w:pPr>
        <w:numPr>
          <w:ilvl w:val="0"/>
          <w:numId w:val="13"/>
        </w:numPr>
        <w:spacing w:line="278" w:lineRule="auto" w:after="140"/>
      </w:pPr>
      <w:r>
        <w:rPr>
          <w:rFonts w:ascii="Calibri" w:hAnsi="Calibri"/>
          <w:sz w:val="22"/>
        </w:rPr>
        <w:t>Dibujá Por hacer, En curso, Validación y Terminado. Ubicá las tres tarjetas y anotá límites y políticas. La tarjeta bloqueada permanece dentro del trabajo iniciado.</w:t>
      </w:r>
    </w:p>
    <w:p>
      <w:pPr>
        <w:numPr>
          <w:ilvl w:val="0"/>
          <w:numId w:val="13"/>
        </w:numPr>
        <w:spacing w:line="278" w:lineRule="auto" w:after="140"/>
      </w:pPr>
      <w:r>
        <w:rPr>
          <w:rFonts w:ascii="Calibri" w:hAnsi="Calibri"/>
          <w:sz w:val="22"/>
        </w:rPr>
        <w:t>Completá en una tarjeta descripción, criterio de terminación, responsable de seguimiento, estado, bloqueo y próxima acción.</w:t>
      </w:r>
    </w:p>
    <w:p>
      <w:pPr>
        <w:numPr>
          <w:ilvl w:val="0"/>
          <w:numId w:val="13"/>
        </w:numPr>
        <w:spacing w:line="278" w:lineRule="auto" w:after="140"/>
      </w:pPr>
      <w:r>
        <w:rPr>
          <w:rFonts w:ascii="Calibri" w:hAnsi="Calibri"/>
          <w:sz w:val="22"/>
        </w:rPr>
        <w:t xml:space="preserve">Observá la </w:t>
      </w:r>
      <w:hyperlink r:id="rId10">
        <w:r>
          <w:rPr>
            <w:rStyle w:val="Hyperlink"/>
          </w:rPr>
          <w:t xml:space="preserve">guía oficial de tableros y tarjetas de Trello</w:t>
        </w:r>
      </w:hyperlink>
      <w:r>
        <w:rPr>
          <w:rFonts w:ascii="Calibri" w:hAnsi="Calibri"/>
          <w:sz w:val="22"/>
        </w:rPr>
        <w:t xml:space="preserve"> y la </w:t>
      </w:r>
      <w:hyperlink r:id="rId11">
        <w:r>
          <w:rPr>
            <w:rStyle w:val="Hyperlink"/>
          </w:rPr>
          <w:t xml:space="preserve">introducción oficial a Jira</w:t>
        </w:r>
      </w:hyperlink>
      <w:r>
        <w:rPr>
          <w:rFonts w:ascii="Calibri" w:hAnsi="Calibri"/>
          <w:sz w:val="22"/>
        </w:rPr>
        <w:t>. Identificá cómo representarías esa información en cada herramienta. Podés usar las capturas y explicación de la sección 15 del módulo si los enlaces no están disponibles.</w:t>
      </w:r>
    </w:p>
    <w:p>
      <w:pPr>
        <w:numPr>
          <w:ilvl w:val="0"/>
          <w:numId w:val="13"/>
        </w:numPr>
        <w:spacing w:line="278" w:lineRule="auto" w:after="140"/>
      </w:pPr>
      <w:r>
        <w:rPr>
          <w:rFonts w:ascii="Calibri" w:hAnsi="Calibri"/>
          <w:sz w:val="22"/>
        </w:rPr>
        <w:t>Compará dos necesidades: visualizar una cola pequeña; mantener backlog y seguimiento de Sprints. Elegí entre Trello y Jira con dos razones vinculadas a la necesidad. Si compararas Azure DevOps, Asana o Monday, indicá qué requisitos verificarías según el panorama del módulo. No asumas funciones o planes vigentes.</w:t>
      </w:r>
    </w:p>
    <w:p>
      <w:pPr>
        <w:spacing w:line="278" w:lineRule="auto" w:after="140"/>
      </w:pPr>
      <w:r>
        <w:rPr>
          <w:rFonts w:ascii="Calibri" w:hAnsi="Calibri"/>
          <w:b/>
          <w:color w:val="12655D"/>
          <w:sz w:val="22"/>
        </w:rPr>
        <w:t>Extensión opcional.</w:t>
      </w:r>
      <w:r>
        <w:rPr>
          <w:rFonts w:ascii="Calibri" w:hAnsi="Calibri"/>
          <w:sz w:val="22"/>
        </w:rPr>
        <w:t xml:space="preserve"> Si ya tenés acceso a una herramienta, podés reproducir el dibujo en un tablero privado con datos ficticios. El dibujo resuelve la práctica completa; no hacen falta suscripciones ni evidencia para entregar.</w:t>
      </w:r>
    </w:p>
    <w:p>
      <w:pPr>
        <w:pStyle w:val="Heading1"/>
        <w:keepNext/>
        <w:shd w:fill="EAF4FA"/>
      </w:pPr>
      <w:r>
        <w:rPr>
          <w:rFonts w:ascii="Calibri" w:hAnsi="Calibri"/>
          <w:b/>
          <w:color w:val="000000"/>
          <w:sz w:val="32"/>
        </w:rPr>
        <w:t>Actividad 5 Revisar un pronóstico y un riesgo</w:t>
      </w:r>
    </w:p>
    <w:p>
      <w:pPr>
        <w:spacing w:line="278" w:lineRule="auto" w:after="140"/>
      </w:pPr>
      <w:r>
        <w:rPr>
          <w:rFonts w:ascii="Calibri" w:hAnsi="Calibri"/>
          <w:b/>
          <w:color w:val="12655D"/>
          <w:sz w:val="22"/>
        </w:rPr>
        <w:t>Integración de decisiones.</w:t>
      </w:r>
      <w:r>
        <w:rPr>
          <w:rFonts w:ascii="Calibri" w:hAnsi="Calibri"/>
          <w:sz w:val="22"/>
        </w:rPr>
        <w:t xml:space="preserve"> Quedan doce ítems de soporte de tamaños semejantes a los anteriores. En cuatro semanas comparables se terminaron 3, 4, 2 y 3 ítems. Una fuente crítica puede dejar de estar disponible. Una IA de apoyo redacta: «Todo estará listo exactamente en cuatro semanas y podemos cerrar los bloqueos».</w:t>
      </w:r>
    </w:p>
    <w:p>
      <w:pPr>
        <w:numPr>
          <w:ilvl w:val="0"/>
          <w:numId w:val="14"/>
        </w:numPr>
        <w:spacing w:line="278" w:lineRule="auto" w:after="140"/>
      </w:pPr>
      <w:r>
        <w:rPr>
          <w:rFonts w:ascii="Calibri" w:hAnsi="Calibri"/>
          <w:sz w:val="22"/>
        </w:rPr>
        <w:t>Construí una referencia central y un rango de escenarios simples usando las tasas observadas. Aclaralos como escenarios, no como probabilidades ni fechas garantizadas.</w:t>
      </w:r>
    </w:p>
    <w:p>
      <w:pPr>
        <w:numPr>
          <w:ilvl w:val="0"/>
          <w:numId w:val="14"/>
        </w:numPr>
        <w:spacing w:line="278" w:lineRule="auto" w:after="140"/>
      </w:pPr>
      <w:r>
        <w:rPr>
          <w:rFonts w:ascii="Calibri" w:hAnsi="Calibri"/>
          <w:sz w:val="22"/>
        </w:rPr>
        <w:t>Registrá el riesgo con causa, impacto, señal de activación y respuesta. Diferencialo de un bloqueo que ya ocurrió.</w:t>
      </w:r>
    </w:p>
    <w:p>
      <w:pPr>
        <w:numPr>
          <w:ilvl w:val="0"/>
          <w:numId w:val="14"/>
        </w:numPr>
        <w:spacing w:line="278" w:lineRule="auto" w:after="140"/>
      </w:pPr>
      <w:r>
        <w:rPr>
          <w:rFonts w:ascii="Calibri" w:hAnsi="Calibri"/>
          <w:sz w:val="22"/>
        </w:rPr>
        <w:t>Corregí el mensaje de la IA: qué dato puede conservarse, qué afirmación necesita revisión y quién debe comprobar el estado antes de cambiarlo.</w:t>
      </w:r>
    </w:p>
    <w:p>
      <w:r>
        <w:br w:type="page"/>
      </w:r>
    </w:p>
    <w:p>
      <w:pPr>
        <w:pStyle w:val="Heading1"/>
        <w:keepNext/>
        <w:shd w:fill="EAF4FA"/>
      </w:pPr>
      <w:r>
        <w:rPr>
          <w:rFonts w:ascii="Calibri" w:hAnsi="Calibri"/>
          <w:b/>
          <w:color w:val="000000"/>
          <w:sz w:val="32"/>
        </w:rPr>
        <w:t>Respuestas orientativas y autoevaluación</w:t>
      </w:r>
    </w:p>
    <w:p>
      <w:pPr>
        <w:pStyle w:val="Heading2"/>
        <w:keepNext/>
      </w:pPr>
      <w:r>
        <w:rPr>
          <w:rFonts w:ascii="Calibri" w:hAnsi="Calibri"/>
          <w:b/>
          <w:color w:val="000000"/>
          <w:sz w:val="26"/>
        </w:rPr>
        <w:t>Actividad 1</w:t>
      </w:r>
    </w:p>
    <w:p>
      <w:pPr>
        <w:spacing w:line="278" w:lineRule="auto" w:after="140"/>
      </w:pPr>
      <w:r>
        <w:rPr>
          <w:rFonts w:ascii="Calibri" w:hAnsi="Calibri"/>
          <w:sz w:val="22"/>
        </w:rPr>
        <w:t>Tres personas tienen 10 × 7 = 70 horas cada una; la persona con licencia tiene 8 × 7 = 56. Total: 266 horas. Solo se descuentan reuniones en días presentes; descontar 40 horas de reuniones y además 16 de licencia desde 320 resta dos horas de más. El promedio histórico es 24 puntos. Horas y puntos no son equivalentes; el historial es una referencia que debe contrastarse con disponibilidad, habilidades y trabajo seleccionado.</w:t>
      </w:r>
    </w:p>
    <w:p>
      <w:pPr>
        <w:spacing w:line="278" w:lineRule="auto" w:after="140"/>
      </w:pPr>
      <w:r>
        <w:rPr>
          <w:rFonts w:ascii="Calibri" w:hAnsi="Calibri"/>
          <w:sz w:val="22"/>
        </w:rPr>
        <w:t>La integración desconocida necesita aclarar autenticación y dependencias; no se puede fijar una estimación única sin esa conversación. Ante 3 y 13 conviene escuchar supuestos, aclarar y volver a estimar, no promediar mecánicamente. Las tallas sirven para una primera aproximación de ítems grandes. A+B+C suman 18 puntos y son coherentes con el objetivo; D agrega 8 de menor relevancia. Esa selección es un pronóstico inicial a discutir, no se deduce obligatoriamente de 266 horas ni garantiza cumplimiento. El compromiso de Scrum es el Sprint Goal.</w:t>
      </w:r>
    </w:p>
    <w:p>
      <w:pPr>
        <w:pStyle w:val="Heading2"/>
        <w:keepNext/>
      </w:pPr>
      <w:r>
        <w:rPr>
          <w:rFonts w:ascii="Calibri" w:hAnsi="Calibri"/>
          <w:b/>
          <w:color w:val="000000"/>
          <w:sz w:val="26"/>
        </w:rPr>
        <w:t>Actividad 2</w:t>
      </w:r>
    </w:p>
    <w:p>
      <w:pPr>
        <w:spacing w:line="278" w:lineRule="auto" w:after="140"/>
      </w:pPr>
      <w:r>
        <w:rPr>
          <w:rFonts w:ascii="Calibri" w:hAnsi="Calibri"/>
          <w:sz w:val="22"/>
        </w:rPr>
        <w:t>El burndown muestra más pendiente que la referencia ideal; no explica por sí solo la causa ni el desempeño individual. Conviene preguntar qué impide validar y colaborar para terminar trabajo antes de empezar más. El burnup aumenta 8 puntos completados y 8 de alcance: quedan 22 tanto el día 4 como el 6. Hubo avance y cambio de alcance al mismo tiempo. Hay que inspeccionar calidad, dependencias y efecto sobre el objetivo, negociando el alcance con el Product Owner sin reducir calidad ni ocultar cambios.</w:t>
      </w:r>
    </w:p>
    <w:p>
      <w:pPr>
        <w:pStyle w:val="Heading2"/>
        <w:keepNext/>
      </w:pPr>
      <w:r>
        <w:rPr>
          <w:rFonts w:ascii="Calibri" w:hAnsi="Calibri"/>
          <w:b/>
          <w:color w:val="000000"/>
          <w:sz w:val="26"/>
        </w:rPr>
        <w:t>Actividad 3</w:t>
      </w:r>
    </w:p>
    <w:p>
      <w:pPr>
        <w:spacing w:line="278" w:lineRule="auto" w:after="140"/>
      </w:pPr>
      <w:r>
        <w:rPr>
          <w:rFonts w:ascii="Calibri" w:hAnsi="Calibri"/>
          <w:sz w:val="22"/>
        </w:rPr>
        <w:t>A: Lead Time 6, Cycle Time 4, espera 2 días. B: 7, 4 y 3. C: 6, 6 y 0. Se cumple la suma en los tres. El throughput del intervalo es 3 ítems terminados por siete días. Con ambas columnas al límite, se prioriza destrabar y validar. La espera durante el trabajo forma parte del Cycle Time. Una banda que se ensancha sugiere acumulación: investigá capacidad de validación, bloqueos y políticas. Tres observaciones no sostienen una fecha exacta.</w:t>
      </w:r>
    </w:p>
    <w:p>
      <w:pPr>
        <w:pStyle w:val="Heading2"/>
        <w:keepNext/>
      </w:pPr>
      <w:r>
        <w:rPr>
          <w:rFonts w:ascii="Calibri" w:hAnsi="Calibri"/>
          <w:b/>
          <w:color w:val="000000"/>
          <w:sz w:val="26"/>
        </w:rPr>
        <w:t>Actividad 4</w:t>
      </w:r>
    </w:p>
    <w:p>
      <w:pPr>
        <w:spacing w:line="278" w:lineRule="auto" w:after="140"/>
      </w:pPr>
      <w:r>
        <w:rPr>
          <w:rFonts w:ascii="Calibri" w:hAnsi="Calibri"/>
          <w:sz w:val="22"/>
        </w:rPr>
        <w:t>La primera tarjeta queda En curso con bloqueo visible; la segunda, en Validación; la tercera, en Por hacer. Un criterio puede ser «fecha contrastada con fuente vigente y respuesta corregida y validada». Anotá quién gestiona la confirmación y cuándo revisará el bloqueo. Trello permite observar la lógica de listas y tarjetas; Jira, la organización del trabajo y sus flujos. La selección depende de visibilidad, backlog, reportes, integración, facilidad de uso y restricciones de acceso.</w:t>
      </w:r>
    </w:p>
    <w:p>
      <w:pPr>
        <w:spacing w:line="278" w:lineRule="auto" w:after="140"/>
      </w:pPr>
      <w:r>
        <w:rPr>
          <w:rFonts w:ascii="Calibri" w:hAnsi="Calibri"/>
          <w:sz w:val="22"/>
        </w:rPr>
        <w:t>Ninguna herramienta sustituye políticas y acuerdos. Para las demás alternativas, compará estos requisitos sin dar por hecho su disponibilidad actual.</w:t>
      </w:r>
    </w:p>
    <w:p>
      <w:pPr>
        <w:pStyle w:val="Heading2"/>
        <w:keepNext/>
      </w:pPr>
      <w:r>
        <w:rPr>
          <w:rFonts w:ascii="Calibri" w:hAnsi="Calibri"/>
          <w:b/>
          <w:color w:val="000000"/>
          <w:sz w:val="26"/>
        </w:rPr>
        <w:t>Actividad 5</w:t>
      </w:r>
    </w:p>
    <w:p>
      <w:pPr>
        <w:spacing w:line="278" w:lineRule="auto" w:after="140"/>
      </w:pPr>
      <w:r>
        <w:rPr>
          <w:rFonts w:ascii="Calibri" w:hAnsi="Calibri"/>
          <w:sz w:val="22"/>
        </w:rPr>
        <w:t>La tasa media es 3 ítems por semana: 12/3 = 4 semanas como referencia. Con 4 por semana serían 3 semanas; con 2, 6. El rango 3–6 es una comparación de escenarios, no un intervalo estadístico ni una garantía. Supone trabajo y capacidad comparables, sin nuevas entradas ni bloqueos relevantes.</w:t>
      </w:r>
    </w:p>
    <w:p>
      <w:pPr>
        <w:spacing w:line="278" w:lineRule="auto" w:after="140"/>
      </w:pPr>
      <w:r>
        <w:rPr>
          <w:rFonts w:ascii="Calibri" w:hAnsi="Calibri"/>
          <w:sz w:val="22"/>
        </w:rPr>
        <w:t>Riesgo: indisponibilidad de la fuente; impacto: impedir validar respuestas; señal: fallos de acceso o aviso de retiro; respuesta: verificar acceso, acordar alternativa autorizada y derivar si falta respaldo. Si ya no se puede acceder y detiene un ítem, existe un bloqueo actual. La IA puede conservar el cálculo central con sus supuestos, pero debe quitar certeza y cierre automático. Quienes siguen los ítems comprueban su estado con evidencia antes de actualizarlo.</w:t>
      </w:r>
    </w:p>
    <w:p>
      <w:pPr>
        <w:spacing w:line="278" w:lineRule="auto" w:after="140"/>
      </w:pPr>
      <w:r>
        <w:rPr>
          <w:rFonts w:ascii="Calibri" w:hAnsi="Calibri"/>
          <w:b/>
          <w:color w:val="12655D"/>
          <w:sz w:val="22"/>
        </w:rPr>
        <w:t>Antes de avanzar.</w:t>
      </w:r>
      <w:r>
        <w:rPr>
          <w:rFonts w:ascii="Calibri" w:hAnsi="Calibri"/>
          <w:sz w:val="22"/>
        </w:rPr>
        <w:t xml:space="preserve"> Revisá unidades, convenciones temporales, límites de los pronósticos y relación entre cada señal y una decisión. Una métrica útil orienta una pregunta; no reemplaza la investigación.</w:t>
      </w:r>
    </w:p>
    <w:sectPr w:rsidR="00FC693F" w:rsidRPr="0006063C" w:rsidSect="00034616">
      <w:footerReference w:type="default" r:id="rId9"/>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36173"/>
        <w:sz w:val="16"/>
      </w:rPr>
      <w:t xml:space="preserve">Gestión de Proyectos Ágiles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pPr>
        <w:ind w:left="380" w:hanging="220"/>
      </w:pPr>
    </w:lvl>
  </w:abstractNum>
  <w:num w:numId="10">
    <w:abstractNumId w:val="9"/>
  </w:num>
  <w:abstractNum w:abstractNumId="10">
    <w:lvl w:ilvl="0">
      <w:start w:val="1"/>
      <w:numFmt w:val="decimal"/>
      <w:lvlText w:val="%1."/>
      <w:pPr>
        <w:ind w:left="380" w:hanging="220"/>
      </w:pPr>
    </w:lvl>
  </w:abstractNum>
  <w:num w:numId="11">
    <w:abstractNumId w:val="10"/>
  </w:num>
  <w:abstractNum w:abstractNumId="11">
    <w:lvl w:ilvl="0">
      <w:start w:val="1"/>
      <w:numFmt w:val="decimal"/>
      <w:lvlText w:val="%1."/>
      <w:pPr>
        <w:ind w:left="380" w:hanging="220"/>
      </w:pPr>
    </w:lvl>
  </w:abstractNum>
  <w:num w:numId="12">
    <w:abstractNumId w:val="11"/>
  </w:num>
  <w:abstractNum w:abstractNumId="12">
    <w:lvl w:ilvl="0">
      <w:start w:val="1"/>
      <w:numFmt w:val="decimal"/>
      <w:lvlText w:val="%1."/>
      <w:pPr>
        <w:ind w:left="380" w:hanging="220"/>
      </w:pPr>
    </w:lvl>
  </w:abstractNum>
  <w:num w:numId="13">
    <w:abstractNumId w:val="12"/>
  </w:num>
  <w:abstractNum w:abstractNumId="13">
    <w:lvl w:ilvl="0">
      <w:start w:val="1"/>
      <w:numFmt w:val="decimal"/>
      <w:lvlText w:val="%1."/>
      <w:pPr>
        <w:ind w:left="380" w:hanging="22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8" w:lineRule="auto" w:after="140"/>
    </w:pPr>
    <w:rPr>
      <w:rFonts w:ascii="Calibri" w:hAnsi="Calibri"/>
      <w:color w:val="172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4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00" w:after="140"/>
      <w:outlineLvl w:val="2"/>
    </w:pPr>
    <w:rPr>
      <w:rFonts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keepNext w:val="0"/>
      <w:spacing w:after="140" w:line="240" w:lineRule="auto" w:before="120"/>
      <w:contextualSpacing/>
    </w:pPr>
    <w:rPr>
      <w:rFonts w:ascii="Calibri" w:hAnsi="Calibri"/>
      <w:b w:val="0"/>
      <w:color w:val="000000"/>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keepNext w:val="0"/>
      <w:numPr>
        <w:ilvl w:val="1"/>
      </w:numPr>
      <w:spacing w:before="120" w:after="140"/>
    </w:pPr>
    <w:rPr>
      <w:rFonts w:ascii="Calibri" w:hAnsi="Calibri"/>
      <w:b w:val="0"/>
      <w:i/>
      <w:iCs/>
      <w:color w:val="000000"/>
      <w:spacing w:val="15"/>
      <w:sz w:val="26"/>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after="200"/>
    </w:pPr>
    <w:rPr>
      <w:rFonts w:ascii="Calibri" w:hAnsi="Calibri"/>
      <w:b/>
      <w:bCs/>
      <w:color w:val="5361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yperlink">
    <w:name w:val="Hyperlink"/>
    <w:rPr>
      <w:color w:val="245E9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trello.com/en/guide/trello-101" TargetMode="External"/><Relationship Id="rId11" Type="http://schemas.openxmlformats.org/officeDocument/2006/relationships/hyperlink" Target="https://www.atlassian.com/software/jira/guides/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Actividades del módulo 4 Gestión de Proyectos Ágiles</dc:title>
  <dc:subject>Práctica autónoma con respuestas orientativas</dc:subject>
  <dc:creator/>
  <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