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80" w:after="280"/>
      </w:pPr>
      <w:r>
        <w:rPr>
          <w:rFonts w:ascii="Calibri" w:hAnsi="Calibri"/>
          <w:b w:val="0"/>
          <w:color w:val="000000"/>
          <w:sz w:val="52"/>
        </w:rPr>
        <w:t>Actividades del módulo 5</w:t>
      </w:r>
    </w:p>
    <w:p>
      <w:pPr>
        <w:spacing w:line="278" w:lineRule="auto" w:after="140"/>
      </w:pPr>
      <w:r>
        <w:rPr>
          <w:rFonts w:ascii="Calibri" w:hAnsi="Calibri"/>
          <w:b/>
          <w:color w:val="12655D"/>
          <w:sz w:val="22"/>
        </w:rPr>
        <w:t>Gestión de Proyectos Ágiles · Equipos, Liderazgo, Mejora Continua y Casos de Estudio</w:t>
      </w:r>
    </w:p>
    <w:p>
      <w:pPr>
        <w:spacing w:line="278" w:lineRule="auto" w:after="140"/>
      </w:pPr>
      <w:r>
        <w:rPr>
          <w:rFonts w:ascii="Calibri" w:hAnsi="Calibri"/>
          <w:sz w:val="22"/>
        </w:rPr>
        <w:t>Vas a diagnosticar situaciones de equipo, proponer mejoras pequeñas y distinguir evidencia de conclusiones apresuradas. Resolvé en un borrador y después revisá las respuestas orientativas. Son prácticas autónomas, sin entrega ni calificación. Los escenarios son didácticos; la última actividad también utiliza los casos documentados del Contenido.</w:t>
      </w:r>
    </w:p>
    <w:p>
      <w:pPr>
        <w:pStyle w:val="Heading1"/>
        <w:keepNext/>
        <w:shd w:fill="EAF4FA"/>
      </w:pPr>
      <w:r>
        <w:rPr>
          <w:rFonts w:ascii="Calibri" w:hAnsi="Calibri"/>
          <w:b/>
          <w:color w:val="000000"/>
          <w:sz w:val="32"/>
        </w:rPr>
        <w:t>Actividad 1 Intervenir sobre liderazgo y comunicación</w:t>
      </w:r>
    </w:p>
    <w:p>
      <w:pPr>
        <w:spacing w:line="278" w:lineRule="auto" w:after="140"/>
      </w:pPr>
      <w:r>
        <w:rPr>
          <w:rFonts w:ascii="Calibri" w:hAnsi="Calibri"/>
          <w:b/>
          <w:color w:val="12655D"/>
          <w:sz w:val="22"/>
        </w:rPr>
        <w:t>Contexto de equipo.</w:t>
      </w:r>
      <w:r>
        <w:rPr>
          <w:rFonts w:ascii="Calibri" w:hAnsi="Calibri"/>
          <w:sz w:val="22"/>
        </w:rPr>
        <w:t xml:space="preserve"> En el equipo del asistente hay especialistas en datos, programación y pruebas. Sin embargo, solo una persona conoce cómo validar documentos. La dirección cambia integrantes semanalmente. En la Daily Scrum, todos reportan al Scrum Master y evitan mencionar problemas. En una reunión del martes, una persona interrumpe dos veces a la especialista mientras explica que una fuente está desactualizada. El equipo continúa usando esa fuente.</w:t>
      </w:r>
    </w:p>
    <w:p>
      <w:pPr>
        <w:numPr>
          <w:ilvl w:val="0"/>
          <w:numId w:val="10"/>
        </w:numPr>
        <w:spacing w:line="278" w:lineRule="auto" w:after="140"/>
      </w:pPr>
      <w:r>
        <w:rPr>
          <w:rFonts w:ascii="Calibri" w:hAnsi="Calibri"/>
          <w:sz w:val="22"/>
        </w:rPr>
        <w:t>Identificá tres problemas concretos y sus consecuencias. Explicá por qué tener distintas especialidades no basta para completar trabajo de punta a punta.</w:t>
      </w:r>
    </w:p>
    <w:p>
      <w:pPr>
        <w:numPr>
          <w:ilvl w:val="0"/>
          <w:numId w:val="10"/>
        </w:numPr>
        <w:spacing w:line="278" w:lineRule="auto" w:after="140"/>
      </w:pPr>
      <w:r>
        <w:rPr>
          <w:rFonts w:ascii="Calibri" w:hAnsi="Calibri"/>
          <w:sz w:val="22"/>
        </w:rPr>
        <w:t>Proponé una acción de liderazgo de servicio para la próxima semana y una decisión que debería tomar el equipo. Distinguí dar apoyo de dejar al equipo sin recursos ni límites.</w:t>
      </w:r>
    </w:p>
    <w:p>
      <w:pPr>
        <w:numPr>
          <w:ilvl w:val="0"/>
          <w:numId w:val="10"/>
        </w:numPr>
        <w:spacing w:line="278" w:lineRule="auto" w:after="140"/>
      </w:pPr>
      <w:r>
        <w:rPr>
          <w:rFonts w:ascii="Calibri" w:hAnsi="Calibri"/>
          <w:sz w:val="22"/>
        </w:rPr>
        <w:t>Redactá feedback con Situación–Comportamiento–Impacto sobre las interrupciones, sin atribuir intenciones. Agregá una invitación a conversar.</w:t>
      </w:r>
    </w:p>
    <w:p>
      <w:pPr>
        <w:numPr>
          <w:ilvl w:val="0"/>
          <w:numId w:val="10"/>
        </w:numPr>
        <w:spacing w:line="278" w:lineRule="auto" w:after="140"/>
      </w:pPr>
      <w:r>
        <w:rPr>
          <w:rFonts w:ascii="Calibri" w:hAnsi="Calibri"/>
          <w:sz w:val="22"/>
        </w:rPr>
        <w:t>Proponé un acuerdo de trabajo útil para un equipo remoto. Si aparecen desacuerdos en un equipo nuevo, ¿el modelo de Tuckman permite concluir que está fracasando o que toda tensión se resolverá sola?</w:t>
      </w:r>
    </w:p>
    <w:p>
      <w:pPr>
        <w:pStyle w:val="Heading1"/>
        <w:keepNext/>
        <w:shd w:fill="EAF4FA"/>
      </w:pPr>
      <w:r>
        <w:rPr>
          <w:rFonts w:ascii="Calibri" w:hAnsi="Calibri"/>
          <w:b/>
          <w:color w:val="000000"/>
          <w:sz w:val="32"/>
        </w:rPr>
        <w:t>Actividad 2 Separar la Review de la Retrospective</w:t>
      </w:r>
    </w:p>
    <w:p>
      <w:pPr>
        <w:spacing w:line="278" w:lineRule="auto" w:after="140"/>
      </w:pPr>
      <w:r>
        <w:rPr>
          <w:rFonts w:ascii="Calibri" w:hAnsi="Calibri"/>
          <w:b/>
          <w:color w:val="12655D"/>
          <w:sz w:val="22"/>
        </w:rPr>
        <w:t>Contexto Scrum.</w:t>
      </w:r>
      <w:r>
        <w:rPr>
          <w:rFonts w:ascii="Calibri" w:hAnsi="Calibri"/>
          <w:sz w:val="22"/>
        </w:rPr>
        <w:t xml:space="preserve"> Al terminar el Sprint, la capacidad de orientar sobre documentación cumple la DoD. En una prueba con estudiantes se observa que varios no comprenden un término. Además, el equipo descubre que sus validaciones se acumularon porque nadie acordó quién podía solicitar revisión. La última retrospectiva terminó con «mejorar la comunicación», sin seguimiento.</w:t>
      </w:r>
    </w:p>
    <w:p>
      <w:pPr>
        <w:numPr>
          <w:ilvl w:val="0"/>
          <w:numId w:val="11"/>
        </w:numPr>
        <w:spacing w:line="278" w:lineRule="auto" w:after="140"/>
      </w:pPr>
      <w:r>
        <w:rPr>
          <w:rFonts w:ascii="Calibri" w:hAnsi="Calibri"/>
          <w:sz w:val="22"/>
        </w:rPr>
        <w:t>¿Qué conversación llevarías a la Sprint Review, con quiénes y para decidir qué? ¿Qué llevarías a la Sprint Retrospective y por qué?</w:t>
      </w:r>
    </w:p>
    <w:p>
      <w:pPr>
        <w:numPr>
          <w:ilvl w:val="0"/>
          <w:numId w:val="11"/>
        </w:numPr>
        <w:spacing w:line="278" w:lineRule="auto" w:after="140"/>
      </w:pPr>
      <w:r>
        <w:rPr>
          <w:rFonts w:ascii="Calibri" w:hAnsi="Calibri"/>
          <w:sz w:val="22"/>
        </w:rPr>
        <w:t>Diseñá una retrospectiva breve con preparación del entorno, recolección de datos, generación de ideas, decisión y cierre. Indicá cómo evitarías convertirla en una búsqueda de culpables.</w:t>
      </w:r>
    </w:p>
    <w:p>
      <w:pPr>
        <w:numPr>
          <w:ilvl w:val="0"/>
          <w:numId w:val="11"/>
        </w:numPr>
        <w:spacing w:line="278" w:lineRule="auto" w:after="140"/>
      </w:pPr>
      <w:r>
        <w:rPr>
          <w:rFonts w:ascii="Calibri" w:hAnsi="Calibri"/>
          <w:sz w:val="22"/>
        </w:rPr>
        <w:t>Reemplazá «mejorar la comunicación» por una acción concreta con responsable de seguimiento, plazo y evidencia a revisar en el siguiente Sprint. No confundas ese responsable con quien debe ejecutar todo el trabajo.</w:t>
      </w:r>
    </w:p>
    <w:p>
      <w:pPr>
        <w:pStyle w:val="Heading1"/>
        <w:keepNext/>
        <w:shd w:fill="EAF4FA"/>
      </w:pPr>
      <w:r>
        <w:rPr>
          <w:rFonts w:ascii="Calibri" w:hAnsi="Calibri"/>
          <w:b/>
          <w:color w:val="000000"/>
          <w:sz w:val="32"/>
        </w:rPr>
        <w:t>Actividad 3 Probar una mejora y cuidar la calidad</w:t>
      </w:r>
    </w:p>
    <w:p>
      <w:pPr>
        <w:spacing w:line="278" w:lineRule="auto" w:after="140"/>
      </w:pPr>
      <w:r>
        <w:rPr>
          <w:rFonts w:ascii="Calibri" w:hAnsi="Calibri"/>
          <w:b/>
          <w:color w:val="12655D"/>
          <w:sz w:val="22"/>
        </w:rPr>
        <w:t>Contexto Kaizen y PDCA.</w:t>
      </w:r>
      <w:r>
        <w:rPr>
          <w:rFonts w:ascii="Calibri" w:hAnsi="Calibri"/>
          <w:sz w:val="22"/>
        </w:rPr>
        <w:t xml:space="preserve"> En las últimas dos semanas, seis de diez ítems terminados esperaron más de dos días en validación. Se propone acordar diariamente una franja compartida para revisar y hacer visibles los bloqueos. Durante las dos semanas de prueba, tres de diez ítems superan esa espera. Los ítems son aproximadamente comparables, pero hubo una persona adicional disponible durante parte de la prueba.</w:t>
      </w:r>
    </w:p>
    <w:p>
      <w:pPr>
        <w:numPr>
          <w:ilvl w:val="0"/>
          <w:numId w:val="12"/>
        </w:numPr>
        <w:spacing w:line="278" w:lineRule="auto" w:after="140"/>
      </w:pPr>
      <w:r>
        <w:rPr>
          <w:rFonts w:ascii="Calibri" w:hAnsi="Calibri"/>
          <w:sz w:val="22"/>
        </w:rPr>
        <w:t>Organizá la intervención como Planificar, Hacer, Verificar y Actuar. Separá hipótesis, intervención, medición y decisión.</w:t>
      </w:r>
    </w:p>
    <w:p>
      <w:pPr>
        <w:numPr>
          <w:ilvl w:val="0"/>
          <w:numId w:val="12"/>
        </w:numPr>
        <w:spacing w:line="278" w:lineRule="auto" w:after="140"/>
      </w:pPr>
      <w:r>
        <w:rPr>
          <w:rFonts w:ascii="Calibri" w:hAnsi="Calibri"/>
          <w:sz w:val="22"/>
        </w:rPr>
        <w:t>Calculá el cambio en la proporción de ítems que supera dos días de espera. ¿Podés atribuir toda la mejora a la franja de revisión? ¿Qué registrarías para interpretar mejor el resultado?</w:t>
      </w:r>
    </w:p>
    <w:p>
      <w:pPr>
        <w:numPr>
          <w:ilvl w:val="0"/>
          <w:numId w:val="12"/>
        </w:numPr>
        <w:spacing w:line="278" w:lineRule="auto" w:after="140"/>
      </w:pPr>
      <w:r>
        <w:rPr>
          <w:rFonts w:ascii="Calibri" w:hAnsi="Calibri"/>
          <w:sz w:val="22"/>
        </w:rPr>
        <w:t>Proponé una medida de calidad que acompañe la de espera para evitar que se apruebe trabajo sin revisión suficiente.</w:t>
      </w:r>
    </w:p>
    <w:p>
      <w:pPr>
        <w:spacing w:line="278" w:lineRule="auto" w:after="140"/>
      </w:pPr>
      <w:r>
        <w:rPr>
          <w:rFonts w:ascii="Calibri" w:hAnsi="Calibri"/>
          <w:b/>
          <w:color w:val="12655D"/>
          <w:sz w:val="22"/>
        </w:rPr>
        <w:t>Cambio de contexto hacia prácticas de ingeniería.</w:t>
      </w:r>
      <w:r>
        <w:rPr>
          <w:rFonts w:ascii="Calibri" w:hAnsi="Calibri"/>
          <w:sz w:val="22"/>
        </w:rPr>
        <w:t xml:space="preserve"> En otro flujo, los cambios se integran frecuentemente con pruebas automáticas y quedan listos para publicar. La publicación requiere una decisión manual. Una propuesta alternativa publicaría automáticamente todo cambio que supere las verificaciones.</w:t>
      </w:r>
    </w:p>
    <w:p>
      <w:pPr>
        <w:numPr>
          <w:ilvl w:val="0"/>
          <w:numId w:val="13"/>
        </w:numPr>
        <w:spacing w:line="278" w:lineRule="auto" w:after="140"/>
      </w:pPr>
      <w:r>
        <w:rPr>
          <w:rFonts w:ascii="Calibri" w:hAnsi="Calibri"/>
          <w:sz w:val="22"/>
        </w:rPr>
        <w:t>Distinguí integración continua, entrega continua y despliegue continuo en estas situaciones.</w:t>
      </w:r>
    </w:p>
    <w:p>
      <w:pPr>
        <w:numPr>
          <w:ilvl w:val="0"/>
          <w:numId w:val="13"/>
        </w:numPr>
        <w:spacing w:line="278" w:lineRule="auto" w:after="140"/>
      </w:pPr>
      <w:r>
        <w:rPr>
          <w:rFonts w:ascii="Calibri" w:hAnsi="Calibri"/>
          <w:sz w:val="22"/>
        </w:rPr>
        <w:t>Una dependencia de datos sin responsable genera errores repetidos. Proponé cómo hacer visible ese trabajo y coordinar desarrollo y operaciones. ¿Eliminar la aprobación manual resolvería por sí solo el problema?</w:t>
      </w:r>
    </w:p>
    <w:p>
      <w:pPr>
        <w:pStyle w:val="Heading1"/>
        <w:keepNext/>
        <w:shd w:fill="EAF4FA"/>
      </w:pPr>
      <w:r>
        <w:rPr>
          <w:rFonts w:ascii="Calibri" w:hAnsi="Calibri"/>
          <w:b/>
          <w:color w:val="000000"/>
          <w:sz w:val="32"/>
        </w:rPr>
        <w:t>Actividad 4 Evaluar una adopción y sus evidencias</w:t>
      </w:r>
    </w:p>
    <w:p>
      <w:pPr>
        <w:spacing w:line="278" w:lineRule="auto" w:after="140"/>
      </w:pPr>
      <w:r>
        <w:rPr>
          <w:rFonts w:ascii="Calibri" w:hAnsi="Calibri"/>
          <w:b/>
          <w:color w:val="12655D"/>
          <w:sz w:val="22"/>
        </w:rPr>
        <w:t>Contexto organizacional.</w:t>
      </w:r>
      <w:r>
        <w:rPr>
          <w:rFonts w:ascii="Calibri" w:hAnsi="Calibri"/>
          <w:sz w:val="22"/>
        </w:rPr>
        <w:t xml:space="preserve"> Una organización compara públicamente la velocidad de cinco equipos. Hay reuniones con nombres de Scrum, pero las prioridades cambian por mensajes privados y los defectos no se registran. La dirección quiere adoptar un marco de escalado para arreglar todo. Dos equipos construyen partes del mismo producto y recién integran al final del mes.</w:t>
      </w:r>
    </w:p>
    <w:p>
      <w:pPr>
        <w:numPr>
          <w:ilvl w:val="0"/>
          <w:numId w:val="14"/>
        </w:numPr>
        <w:spacing w:line="278" w:lineRule="auto" w:after="140"/>
      </w:pPr>
      <w:r>
        <w:rPr>
          <w:rFonts w:ascii="Calibri" w:hAnsi="Calibri"/>
          <w:sz w:val="22"/>
        </w:rPr>
        <w:t>Identificá dos señales de adopción superficial y explicá qué problema produce cada una. Proponé alternativas al ranking de puntos para conversar sobre resultados y calidad.</w:t>
      </w:r>
    </w:p>
    <w:p>
      <w:pPr>
        <w:numPr>
          <w:ilvl w:val="0"/>
          <w:numId w:val="14"/>
        </w:numPr>
        <w:spacing w:line="278" w:lineRule="auto" w:after="140"/>
      </w:pPr>
      <w:r>
        <w:rPr>
          <w:rFonts w:ascii="Calibri" w:hAnsi="Calibri"/>
          <w:sz w:val="22"/>
        </w:rPr>
        <w:t>Antes de elegir un marco de escala, ¿qué revisarías sobre producto, prioridades, dependencias e integración? Distinguí Scrum of Scrums, SAFe y LeSS según el alcance explicado en el módulo; no elijas solo por tamaño de la organización.</w:t>
      </w:r>
    </w:p>
    <w:p>
      <w:pPr>
        <w:numPr>
          <w:ilvl w:val="0"/>
          <w:numId w:val="14"/>
        </w:numPr>
        <w:spacing w:line="278" w:lineRule="auto" w:after="140"/>
      </w:pPr>
      <w:r>
        <w:rPr>
          <w:rFonts w:ascii="Calibri" w:hAnsi="Calibri"/>
          <w:sz w:val="22"/>
        </w:rPr>
        <w:t>Volvé a los casos de Sentinel e ING de la sección 18. Para cada uno, separá contexto, intervención, evidencia relatada y conclusión que la fuente no permite. No necesitás abrir recursos externos para resolverlo.</w:t>
      </w:r>
    </w:p>
    <w:p>
      <w:pPr>
        <w:numPr>
          <w:ilvl w:val="0"/>
          <w:numId w:val="14"/>
        </w:numPr>
        <w:spacing w:line="278" w:lineRule="auto" w:after="140"/>
      </w:pPr>
      <w:r>
        <w:rPr>
          <w:rFonts w:ascii="Calibri" w:hAnsi="Calibri"/>
          <w:sz w:val="22"/>
        </w:rPr>
        <w:t>El estudio sobre deuda técnica en sistemas de aprendizaje automático también aparece en esa sección. Explicá qué aporta para gestionar el asistente y por qué no demuestra la superioridad de Scrum.</w:t>
      </w:r>
    </w:p>
    <w:p>
      <w:r>
        <w:br w:type="page"/>
      </w:r>
    </w:p>
    <w:p>
      <w:pPr>
        <w:pStyle w:val="Heading1"/>
        <w:keepNext/>
        <w:shd w:fill="EAF4FA"/>
      </w:pPr>
      <w:r>
        <w:rPr>
          <w:rFonts w:ascii="Calibri" w:hAnsi="Calibri"/>
          <w:b/>
          <w:color w:val="000000"/>
          <w:sz w:val="32"/>
        </w:rPr>
        <w:t>Respuestas orientativas y autoevaluación</w:t>
      </w:r>
    </w:p>
    <w:p>
      <w:pPr>
        <w:pStyle w:val="Heading2"/>
        <w:keepNext/>
      </w:pPr>
      <w:r>
        <w:rPr>
          <w:rFonts w:ascii="Calibri" w:hAnsi="Calibri"/>
          <w:b/>
          <w:color w:val="000000"/>
          <w:sz w:val="26"/>
        </w:rPr>
        <w:t>Actividad 1</w:t>
      </w:r>
    </w:p>
    <w:p>
      <w:pPr>
        <w:spacing w:line="278" w:lineRule="auto" w:after="140"/>
      </w:pPr>
      <w:r>
        <w:rPr>
          <w:rFonts w:ascii="Calibri" w:hAnsi="Calibri"/>
          <w:sz w:val="22"/>
        </w:rPr>
        <w:t>La dependencia de una única persona dificulta terminar trabajo; la rotación frecuente debilita conocimiento y acuerdos; el reporte jerárquico y el silencio ocultan bloqueos. Tener especialidades distintas no garantiza acceso a todas las capacidades necesarias. Un liderazgo de servicio puede conseguir disponibilidad de la especialista y facilitar transferencia de conocimiento; el equipo puede acordar cómo distribuir validaciones. La autonomía necesita objetivos, recursos y límites explícitos.</w:t>
      </w:r>
    </w:p>
    <w:p>
      <w:pPr>
        <w:spacing w:line="278" w:lineRule="auto" w:after="140"/>
      </w:pPr>
      <w:r>
        <w:rPr>
          <w:rFonts w:ascii="Calibri" w:hAnsi="Calibri"/>
          <w:sz w:val="22"/>
        </w:rPr>
        <w:t>Feedback posible: «En la reunión del martes, mientras se explicaba la vigencia de la fuente, interrumpiste dos veces. La explicación quedó incompleta y seguimos usando un documento desactualizado. ¿Podemos conversar sobre lo ocurrido y cómo escuchar la advertencia completa?». Un acuerdo remoto puede definir dónde registrar bloqueos, quién confirma recepción y cuándo se revisan. Tuckman ayuda a interpretar desarrollo del equipo, pero no diagnostica automáticamente fracaso ni garantiza que los conflictos desaparezcan sin intervención.</w:t>
      </w:r>
    </w:p>
    <w:p>
      <w:pPr>
        <w:pStyle w:val="Heading2"/>
        <w:keepNext/>
      </w:pPr>
      <w:r>
        <w:rPr>
          <w:rFonts w:ascii="Calibri" w:hAnsi="Calibri"/>
          <w:b/>
          <w:color w:val="000000"/>
          <w:sz w:val="26"/>
        </w:rPr>
        <w:t>Actividad 2</w:t>
      </w:r>
    </w:p>
    <w:p>
      <w:pPr>
        <w:spacing w:line="278" w:lineRule="auto" w:after="140"/>
      </w:pPr>
      <w:r>
        <w:rPr>
          <w:rFonts w:ascii="Calibri" w:hAnsi="Calibri"/>
          <w:sz w:val="22"/>
        </w:rPr>
        <w:t>En la Review se inspecciona el resultado con estudiantes y especialistas para adaptar lenguaje y prioridades del producto. En la Retrospective se examina cómo se organizó la validación y se decide una mejora del proceso. Los temas pueden relacionarse sin volver equivalentes los eventos.</w:t>
      </w:r>
    </w:p>
    <w:p>
      <w:pPr>
        <w:spacing w:line="278" w:lineRule="auto" w:after="140"/>
      </w:pPr>
      <w:r>
        <w:rPr>
          <w:rFonts w:ascii="Calibri" w:hAnsi="Calibri"/>
          <w:sz w:val="22"/>
        </w:rPr>
        <w:t>Una retrospectiva posible: recordar acuerdos de respeto; reunir fechas y esperas; explorar por qué no estaba claro cómo pedir revisión; elegir una política de solicitud y seguimiento; cerrar con responsables y fecha para comprobarla. Se describen hechos y condiciones, sin atribuir mala intención. Una acción concreta es que, durante el siguiente Sprint, cada solicitud de validación registre responsable de seguimiento y próxima revisión; una persona facilita el seguimiento del acuerdo y el equipo compara esperas y bloqueos en la próxima retrospectiva.</w:t>
      </w:r>
    </w:p>
    <w:p>
      <w:pPr>
        <w:pStyle w:val="Heading2"/>
        <w:keepNext/>
      </w:pPr>
      <w:r>
        <w:rPr>
          <w:rFonts w:ascii="Calibri" w:hAnsi="Calibri"/>
          <w:b/>
          <w:color w:val="000000"/>
          <w:sz w:val="26"/>
        </w:rPr>
        <w:t>Actividad 3</w:t>
      </w:r>
    </w:p>
    <w:p>
      <w:pPr>
        <w:spacing w:line="278" w:lineRule="auto" w:after="140"/>
      </w:pPr>
      <w:r>
        <w:rPr>
          <w:rFonts w:ascii="Calibri" w:hAnsi="Calibri"/>
          <w:sz w:val="22"/>
        </w:rPr>
        <w:t>Planificar: plantear que una franja compartida reducirá esperas; Hacer: probarla dos semanas; Verificar: comparar datos; Actuar: mantener, ajustar o descartar según resultados. Se pasa de 6/10 = 60 % a 3/10 = 30 %, una reducción de 30 puntos porcentuales. No demuestra causalidad: la disponibilidad adicional puede explicar parte del cambio. Registrá capacidad, tamaño de ítems, bloqueos y cumplimiento de la práctica. Una medida complementaria es cuántos ítems deben reabrirse por validación incorrecta, con la misma definición antes y después.</w:t>
      </w:r>
    </w:p>
    <w:p>
      <w:pPr>
        <w:spacing w:line="278" w:lineRule="auto" w:after="140"/>
      </w:pPr>
      <w:r>
        <w:rPr>
          <w:rFonts w:ascii="Calibri" w:hAnsi="Calibri"/>
          <w:sz w:val="22"/>
        </w:rPr>
        <w:t>Integrar frecuentemente con verificaciones describe CI; mantener el software listo para publicar con decisión manual describe entrega continua; publicar automáticamente tras las verificaciones describe despliegue continuo. La dependencia de datos necesita visibilidad, responsable y controles acordados entre desarrollo y operación. Se puede registrar trabajo para versionar y validar fuentes, y revisar la calidad esperada. Quitar una aprobación no resuelve por sí solo una dependencia sin gestionar.</w:t>
      </w:r>
    </w:p>
    <w:p>
      <w:pPr>
        <w:pStyle w:val="Heading2"/>
        <w:keepNext/>
      </w:pPr>
      <w:r>
        <w:rPr>
          <w:rFonts w:ascii="Calibri" w:hAnsi="Calibri"/>
          <w:b/>
          <w:color w:val="000000"/>
          <w:sz w:val="26"/>
        </w:rPr>
        <w:t>Actividad 4</w:t>
      </w:r>
    </w:p>
    <w:p>
      <w:pPr>
        <w:spacing w:line="278" w:lineRule="auto" w:after="140"/>
      </w:pPr>
      <w:r>
        <w:rPr>
          <w:rFonts w:ascii="Calibri" w:hAnsi="Calibri"/>
          <w:sz w:val="22"/>
        </w:rPr>
        <w:t>Reuniones sin transparencia y prioridades fuera del backlog son señales de adopción superficial. El ranking de puntos favorece competir sobre estimaciones que no son comparables entre equipos. Conviene examinar resultados para usuarios, calidad, bloqueos y evolución del flujo dentro de cada contexto, sin reemplazar un ranking arbitrario por otro.</w:t>
      </w:r>
    </w:p>
    <w:p>
      <w:pPr>
        <w:spacing w:line="278" w:lineRule="auto" w:after="140"/>
      </w:pPr>
      <w:r>
        <w:rPr>
          <w:rFonts w:ascii="Calibri" w:hAnsi="Calibri"/>
          <w:sz w:val="22"/>
        </w:rPr>
        <w:t>Revisá si hay claridad del producto, prioridades compartidas, dependencias evitables e integración frecuente. Para equipos Scrum de un mismo producto, el módulo explica Product Goal, Product Backlog y Product Owner compartidos. Scrum of Scrums coordina dependencias; SAFe plantea una organización más amplia; LeSS extiende Scrum a varios equipos con foco común de producto. No son tres reuniones equivalentes ni una cura automática de problemas organizacionales.</w:t>
      </w:r>
    </w:p>
    <w:p>
      <w:pPr>
        <w:spacing w:line="278" w:lineRule="auto" w:after="140"/>
      </w:pPr>
      <w:r>
        <w:rPr>
          <w:rFonts w:ascii="Calibri" w:hAnsi="Calibri"/>
          <w:sz w:val="22"/>
        </w:rPr>
        <w:t>En Sentinel, el contexto incluye problemas de desempeño y costos; la intervención relatada cambia el enfoque y ordena requisitos; la evidencia incluye un despliegue informado. No permite atribuir todo el resultado exclusivamente a Scrum. En ING, el relato describe colaboración entre líderes de cuatro squads y tensiones entre entrega y capacidades técnicas; no constituye una comparación causal ni convierte sus cargos en reglas de Scrum.</w:t>
      </w:r>
    </w:p>
    <w:p>
      <w:pPr>
        <w:spacing w:line="278" w:lineRule="auto" w:after="140"/>
      </w:pPr>
      <w:r>
        <w:rPr>
          <w:rFonts w:ascii="Calibri" w:hAnsi="Calibri"/>
          <w:sz w:val="22"/>
        </w:rPr>
        <w:t>El estudio de deuda técnica de IA muestra dependencias del sistema que la gestión debe hacer visibles; no evalúa una adopción de Scrum. La respuesta sólida distingue lo observado, lo relatado y lo inferido.</w:t>
      </w:r>
    </w:p>
    <w:p>
      <w:pPr>
        <w:spacing w:line="278" w:lineRule="auto" w:after="140"/>
      </w:pPr>
      <w:r>
        <w:rPr>
          <w:rFonts w:ascii="Calibri" w:hAnsi="Calibri"/>
          <w:b/>
          <w:color w:val="12655D"/>
          <w:sz w:val="22"/>
        </w:rPr>
        <w:t>Antes de cerrar.</w:t>
      </w:r>
      <w:r>
        <w:rPr>
          <w:rFonts w:ascii="Calibri" w:hAnsi="Calibri"/>
          <w:sz w:val="22"/>
        </w:rPr>
        <w:t xml:space="preserve"> Comprobá que tus intervenciones tienen acción, evidencia y revisión; que diferenciás mejora del producto y del proceso; y que no atribuís a un marco resultados que los datos no demuestran.</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80" w:hanging="220"/>
      </w:pPr>
    </w:lvl>
  </w:abstractNum>
  <w:num w:numId="10">
    <w:abstractNumId w:val="9"/>
  </w:num>
  <w:abstractNum w:abstractNumId="10">
    <w:lvl w:ilvl="0">
      <w:start w:val="1"/>
      <w:numFmt w:val="decimal"/>
      <w:lvlText w:val="%1."/>
      <w:pPr>
        <w:ind w:left="380" w:hanging="220"/>
      </w:pPr>
    </w:lvl>
  </w:abstractNum>
  <w:num w:numId="11">
    <w:abstractNumId w:val="10"/>
  </w:num>
  <w:abstractNum w:abstractNumId="11">
    <w:lvl w:ilvl="0">
      <w:start w:val="1"/>
      <w:numFmt w:val="decimal"/>
      <w:lvlText w:val="%1."/>
      <w:pPr>
        <w:ind w:left="380" w:hanging="220"/>
      </w:pPr>
    </w:lvl>
  </w:abstractNum>
  <w:num w:numId="12">
    <w:abstractNumId w:val="11"/>
  </w:num>
  <w:abstractNum w:abstractNumId="12">
    <w:lvl w:ilvl="0">
      <w:start w:val="1"/>
      <w:numFmt w:val="decimal"/>
      <w:lvlText w:val="%1."/>
      <w:pPr>
        <w:ind w:left="380" w:hanging="220"/>
      </w:pPr>
    </w:lvl>
  </w:abstractNum>
  <w:num w:numId="13">
    <w:abstractNumId w:val="12"/>
  </w:num>
  <w:abstractNum w:abstractNumId="13">
    <w:lvl w:ilvl="0">
      <w:start w:val="1"/>
      <w:numFmt w:val="decimal"/>
      <w:lvlText w:val="%1."/>
      <w:pPr>
        <w:ind w:left="380" w:hanging="22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Actividades del módulo 5 Gestión de Proyectos Ágiles</dc:title>
  <dc:subject>Práctica autónoma con respuestas orientativas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