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134" w:right="1134" w:bottom="1134" w:left="1134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Microobjetivos - Módulo 1</w:t>
      </w:r>
    </w:p>
    <w:p>
      <w:pPr>
        <w:numPr>
          <w:ilvl w:val="0"/>
          <w:numId w:val="1"/>
        </w:numPr>
        <w:spacing w:lineRule="auto"/>
      </w:pPr>
      <w:r>
        <w:rPr/>
        <w:t xml:space="preserve">Comprender los fundamentos conceptuales de la gestión de proyectos —incluyendo las nociones de proyecto, producto, operación, ciclo de vida y triple restricción— para distinguir con precisión el alcance y los límites de esta disciplina aplicada al desarrollo de software.</w:t>
      </w:r>
    </w:p>
    <w:p>
      <w:pPr>
        <w:numPr>
          <w:ilvl w:val="0"/>
          <w:numId w:val="1"/>
        </w:numPr>
        <w:spacing w:lineRule="auto"/>
      </w:pPr>
      <w:r>
        <w:rPr/>
        <w:t xml:space="preserve">Analizar el enfoque predictivo o en cascada y sus variantes iterativas e incrementales para identificar en qué contextos de un proyecto de software resulta más adecuado aplicar cada uno.</w:t>
      </w:r>
    </w:p>
    <w:p>
      <w:pPr>
        <w:numPr>
          <w:ilvl w:val="0"/>
          <w:numId w:val="1"/>
        </w:numPr>
        <w:spacing w:lineRule="auto"/>
      </w:pPr>
      <w:r>
        <w:rPr/>
        <w:t xml:space="preserve">Conocer el origen histórico de la agilidad, los cuatro valores y los doce principios del Manifiesto Ágil para fundamentar con criterio profesional la adopción de un enfoque ágil frente a uno tradicional.</w:t>
      </w:r>
    </w:p>
    <w:p>
      <w:pPr>
        <w:numPr>
          <w:ilvl w:val="0"/>
          <w:numId w:val="1"/>
        </w:numPr>
        <w:spacing w:lineRule="auto"/>
      </w:pPr>
      <w:r>
        <w:rPr/>
        <w:t xml:space="preserve">Comparar los enfoques ágil, tradicional e híbrido de gestión de proyectos para poder seleccionar y justificar el enfoque más apropiado según el nivel de incertidumbre y las restricciones de cada proyecto concreto.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2026-09-14T14:20:51.209Z</dcterms:created>
  <dcterms:modified xsi:type="dcterms:W3CDTF">2026-09-14T14:20:51.209Z</dcterms:modified>
</cp:coreProperties>
</file>