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keepNext/>
        <w:spacing w:before="1701"/>
      </w:pPr>
      <w:r>
        <w:rPr>
          <w:rFonts w:ascii="Calibri" w:hAnsi="Calibri"/>
          <w:b w:val="0"/>
          <w:color w:val="536173"/>
          <w:sz w:val="26"/>
        </w:rPr>
        <w:t>Gestión de Proyectos Ágiles</w:t>
      </w:r>
    </w:p>
    <w:p>
      <w:r>
        <w:rPr>
          <w:color w:val="5D3E83"/>
          <w:sz w:val="32"/>
        </w:rPr>
        <w:t>Módulo 3</w:t>
      </w:r>
    </w:p>
    <w:p>
      <w:pPr>
        <w:pStyle w:val="Title"/>
        <w:keepNext/>
        <w:spacing w:before="280" w:after="280"/>
      </w:pPr>
      <w:r>
        <w:rPr>
          <w:rFonts w:ascii="Calibri" w:hAnsi="Calibri"/>
          <w:b w:val="0"/>
          <w:color w:val="000000"/>
          <w:sz w:val="58"/>
        </w:rPr>
        <w:t>Planificación Ágil y Gestión del Producto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Material para el docente. No se entrega a los estudiantes.</w:t>
      </w:r>
    </w:p>
    <w:p>
      <w:pPr>
        <w:pStyle w:val="Subtitle"/>
        <w:keepNext/>
      </w:pPr>
      <w:r>
        <w:rPr>
          <w:rFonts w:ascii="Calibri" w:hAnsi="Calibri"/>
          <w:b w:val="0"/>
          <w:color w:val="536173"/>
          <w:sz w:val="26"/>
        </w:rPr>
        <w:t>Respuestas orientativas para el docente</w:t>
      </w:r>
    </w:p>
    <w:p>
      <w:r>
        <w:br w:type="page"/>
      </w:r>
    </w:p>
    <w:p>
      <w:pPr>
        <w:pStyle w:val="Heading1"/>
        <w:keepNext/>
        <w:shd w:fill="EAF4FA"/>
      </w:pPr>
      <w:r>
        <w:rPr>
          <w:rFonts w:ascii="Calibri" w:hAnsi="Calibri"/>
          <w:b/>
          <w:color w:val="5D3E83"/>
          <w:sz w:val="34"/>
        </w:rPr>
        <w:t>Respuestas orientativas para el docente</w:t>
      </w:r>
    </w:p>
    <w:p>
      <w:pPr>
        <w:pStyle w:val="Heading1"/>
        <w:keepNext/>
        <w:shd w:fill="EAF4FA"/>
      </w:pPr>
      <w:bookmarkStart w:id="1" w:name="seccion-1"/>
      <w:r>
        <w:rPr>
          <w:rFonts w:ascii="Calibri" w:hAnsi="Calibri"/>
          <w:b/>
          <w:color w:val="5D3E83"/>
          <w:sz w:val="34"/>
        </w:rPr>
        <w:t>Respuestas orientativas de las actividades</w:t>
      </w:r>
      <w:bookmarkEnd w:id="1"/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1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Visión posible: "Para estudiantes que necesitan conocer los requisitos de inscripción vigentes, el asistente es un servicio de consultas en la web que responde con información oficial e indica su fuente. A diferencia de buscar en documentos dispersos, responde al instante y deriva a una persona cuando no está seguro."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Comunicado posible: "Ahora podés resolver tu inscripción en minutos. El nuevo asistente de la universidad responde tus dudas con la información oficial y te dice de dónde sale cada dato."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La </w:t>
      </w:r>
      <w:r>
        <w:rPr>
          <w:rFonts w:ascii="Calibri" w:hAnsi="Calibri"/>
          <w:b/>
          <w:color w:val="12655D"/>
          <w:sz w:val="22"/>
        </w:rPr>
        <w:t>línea de base</w:t>
      </w:r>
      <w:r>
        <w:rPr>
          <w:rFonts w:ascii="Calibri" w:hAnsi="Calibri"/>
          <w:sz w:val="22"/>
        </w:rPr>
        <w:t xml:space="preserve"> es 10 de 20, el 50 %. Una </w:t>
      </w:r>
      <w:r>
        <w:rPr>
          <w:rFonts w:ascii="Calibri" w:hAnsi="Calibri"/>
          <w:b/>
          <w:color w:val="12655D"/>
          <w:sz w:val="22"/>
        </w:rPr>
        <w:t>meta</w:t>
      </w:r>
      <w:r>
        <w:rPr>
          <w:rFonts w:ascii="Calibri" w:hAnsi="Calibri"/>
          <w:sz w:val="22"/>
        </w:rPr>
        <w:t xml:space="preserve"> posible es que 16 de 20 participantes de una prueba comparable encuentren la información correcta sin ayuda al final del piloto. Es una meta propuesta, no un resultado.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Métrica de beneficio: porcentaje de estudiantes que completan la tarea sin ayuda. Métrica de calidad: porcentaje de respuestas correctas y con fuente. Cargar documentos solo informa actividad. Roadmap posible: </w:t>
      </w:r>
      <w:r>
        <w:rPr>
          <w:rFonts w:ascii="Calibri" w:hAnsi="Calibri"/>
          <w:b/>
          <w:color w:val="12655D"/>
          <w:sz w:val="22"/>
        </w:rPr>
        <w:t>ahora</w:t>
      </w:r>
      <w:r>
        <w:rPr>
          <w:rFonts w:ascii="Calibri" w:hAnsi="Calibri"/>
          <w:sz w:val="22"/>
        </w:rPr>
        <w:t xml:space="preserve">, inscripciones; </w:t>
      </w:r>
      <w:r>
        <w:rPr>
          <w:rFonts w:ascii="Calibri" w:hAnsi="Calibri"/>
          <w:b/>
          <w:color w:val="12655D"/>
          <w:sz w:val="22"/>
        </w:rPr>
        <w:t>próximo</w:t>
      </w:r>
      <w:r>
        <w:rPr>
          <w:rFonts w:ascii="Calibri" w:hAnsi="Calibri"/>
          <w:sz w:val="22"/>
        </w:rPr>
        <w:t xml:space="preserve">, corregir las dificultades observadas; </w:t>
      </w:r>
      <w:r>
        <w:rPr>
          <w:rFonts w:ascii="Calibri" w:hAnsi="Calibri"/>
          <w:b/>
          <w:color w:val="12655D"/>
          <w:sz w:val="22"/>
        </w:rPr>
        <w:t>después</w:t>
      </w:r>
      <w:r>
        <w:rPr>
          <w:rFonts w:ascii="Calibri" w:hAnsi="Calibri"/>
          <w:sz w:val="22"/>
        </w:rPr>
        <w:t>, explorar becas. Para avanzar hace falta evidencia de utilidad y calidad, no solo que llegue una fecha.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2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Épica posible: consultas sobre inscripciones. Funcionalidad: requisitos de inscripción. Historias: "Como estudiante, quiero conocer los requisitos de inscripción de mi carrera, para preparar la documentación a tiempo" y "Como estudiante, quiero que el asistente me avise cuando no tiene la respuesta, para saber a quién consultar". Tarea: conectar el reglamento vigente.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INVEST obliga a revisar si la historia es independiente, negociable, valiosa, estimable, pequeña y testeable. Si falta conocer la fuente, no es estimable; si no hay criterios, no es testeable.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Criterios posibles: </w:t>
      </w:r>
      <w:r>
        <w:rPr>
          <w:rFonts w:ascii="Calibri" w:hAnsi="Calibri"/>
          <w:b/>
          <w:color w:val="12655D"/>
          <w:sz w:val="22"/>
        </w:rPr>
        <w:t>dado</w:t>
      </w:r>
      <w:r>
        <w:rPr>
          <w:rFonts w:ascii="Calibri" w:hAnsi="Calibri"/>
          <w:sz w:val="22"/>
        </w:rPr>
        <w:t xml:space="preserve"> un trámite con fuente vigente, </w:t>
      </w:r>
      <w:r>
        <w:rPr>
          <w:rFonts w:ascii="Calibri" w:hAnsi="Calibri"/>
          <w:b/>
          <w:color w:val="12655D"/>
          <w:sz w:val="22"/>
        </w:rPr>
        <w:t>cuando</w:t>
      </w:r>
      <w:r>
        <w:rPr>
          <w:rFonts w:ascii="Calibri" w:hAnsi="Calibri"/>
          <w:sz w:val="22"/>
        </w:rPr>
        <w:t xml:space="preserve"> consulto, </w:t>
      </w:r>
      <w:r>
        <w:rPr>
          <w:rFonts w:ascii="Calibri" w:hAnsi="Calibri"/>
          <w:b/>
          <w:color w:val="12655D"/>
          <w:sz w:val="22"/>
        </w:rPr>
        <w:t>entonces</w:t>
      </w:r>
      <w:r>
        <w:rPr>
          <w:rFonts w:ascii="Calibri" w:hAnsi="Calibri"/>
          <w:sz w:val="22"/>
        </w:rPr>
        <w:t xml:space="preserve"> veo los requisitos y el enlace oficial; </w:t>
      </w:r>
      <w:r>
        <w:rPr>
          <w:rFonts w:ascii="Calibri" w:hAnsi="Calibri"/>
          <w:b/>
          <w:color w:val="12655D"/>
          <w:sz w:val="22"/>
        </w:rPr>
        <w:t>dado</w:t>
      </w:r>
      <w:r>
        <w:rPr>
          <w:rFonts w:ascii="Calibri" w:hAnsi="Calibri"/>
          <w:sz w:val="22"/>
        </w:rPr>
        <w:t xml:space="preserve"> que no hay fuente vigente, </w:t>
      </w:r>
      <w:r>
        <w:rPr>
          <w:rFonts w:ascii="Calibri" w:hAnsi="Calibri"/>
          <w:b/>
          <w:color w:val="12655D"/>
          <w:sz w:val="22"/>
        </w:rPr>
        <w:t>cuando</w:t>
      </w:r>
      <w:r>
        <w:rPr>
          <w:rFonts w:ascii="Calibri" w:hAnsi="Calibri"/>
          <w:sz w:val="22"/>
        </w:rPr>
        <w:t xml:space="preserve"> consulto, </w:t>
      </w:r>
      <w:r>
        <w:rPr>
          <w:rFonts w:ascii="Calibri" w:hAnsi="Calibri"/>
          <w:b/>
          <w:color w:val="12655D"/>
          <w:sz w:val="22"/>
        </w:rPr>
        <w:t>entonces</w:t>
      </w:r>
      <w:r>
        <w:rPr>
          <w:rFonts w:ascii="Calibri" w:hAnsi="Calibri"/>
          <w:sz w:val="22"/>
        </w:rPr>
        <w:t xml:space="preserve"> el asistente me lo informa y me deriva; </w:t>
      </w:r>
      <w:r>
        <w:rPr>
          <w:rFonts w:ascii="Calibri" w:hAnsi="Calibri"/>
          <w:b/>
          <w:color w:val="12655D"/>
          <w:sz w:val="22"/>
        </w:rPr>
        <w:t>dado</w:t>
      </w:r>
      <w:r>
        <w:rPr>
          <w:rFonts w:ascii="Calibri" w:hAnsi="Calibri"/>
          <w:sz w:val="22"/>
        </w:rPr>
        <w:t xml:space="preserve"> que consulto algo fuera del piloto, </w:t>
      </w:r>
      <w:r>
        <w:rPr>
          <w:rFonts w:ascii="Calibri" w:hAnsi="Calibri"/>
          <w:b/>
          <w:color w:val="12655D"/>
          <w:sz w:val="22"/>
        </w:rPr>
        <w:t>cuando</w:t>
      </w:r>
      <w:r>
        <w:rPr>
          <w:rFonts w:ascii="Calibri" w:hAnsi="Calibri"/>
          <w:sz w:val="22"/>
        </w:rPr>
        <w:t xml:space="preserve"> pregunto, </w:t>
      </w:r>
      <w:r>
        <w:rPr>
          <w:rFonts w:ascii="Calibri" w:hAnsi="Calibri"/>
          <w:b/>
          <w:color w:val="12655D"/>
          <w:sz w:val="22"/>
        </w:rPr>
        <w:t>entonces</w:t>
      </w:r>
      <w:r>
        <w:rPr>
          <w:rFonts w:ascii="Calibri" w:hAnsi="Calibri"/>
          <w:sz w:val="22"/>
        </w:rPr>
        <w:t xml:space="preserve"> me informa el alcance y el canal de atención.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El enlace (a) es un </w:t>
      </w:r>
      <w:r>
        <w:rPr>
          <w:rFonts w:ascii="Calibri" w:hAnsi="Calibri"/>
          <w:b/>
          <w:color w:val="12655D"/>
          <w:sz w:val="22"/>
        </w:rPr>
        <w:t>criterio de aceptación</w:t>
      </w:r>
      <w:r>
        <w:rPr>
          <w:rFonts w:ascii="Calibri" w:hAnsi="Calibri"/>
          <w:sz w:val="22"/>
        </w:rPr>
        <w:t xml:space="preserve">; las pruebas y la revisión (b) forman parte de la </w:t>
      </w:r>
      <w:r>
        <w:rPr>
          <w:rFonts w:ascii="Calibri" w:hAnsi="Calibri"/>
          <w:b/>
          <w:color w:val="12655D"/>
          <w:sz w:val="22"/>
        </w:rPr>
        <w:t>Definition of Done</w:t>
      </w:r>
      <w:r>
        <w:rPr>
          <w:rFonts w:ascii="Calibri" w:hAnsi="Calibri"/>
          <w:sz w:val="22"/>
        </w:rPr>
        <w:t xml:space="preserve">; conocer la fuente antes (c) puede ser parte de la </w:t>
      </w:r>
      <w:r>
        <w:rPr>
          <w:rFonts w:ascii="Calibri" w:hAnsi="Calibri"/>
          <w:b/>
          <w:color w:val="12655D"/>
          <w:sz w:val="22"/>
        </w:rPr>
        <w:t>Definition of Ready</w:t>
      </w:r>
      <w:r>
        <w:rPr>
          <w:rFonts w:ascii="Calibri" w:hAnsi="Calibri"/>
          <w:sz w:val="22"/>
        </w:rPr>
        <w:t xml:space="preserve">. Si una historia cumple sus criterios pero no la Definition of Done, </w:t>
      </w:r>
      <w:r>
        <w:rPr>
          <w:rFonts w:ascii="Calibri" w:hAnsi="Calibri"/>
          <w:b/>
          <w:color w:val="12655D"/>
          <w:sz w:val="22"/>
        </w:rPr>
        <w:t>no está terminada</w:t>
      </w:r>
      <w:r>
        <w:rPr>
          <w:rFonts w:ascii="Calibri" w:hAnsi="Calibri"/>
          <w:sz w:val="22"/>
        </w:rPr>
        <w:t xml:space="preserve"> y no forma parte del incremento.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3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A y C son </w:t>
      </w:r>
      <w:r>
        <w:rPr>
          <w:rFonts w:ascii="Calibri" w:hAnsi="Calibri"/>
          <w:b/>
          <w:color w:val="12655D"/>
          <w:sz w:val="22"/>
        </w:rPr>
        <w:t>Must have</w:t>
      </w:r>
      <w:r>
        <w:rPr>
          <w:rFonts w:ascii="Calibri" w:hAnsi="Calibri"/>
          <w:sz w:val="22"/>
        </w:rPr>
        <w:t xml:space="preserve">, por las condiciones del piloto. B puede ser </w:t>
      </w:r>
      <w:r>
        <w:rPr>
          <w:rFonts w:ascii="Calibri" w:hAnsi="Calibri"/>
          <w:b/>
          <w:color w:val="12655D"/>
          <w:sz w:val="22"/>
        </w:rPr>
        <w:t>Could have</w:t>
      </w:r>
      <w:r>
        <w:rPr>
          <w:rFonts w:ascii="Calibri" w:hAnsi="Calibri"/>
          <w:sz w:val="22"/>
        </w:rPr>
        <w:t xml:space="preserve"> y D </w:t>
      </w:r>
      <w:r>
        <w:rPr>
          <w:rFonts w:ascii="Calibri" w:hAnsi="Calibri"/>
          <w:b/>
          <w:color w:val="12655D"/>
          <w:sz w:val="22"/>
        </w:rPr>
        <w:t>Won't have this time</w:t>
      </w:r>
      <w:r>
        <w:rPr>
          <w:rFonts w:ascii="Calibri" w:hAnsi="Calibri"/>
          <w:sz w:val="22"/>
        </w:rPr>
        <w:t>. Una categoría no define el orden dentro de ella.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WSJF: A = 21 ÷ 3 = </w:t>
      </w:r>
      <w:r>
        <w:rPr>
          <w:rFonts w:ascii="Calibri" w:hAnsi="Calibri"/>
          <w:b/>
          <w:color w:val="12655D"/>
          <w:sz w:val="22"/>
        </w:rPr>
        <w:t>7</w:t>
      </w:r>
      <w:r>
        <w:rPr>
          <w:rFonts w:ascii="Calibri" w:hAnsi="Calibri"/>
          <w:sz w:val="22"/>
        </w:rPr>
        <w:t xml:space="preserve">; B = 4 ÷ 2 =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 xml:space="preserve">; C = 21 ÷ 3 = </w:t>
      </w:r>
      <w:r>
        <w:rPr>
          <w:rFonts w:ascii="Calibri" w:hAnsi="Calibri"/>
          <w:b/>
          <w:color w:val="12655D"/>
          <w:sz w:val="22"/>
        </w:rPr>
        <w:t>7</w:t>
      </w:r>
      <w:r>
        <w:rPr>
          <w:rFonts w:ascii="Calibri" w:hAnsi="Calibri"/>
          <w:sz w:val="22"/>
        </w:rPr>
        <w:t xml:space="preserve">; D = 10 ÷ 5 = </w:t>
      </w:r>
      <w:r>
        <w:rPr>
          <w:rFonts w:ascii="Calibri" w:hAnsi="Calibri"/>
          <w:b/>
          <w:color w:val="12655D"/>
          <w:sz w:val="22"/>
        </w:rPr>
        <w:t>2</w:t>
      </w:r>
      <w:r>
        <w:rPr>
          <w:rFonts w:ascii="Calibri" w:hAnsi="Calibri"/>
          <w:sz w:val="22"/>
        </w:rPr>
        <w:t>. A y C empatan, igual que B y D. Para desempatar sirven las dependencias (por ejemplo, si derivar requiere primero saber cuándo no hay fuente) o la evidencia de los usuarios. Un número no reemplaza el criterio.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En la matriz, A tiene mucho valor y poco esfuerzo (victoria rápida); B, poco valor y poco esfuerzo (relleno); D, valor medio y más esfuerzo. Que algo sea chico no lo vuelve prioritario.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Kano requiere preguntar a los usuarios. Una hipótesis razonable es que la información correcta sea una característica </w:t>
      </w:r>
      <w:r>
        <w:rPr>
          <w:rFonts w:ascii="Calibri" w:hAnsi="Calibri"/>
          <w:b/>
          <w:color w:val="12655D"/>
          <w:sz w:val="22"/>
        </w:rPr>
        <w:t>básica</w:t>
      </w:r>
      <w:r>
        <w:rPr>
          <w:rFonts w:ascii="Calibri" w:hAnsi="Calibri"/>
          <w:sz w:val="22"/>
        </w:rPr>
        <w:t>: nadie la valora cuando está, pero su ausencia genera mucha insatisfacción. Se comprueba con una encuesta que pregunte cómo se sentiría el estudiante si la característica estuviera y si faltara.</w:t>
      </w:r>
    </w:p>
    <w:p>
      <w:pPr>
        <w:pStyle w:val="Heading2"/>
        <w:keepNext/>
      </w:pPr>
      <w:r>
        <w:rPr>
          <w:rFonts w:ascii="Calibri" w:hAnsi="Calibri"/>
          <w:b/>
          <w:color w:val="12655D"/>
          <w:sz w:val="26"/>
        </w:rPr>
        <w:t>Actividad 4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Hipótesis: "Los estudiantes van a resolver sus consultas de inscripción con el asistente en lugar de escribir a la oficina". Incluir: consultas de inscripción, fuentes, derivación y observación del uso, en una sola carrera. Dejar afuera: becas e inscripción automática. Observar: respuestas correctas, tareas completadas sin ayuda y consultas que igual llegan a la oficina. El criterio para decidir se fija antes de empezar.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 xml:space="preserve">Un MVP </w:t>
      </w:r>
      <w:r>
        <w:rPr>
          <w:rFonts w:ascii="Calibri" w:hAnsi="Calibri"/>
          <w:b/>
          <w:color w:val="12655D"/>
          <w:sz w:val="22"/>
        </w:rPr>
        <w:t>conserje</w:t>
      </w:r>
      <w:r>
        <w:rPr>
          <w:rFonts w:ascii="Calibri" w:hAnsi="Calibri"/>
          <w:sz w:val="22"/>
        </w:rPr>
        <w:t xml:space="preserve"> permite que una persona responda por el chat durante una semana para aprender qué preguntan los estudiantes, como Zappos comprobó la demanda comprando cada par a mano antes de invertir en stock (en su caso, un MVP tipo mago de Oz). Si se usa, hay que avisar que es un piloto y proteger los datos.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Lanzamiento posible: primero una carrera durante una inscripción; si se cumplen los criterios, todas las carreras en la siguiente. HealthCare.gov mostró que habilitar un sistema para todos el mismo día, sin comprobar que esté listo, puede hacerlo colapsar.</w:t>
      </w:r>
    </w:p>
    <w:p>
      <w:pPr>
        <w:spacing w:line="278" w:lineRule="auto" w:after="140"/>
      </w:pPr>
      <w:r>
        <w:rPr>
          <w:rFonts w:ascii="Calibri" w:hAnsi="Calibri"/>
          <w:sz w:val="22"/>
        </w:rPr>
        <w:t>La inscripción automática cambia los riesgos: acceso a datos personales, permisos e integración con otros sistemas. Conviene registrarla en el backlog e investigarla (por ejemplo, con una investigación acotada) antes de prometerla. En el roadmap puede ir en "después", sujeta a lo que se aprenda. Aceptar una necesidad no obliga a empezarla de inmediato.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173"/>
        <w:sz w:val="16"/>
      </w:rPr>
      <w:t xml:space="preserve">Gestión de Proyectos Ágiles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/>
      <w:color w:val="17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="Calibri" w:hAnsi="Calibri"/>
      <w:b/>
      <w:bCs/>
      <w:color w:val="5D3E8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="Calibri" w:hAnsi="Calibri"/>
      <w:b/>
      <w:bCs/>
      <w:color w:val="1265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="Calibri" w:hAnsi="Calibri"/>
      <w:b/>
      <w:bCs/>
      <w:color w:val="5D3E8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40" w:line="240" w:lineRule="auto" w:before="120"/>
      <w:contextualSpacing/>
    </w:pPr>
    <w:rPr>
      <w:rFonts w:ascii="Calibri" w:hAnsi="Calibr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120" w:after="140"/>
    </w:pPr>
    <w:rPr>
      <w:rFonts w:ascii="Calibri" w:hAnsi="Calibri"/>
      <w:b w:val="0"/>
      <w:i/>
      <w:iCs/>
      <w:color w:val="5361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/>
      <w:b/>
      <w:bCs/>
      <w:color w:val="5361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245E9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Ágiles Módulo 3 Respuestas orientativas para el docente</dc:title>
  <dc:subject>Respuestas orientativas para el docente de Gestión de Proyectos Ágiles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es-AR</dc:language>
</cp:coreProperties>
</file>