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ubtitle"/>
        <w:keepNext/>
        <w:spacing w:before="1701"/>
      </w:pPr>
      <w:r>
        <w:rPr>
          <w:rFonts w:ascii="Calibri" w:hAnsi="Calibri"/>
          <w:b w:val="0"/>
          <w:color w:val="536173"/>
          <w:sz w:val="26"/>
        </w:rPr>
        <w:t>Gestión de Proyectos Ágiles</w:t>
      </w:r>
    </w:p>
    <w:p>
      <w:r>
        <w:rPr>
          <w:color w:val="8C3838"/>
          <w:sz w:val="32"/>
        </w:rPr>
        <w:t>Módulo 5</w:t>
      </w:r>
    </w:p>
    <w:p>
      <w:pPr>
        <w:pStyle w:val="Title"/>
        <w:keepNext/>
        <w:spacing w:before="280" w:after="280"/>
      </w:pPr>
      <w:r>
        <w:rPr>
          <w:rFonts w:ascii="Calibri" w:hAnsi="Calibri"/>
          <w:b w:val="0"/>
          <w:color w:val="000000"/>
          <w:sz w:val="58"/>
        </w:rPr>
        <w:t>Equipos, Liderazgo, Mejora Continua y Casos de Estudio</w:t>
      </w:r>
    </w:p>
    <w:p>
      <w:pPr>
        <w:pStyle w:val="Subtitle"/>
        <w:keepNext/>
      </w:pPr>
      <w:r>
        <w:rPr>
          <w:rFonts w:ascii="Calibri" w:hAnsi="Calibri"/>
          <w:b w:val="0"/>
          <w:color w:val="536173"/>
          <w:sz w:val="26"/>
        </w:rPr>
        <w:t>Material para el docente. No se entrega a los estudiantes.</w:t>
      </w:r>
    </w:p>
    <w:p>
      <w:pPr>
        <w:pStyle w:val="Subtitle"/>
        <w:keepNext/>
      </w:pPr>
      <w:r>
        <w:rPr>
          <w:rFonts w:ascii="Calibri" w:hAnsi="Calibri"/>
          <w:b w:val="0"/>
          <w:color w:val="536173"/>
          <w:sz w:val="26"/>
        </w:rPr>
        <w:t>Respuestas orientativas para el docente</w:t>
      </w:r>
    </w:p>
    <w:p>
      <w:r>
        <w:br w:type="page"/>
      </w:r>
    </w:p>
    <w:p>
      <w:pPr>
        <w:pStyle w:val="Heading1"/>
        <w:keepNext/>
        <w:shd w:fill="EAF4FA"/>
      </w:pPr>
      <w:r>
        <w:rPr>
          <w:rFonts w:ascii="Calibri" w:hAnsi="Calibri"/>
          <w:b/>
          <w:color w:val="8C3838"/>
          <w:sz w:val="34"/>
        </w:rPr>
        <w:t>Respuestas orientativas para el docente</w:t>
      </w:r>
    </w:p>
    <w:p>
      <w:pPr>
        <w:pStyle w:val="Heading1"/>
        <w:keepNext/>
        <w:shd w:fill="EAF4FA"/>
      </w:pPr>
      <w:bookmarkStart w:id="1" w:name="seccion-1"/>
      <w:r>
        <w:rPr>
          <w:rFonts w:ascii="Calibri" w:hAnsi="Calibri"/>
          <w:b/>
          <w:color w:val="8C3838"/>
          <w:sz w:val="34"/>
        </w:rPr>
        <w:t>Respuestas orientativas de las actividades</w:t>
      </w:r>
      <w:bookmarkEnd w:id="1"/>
    </w:p>
    <w:p>
      <w:pPr>
        <w:pStyle w:val="Heading2"/>
        <w:keepNext/>
      </w:pPr>
      <w:r>
        <w:rPr>
          <w:rFonts w:ascii="Calibri" w:hAnsi="Calibri"/>
          <w:b/>
          <w:color w:val="12655D"/>
          <w:sz w:val="26"/>
        </w:rPr>
        <w:t>Actividad 1</w:t>
      </w:r>
    </w:p>
    <w:p>
      <w:pPr>
        <w:spacing w:line="278" w:lineRule="auto" w:after="140"/>
      </w:pPr>
      <w:r>
        <w:rPr>
          <w:rFonts w:ascii="Calibri" w:hAnsi="Calibri"/>
          <w:sz w:val="22"/>
        </w:rPr>
        <w:t xml:space="preserve">Problemas: </w:t>
      </w:r>
      <w:r>
        <w:rPr>
          <w:rFonts w:ascii="Calibri" w:hAnsi="Calibri"/>
          <w:b/>
          <w:color w:val="12655D"/>
          <w:sz w:val="22"/>
        </w:rPr>
        <w:t>dependencia de una sola persona</w:t>
      </w:r>
      <w:r>
        <w:rPr>
          <w:rFonts w:ascii="Calibri" w:hAnsi="Calibri"/>
          <w:sz w:val="22"/>
        </w:rPr>
        <w:t xml:space="preserve"> para validar (si falta, todo se frena); </w:t>
      </w:r>
      <w:r>
        <w:rPr>
          <w:rFonts w:ascii="Calibri" w:hAnsi="Calibri"/>
          <w:b/>
          <w:color w:val="12655D"/>
          <w:sz w:val="22"/>
        </w:rPr>
        <w:t>cambios constantes de integrantes</w:t>
      </w:r>
      <w:r>
        <w:rPr>
          <w:rFonts w:ascii="Calibri" w:hAnsi="Calibri"/>
          <w:sz w:val="22"/>
        </w:rPr>
        <w:t xml:space="preserve"> (se pierde confianza y conocimiento); </w:t>
      </w:r>
      <w:r>
        <w:rPr>
          <w:rFonts w:ascii="Calibri" w:hAnsi="Calibri"/>
          <w:b/>
          <w:color w:val="12655D"/>
          <w:sz w:val="22"/>
        </w:rPr>
        <w:t>Daily usada como informe</w:t>
      </w:r>
      <w:r>
        <w:rPr>
          <w:rFonts w:ascii="Calibri" w:hAnsi="Calibri"/>
          <w:sz w:val="22"/>
        </w:rPr>
        <w:t xml:space="preserve"> y silencio sobre los problemas (los bloqueos quedan ocultos). Tener especialidades distintas no alcanza si una capacidad clave depende de una sola persona y el equipo no puede terminar su trabajo sin ella.</w:t>
      </w:r>
    </w:p>
    <w:p>
      <w:pPr>
        <w:spacing w:line="278" w:lineRule="auto" w:after="140"/>
      </w:pPr>
      <w:r>
        <w:rPr>
          <w:rFonts w:ascii="Calibri" w:hAnsi="Calibri"/>
          <w:sz w:val="22"/>
        </w:rPr>
        <w:t xml:space="preserve">Falta </w:t>
      </w:r>
      <w:r>
        <w:rPr>
          <w:rFonts w:ascii="Calibri" w:hAnsi="Calibri"/>
          <w:b/>
          <w:color w:val="12655D"/>
          <w:sz w:val="22"/>
        </w:rPr>
        <w:t>seguridad psicológica</w:t>
      </w:r>
      <w:r>
        <w:rPr>
          <w:rFonts w:ascii="Calibri" w:hAnsi="Calibri"/>
          <w:sz w:val="22"/>
        </w:rPr>
        <w:t>: nadie menciona problemas y una advertencia importante fue interrumpida e ignorada. El Proyecto Aristóteles mostró que ese es el factor que más distingue a los equipos efectivos.</w:t>
      </w:r>
    </w:p>
    <w:p>
      <w:pPr>
        <w:spacing w:line="278" w:lineRule="auto" w:after="140"/>
      </w:pPr>
      <w:r>
        <w:rPr>
          <w:rFonts w:ascii="Calibri" w:hAnsi="Calibri"/>
          <w:sz w:val="22"/>
        </w:rPr>
        <w:t>Acción de liderazgo de servicio: conseguir que la dirección mantenga estable al equipo y organizar que la especialista enseñe a otra persona a validar. Decisión del equipo: cómo repartir las validaciones.</w:t>
      </w:r>
    </w:p>
    <w:p>
      <w:pPr>
        <w:spacing w:line="278" w:lineRule="auto" w:after="140"/>
      </w:pPr>
      <w:r>
        <w:rPr>
          <w:rFonts w:ascii="Calibri" w:hAnsi="Calibri"/>
          <w:sz w:val="22"/>
        </w:rPr>
        <w:t>Feedback posible: "En la reunión del martes, mientras la especialista explicaba que la fuente estaba desactualizada (situación), la interrumpiste dos veces (comportamiento). La explicación quedó incompleta y seguimos usando un documento viejo (impacto). ¿Podemos conversar sobre cómo escuchar la advertencia completa?"</w:t>
      </w:r>
    </w:p>
    <w:p>
      <w:pPr>
        <w:spacing w:line="278" w:lineRule="auto" w:after="140"/>
      </w:pPr>
      <w:r>
        <w:rPr>
          <w:rFonts w:ascii="Calibri" w:hAnsi="Calibri"/>
          <w:sz w:val="22"/>
        </w:rPr>
        <w:t>Acuerdo posible: "Cualquier persona puede frenar el uso de una fuente si sospecha que está desactualizada, y se revisa en el día". Tuckman describe la etapa de conflicto como esperable: los desacuerdos no significan fracaso, pero tampoco se resuelven solos.</w:t>
      </w:r>
    </w:p>
    <w:p>
      <w:pPr>
        <w:pStyle w:val="Heading2"/>
        <w:keepNext/>
      </w:pPr>
      <w:r>
        <w:rPr>
          <w:rFonts w:ascii="Calibri" w:hAnsi="Calibri"/>
          <w:b/>
          <w:color w:val="12655D"/>
          <w:sz w:val="26"/>
        </w:rPr>
        <w:t>Actividad 2</w:t>
      </w:r>
    </w:p>
    <w:p>
      <w:pPr>
        <w:spacing w:line="278" w:lineRule="auto" w:after="140"/>
      </w:pPr>
      <w:r>
        <w:rPr>
          <w:rFonts w:ascii="Calibri" w:hAnsi="Calibri"/>
          <w:sz w:val="22"/>
        </w:rPr>
        <w:t xml:space="preserve">A la </w:t>
      </w:r>
      <w:r>
        <w:rPr>
          <w:rFonts w:ascii="Calibri" w:hAnsi="Calibri"/>
          <w:b/>
          <w:color w:val="12655D"/>
          <w:sz w:val="22"/>
        </w:rPr>
        <w:t>Sprint Review</w:t>
      </w:r>
      <w:r>
        <w:rPr>
          <w:rFonts w:ascii="Calibri" w:hAnsi="Calibri"/>
          <w:sz w:val="22"/>
        </w:rPr>
        <w:t xml:space="preserve">, con estudiantes y la oficina de alumnos: el término que no se entiende, para decidir cómo cambiar el lenguaje del asistente y si afecta las prioridades. A la </w:t>
      </w:r>
      <w:r>
        <w:rPr>
          <w:rFonts w:ascii="Calibri" w:hAnsi="Calibri"/>
          <w:b/>
          <w:color w:val="12655D"/>
          <w:sz w:val="22"/>
        </w:rPr>
        <w:t>retrospectiva</w:t>
      </w:r>
      <w:r>
        <w:rPr>
          <w:rFonts w:ascii="Calibri" w:hAnsi="Calibri"/>
          <w:sz w:val="22"/>
        </w:rPr>
        <w:t>: cómo se organizan las validaciones, para mejorar la forma de trabajar.</w:t>
      </w:r>
    </w:p>
    <w:p>
      <w:pPr>
        <w:spacing w:line="278" w:lineRule="auto" w:after="140"/>
      </w:pPr>
      <w:r>
        <w:rPr>
          <w:rFonts w:ascii="Calibri" w:hAnsi="Calibri"/>
          <w:sz w:val="22"/>
        </w:rPr>
        <w:t xml:space="preserve">Retrospectiva posible: </w:t>
      </w:r>
      <w:r>
        <w:rPr>
          <w:rFonts w:ascii="Calibri" w:hAnsi="Calibri"/>
          <w:b/>
          <w:color w:val="12655D"/>
          <w:sz w:val="22"/>
        </w:rPr>
        <w:t>preparar el ambiente</w:t>
      </w:r>
      <w:r>
        <w:rPr>
          <w:rFonts w:ascii="Calibri" w:hAnsi="Calibri"/>
          <w:sz w:val="22"/>
        </w:rPr>
        <w:t xml:space="preserve"> leyendo el Acuerdo Primario (todos hicieron lo mejor que pudieron con lo que sabían); </w:t>
      </w:r>
      <w:r>
        <w:rPr>
          <w:rFonts w:ascii="Calibri" w:hAnsi="Calibri"/>
          <w:b/>
          <w:color w:val="12655D"/>
          <w:sz w:val="22"/>
        </w:rPr>
        <w:t>reunir datos</w:t>
      </w:r>
      <w:r>
        <w:rPr>
          <w:rFonts w:ascii="Calibri" w:hAnsi="Calibri"/>
          <w:sz w:val="22"/>
        </w:rPr>
        <w:t xml:space="preserve"> sobre cuánto esperó cada validación; </w:t>
      </w:r>
      <w:r>
        <w:rPr>
          <w:rFonts w:ascii="Calibri" w:hAnsi="Calibri"/>
          <w:b/>
          <w:color w:val="12655D"/>
          <w:sz w:val="22"/>
        </w:rPr>
        <w:t>entender por qué</w:t>
      </w:r>
      <w:r>
        <w:rPr>
          <w:rFonts w:ascii="Calibri" w:hAnsi="Calibri"/>
          <w:sz w:val="22"/>
        </w:rPr>
        <w:t xml:space="preserve"> no estaba claro cómo pedirlas; </w:t>
      </w:r>
      <w:r>
        <w:rPr>
          <w:rFonts w:ascii="Calibri" w:hAnsi="Calibri"/>
          <w:b/>
          <w:color w:val="12655D"/>
          <w:sz w:val="22"/>
        </w:rPr>
        <w:t>decidir</w:t>
      </w:r>
      <w:r>
        <w:rPr>
          <w:rFonts w:ascii="Calibri" w:hAnsi="Calibri"/>
          <w:sz w:val="22"/>
        </w:rPr>
        <w:t xml:space="preserve"> una regla concreta; </w:t>
      </w:r>
      <w:r>
        <w:rPr>
          <w:rFonts w:ascii="Calibri" w:hAnsi="Calibri"/>
          <w:b/>
          <w:color w:val="12655D"/>
          <w:sz w:val="22"/>
        </w:rPr>
        <w:t>cerrar</w:t>
      </w:r>
      <w:r>
        <w:rPr>
          <w:rFonts w:ascii="Calibri" w:hAnsi="Calibri"/>
          <w:sz w:val="22"/>
        </w:rPr>
        <w:t xml:space="preserve"> con responsable y fecha. El Acuerdo Primario dirige la conversación hacia el sistema de trabajo y no hacia culpables.</w:t>
      </w:r>
    </w:p>
    <w:p>
      <w:pPr>
        <w:spacing w:line="278" w:lineRule="auto" w:after="140"/>
      </w:pPr>
      <w:r>
        <w:rPr>
          <w:rFonts w:ascii="Calibri" w:hAnsi="Calibri"/>
          <w:sz w:val="22"/>
        </w:rPr>
        <w:t>Acción concreta: "Durante el próximo Sprint, cada pedido de validación se registra en el tablero con quién lo pidió y quién lo valida; una persona sigue el acuerdo y en la próxima retrospectiva comparamos los días de espera".</w:t>
      </w:r>
    </w:p>
    <w:p>
      <w:pPr>
        <w:pStyle w:val="Heading2"/>
        <w:keepNext/>
      </w:pPr>
      <w:r>
        <w:rPr>
          <w:rFonts w:ascii="Calibri" w:hAnsi="Calibri"/>
          <w:b/>
          <w:color w:val="12655D"/>
          <w:sz w:val="26"/>
        </w:rPr>
        <w:t>Actividad 3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Planificar:</w:t>
      </w:r>
      <w:r>
        <w:rPr>
          <w:rFonts w:ascii="Calibri" w:hAnsi="Calibri"/>
          <w:sz w:val="22"/>
        </w:rPr>
        <w:t xml:space="preserve"> la hipótesis es que una franja diaria reduce las esperas. </w:t>
      </w:r>
      <w:r>
        <w:rPr>
          <w:rFonts w:ascii="Calibri" w:hAnsi="Calibri"/>
          <w:b/>
          <w:color w:val="12655D"/>
          <w:sz w:val="22"/>
        </w:rPr>
        <w:t>Hacer:</w:t>
      </w:r>
      <w:r>
        <w:rPr>
          <w:rFonts w:ascii="Calibri" w:hAnsi="Calibri"/>
          <w:sz w:val="22"/>
        </w:rPr>
        <w:t xml:space="preserve"> probarla dos semanas. </w:t>
      </w:r>
      <w:r>
        <w:rPr>
          <w:rFonts w:ascii="Calibri" w:hAnsi="Calibri"/>
          <w:b/>
          <w:color w:val="12655D"/>
          <w:sz w:val="22"/>
        </w:rPr>
        <w:t>Verificar:</w:t>
      </w:r>
      <w:r>
        <w:rPr>
          <w:rFonts w:ascii="Calibri" w:hAnsi="Calibri"/>
          <w:sz w:val="22"/>
        </w:rPr>
        <w:t xml:space="preserve"> comparar las esperas antes y después. </w:t>
      </w:r>
      <w:r>
        <w:rPr>
          <w:rFonts w:ascii="Calibri" w:hAnsi="Calibri"/>
          <w:b/>
          <w:color w:val="12655D"/>
          <w:sz w:val="22"/>
        </w:rPr>
        <w:t>Actuar:</w:t>
      </w:r>
      <w:r>
        <w:rPr>
          <w:rFonts w:ascii="Calibri" w:hAnsi="Calibri"/>
          <w:sz w:val="22"/>
        </w:rPr>
        <w:t xml:space="preserve"> mantener, ajustar o descartar la franja.</w:t>
      </w:r>
    </w:p>
    <w:p>
      <w:pPr>
        <w:spacing w:line="278" w:lineRule="auto" w:after="140"/>
      </w:pPr>
      <w:r>
        <w:rPr>
          <w:rFonts w:ascii="Calibri" w:hAnsi="Calibri"/>
          <w:sz w:val="22"/>
        </w:rPr>
        <w:t>Se pasa de 6 de 10 (</w:t>
      </w:r>
      <w:r>
        <w:rPr>
          <w:rFonts w:ascii="Calibri" w:hAnsi="Calibri"/>
          <w:b/>
          <w:color w:val="12655D"/>
          <w:sz w:val="22"/>
        </w:rPr>
        <w:t>60 %</w:t>
      </w:r>
      <w:r>
        <w:rPr>
          <w:rFonts w:ascii="Calibri" w:hAnsi="Calibri"/>
          <w:sz w:val="22"/>
        </w:rPr>
        <w:t>) a 3 de 10 (</w:t>
      </w:r>
      <w:r>
        <w:rPr>
          <w:rFonts w:ascii="Calibri" w:hAnsi="Calibri"/>
          <w:b/>
          <w:color w:val="12655D"/>
          <w:sz w:val="22"/>
        </w:rPr>
        <w:t>30 %</w:t>
      </w:r>
      <w:r>
        <w:rPr>
          <w:rFonts w:ascii="Calibri" w:hAnsi="Calibri"/>
          <w:sz w:val="22"/>
        </w:rPr>
        <w:t>): una baja de 30 puntos porcentuales. No se puede atribuir toda la mejora a la franja, porque hubo una persona más disponible. Conviene registrar la disponibilidad, el tamaño de los pedidos, los bloqueos y si la franja realmente se cumplió.</w:t>
      </w:r>
    </w:p>
    <w:p>
      <w:pPr>
        <w:spacing w:line="278" w:lineRule="auto" w:after="140"/>
      </w:pPr>
      <w:r>
        <w:rPr>
          <w:rFonts w:ascii="Calibri" w:hAnsi="Calibri"/>
          <w:sz w:val="22"/>
        </w:rPr>
        <w:t>Medida de calidad: cuántas respuestas validadas hubo que corregir después, con la misma definición antes y después.</w:t>
      </w:r>
    </w:p>
    <w:p>
      <w:pPr>
        <w:spacing w:line="278" w:lineRule="auto" w:after="140"/>
      </w:pPr>
      <w:r>
        <w:rPr>
          <w:rFonts w:ascii="Calibri" w:hAnsi="Calibri"/>
          <w:sz w:val="22"/>
        </w:rPr>
        <w:t xml:space="preserve">En el segundo equipo, integrar varias veces por día con pruebas es </w:t>
      </w:r>
      <w:r>
        <w:rPr>
          <w:rFonts w:ascii="Calibri" w:hAnsi="Calibri"/>
          <w:b/>
          <w:color w:val="12655D"/>
          <w:sz w:val="22"/>
        </w:rPr>
        <w:t>integración continua</w:t>
      </w:r>
      <w:r>
        <w:rPr>
          <w:rFonts w:ascii="Calibri" w:hAnsi="Calibri"/>
          <w:sz w:val="22"/>
        </w:rPr>
        <w:t xml:space="preserve">; tener el software siempre listo con una decisión humana de salida es </w:t>
      </w:r>
      <w:r>
        <w:rPr>
          <w:rFonts w:ascii="Calibri" w:hAnsi="Calibri"/>
          <w:b/>
          <w:color w:val="12655D"/>
          <w:sz w:val="22"/>
        </w:rPr>
        <w:t>entrega continua</w:t>
      </w:r>
      <w:r>
        <w:rPr>
          <w:rFonts w:ascii="Calibri" w:hAnsi="Calibri"/>
          <w:sz w:val="22"/>
        </w:rPr>
        <w:t xml:space="preserve">; que todo salga solo si pasa las pruebas es </w:t>
      </w:r>
      <w:r>
        <w:rPr>
          <w:rFonts w:ascii="Calibri" w:hAnsi="Calibri"/>
          <w:b/>
          <w:color w:val="12655D"/>
          <w:sz w:val="22"/>
        </w:rPr>
        <w:t>despliegue continuo</w:t>
      </w:r>
      <w:r>
        <w:rPr>
          <w:rFonts w:ascii="Calibri" w:hAnsi="Calibri"/>
          <w:sz w:val="22"/>
        </w:rPr>
        <w:t>. Knight Capital perdió 440 millones de dólares por un despliegue manual sin verificación. Antes de automatizar la salida, las pruebas tienen que ser confiables, el despliegue tiene que estar automatizado y verificado, y tiene que existir una forma rápida de volver atrás.</w:t>
      </w:r>
    </w:p>
    <w:p>
      <w:pPr>
        <w:pStyle w:val="Heading2"/>
        <w:keepNext/>
      </w:pPr>
      <w:r>
        <w:rPr>
          <w:rFonts w:ascii="Calibri" w:hAnsi="Calibri"/>
          <w:b/>
          <w:color w:val="12655D"/>
          <w:sz w:val="26"/>
        </w:rPr>
        <w:t>Actividad 4</w:t>
      </w:r>
    </w:p>
    <w:p>
      <w:pPr>
        <w:spacing w:line="278" w:lineRule="auto" w:after="140"/>
      </w:pPr>
      <w:r>
        <w:rPr>
          <w:rFonts w:ascii="Calibri" w:hAnsi="Calibri"/>
          <w:sz w:val="22"/>
        </w:rPr>
        <w:t xml:space="preserve">Señales de adopción superficial: </w:t>
      </w:r>
      <w:r>
        <w:rPr>
          <w:rFonts w:ascii="Calibri" w:hAnsi="Calibri"/>
          <w:b/>
          <w:color w:val="12655D"/>
          <w:sz w:val="22"/>
        </w:rPr>
        <w:t>comparar velocidades</w:t>
      </w:r>
      <w:r>
        <w:rPr>
          <w:rFonts w:ascii="Calibri" w:hAnsi="Calibri"/>
          <w:sz w:val="22"/>
        </w:rPr>
        <w:t xml:space="preserve"> entre equipos (cada escala es distinta y empuja a inflar estimaciones) y </w:t>
      </w:r>
      <w:r>
        <w:rPr>
          <w:rFonts w:ascii="Calibri" w:hAnsi="Calibri"/>
          <w:b/>
          <w:color w:val="12655D"/>
          <w:sz w:val="22"/>
        </w:rPr>
        <w:t>prioridades por mensajes privados</w:t>
      </w:r>
      <w:r>
        <w:rPr>
          <w:rFonts w:ascii="Calibri" w:hAnsi="Calibri"/>
          <w:sz w:val="22"/>
        </w:rPr>
        <w:t xml:space="preserve"> (el backlog deja de ser la fuente de verdad). En lugar del ranking, conviene mirar el valor entregado, la calidad y el flujo de cada equipo en su propio contexto.</w:t>
      </w:r>
    </w:p>
    <w:p>
      <w:pPr>
        <w:spacing w:line="278" w:lineRule="auto" w:after="140"/>
      </w:pPr>
      <w:r>
        <w:rPr>
          <w:rFonts w:ascii="Calibri" w:hAnsi="Calibri"/>
          <w:sz w:val="22"/>
        </w:rPr>
        <w:t>El "modelo Spotify" era, según sus propios autores, una foto de un momento, y Spotify nunca lo aplicó del todo. Copiar su estructura no copia su cultura: la organización podría cambiar los nombres de los equipos sin resolver los problemas de fondo.</w:t>
      </w:r>
    </w:p>
    <w:p>
      <w:pPr>
        <w:spacing w:line="278" w:lineRule="auto" w:after="140"/>
      </w:pPr>
      <w:r>
        <w:rPr>
          <w:rFonts w:ascii="Calibri" w:hAnsi="Calibri"/>
          <w:sz w:val="22"/>
        </w:rPr>
        <w:t>Antes de elegir un marco de escala, conviene revisar si el producto está bien definido, si las prioridades son compartidas, qué dependencias se pueden eliminar reorganizando los equipos y por qué se integra recién a fin de mes (la integración continua podría resolver buena parte del problema).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Sentinel.</w:t>
      </w:r>
      <w:r>
        <w:rPr>
          <w:rFonts w:ascii="Calibri" w:hAnsi="Calibri"/>
          <w:sz w:val="22"/>
        </w:rPr>
        <w:t xml:space="preserve"> Contexto: segundo intento del FBI tras el fracaso del Virtual Case File; en 2010 se habían gastado 405 millones de dólares con solo dos de cuatro etapas entregadas. Qué se hizo: el FBI tomó la conducción y adoptó un enfoque ágil. Documentado: el sistema entró en funcionamiento en 2012 y se usa a diario. No se puede concluir: que el éxito se deba solo a la agilidad, porque también cambiaron el liderazgo y la forma de contratar.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ING.</w:t>
      </w:r>
      <w:r>
        <w:rPr>
          <w:rFonts w:ascii="Calibri" w:hAnsi="Calibri"/>
          <w:sz w:val="22"/>
        </w:rPr>
        <w:t xml:space="preserve"> Contexto: la sede central de un gran banco. Qué se hizo: reorganizó a 3.500 personas en squads y tribus, con cambios en el liderazgo y la financiación. Documentado: los directivos informan mejoras en velocidad, compromiso y productividad. No se puede concluir: que esas mejoras estén medidas de forma independiente, ni que la misma estructura funcione en cualquier organización.</w:t>
      </w:r>
    </w:p>
    <w:p>
      <w:pPr>
        <w:spacing w:line="278" w:lineRule="auto" w:after="140"/>
      </w:pPr>
      <w:r>
        <w:rPr>
          <w:rFonts w:ascii="Calibri" w:hAnsi="Calibri"/>
          <w:sz w:val="22"/>
        </w:rPr>
        <w:t>El estudio de Google muestra que el código del modelo es una parte pequeña de un sistema de IA y que la deuda se acumula alrededor: datos, configuración, monitoreo. Para el asistente, significa que el backlog y la Definition of Done tienen que incluir el versionado de las fuentes, la evaluación registrada y el monitoreo, y no solo el modelo.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36173"/>
        <w:sz w:val="16"/>
      </w:rPr>
      <w:t xml:space="preserve">Gestión de Proyectos Ágiles  •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hAnsi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8" w:lineRule="auto" w:after="140"/>
    </w:pPr>
    <w:rPr>
      <w:rFonts w:ascii="Calibri" w:hAnsi="Calibri"/>
      <w:color w:val="172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40"/>
      <w:outlineLvl w:val="0"/>
    </w:pPr>
    <w:rPr>
      <w:rFonts w:ascii="Calibri" w:hAnsi="Calibri"/>
      <w:b/>
      <w:bCs/>
      <w:color w:val="8C3838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40"/>
      <w:outlineLvl w:val="1"/>
    </w:pPr>
    <w:rPr>
      <w:rFonts w:ascii="Calibri" w:hAnsi="Calibri"/>
      <w:b/>
      <w:bCs/>
      <w:color w:val="1265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00" w:after="140"/>
      <w:outlineLvl w:val="2"/>
    </w:pPr>
    <w:rPr>
      <w:rFonts w:ascii="Calibri" w:hAnsi="Calibri"/>
      <w:b/>
      <w:bCs/>
      <w:color w:val="5D3E83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/>
      <w:color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/>
      <w:b/>
      <w:bCs/>
      <w:color w:val="365F9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/>
      <w:b/>
      <w:bCs/>
      <w:color w:val="4F81BD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/>
      <w:b/>
      <w:bCs/>
      <w:color w:val="4F81BD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0"/>
      <w:spacing w:after="140" w:line="240" w:lineRule="auto" w:before="120"/>
      <w:contextualSpacing/>
    </w:pPr>
    <w:rPr>
      <w:rFonts w:ascii="Calibri" w:hAnsi="Calibri"/>
      <w:b w:val="0"/>
      <w:color w:val="000000"/>
      <w:spacing w:val="5"/>
      <w:kern w:val="28"/>
      <w:sz w:val="5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/>
      <w:color w:val="17365D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before="120" w:after="140"/>
    </w:pPr>
    <w:rPr>
      <w:rFonts w:ascii="Calibri" w:hAnsi="Calibri"/>
      <w:b w:val="0"/>
      <w:i/>
      <w:iCs/>
      <w:color w:val="536173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/>
      <w:i/>
      <w:iCs/>
      <w:color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/>
      <w:b/>
      <w:bCs/>
      <w:i/>
      <w:iCs/>
      <w:color w:val="4F81B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/>
      <w:color w:val="243F6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/>
      <w:i/>
      <w:iCs/>
      <w:color w:val="243F6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/>
      <w:color w:val="4F81BD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after="200"/>
    </w:pPr>
    <w:rPr>
      <w:rFonts w:ascii="Calibri" w:hAnsi="Calibri"/>
      <w:b/>
      <w:bCs/>
      <w:color w:val="536173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/>
    </w:rPr>
    <w:tblPr>
      <w:tblStyleRowBandSize w:val="1"/>
      <w:tblStyleColBandSize w:val="1"/>
      <w:tblInd w:w="0" w:type="dxa"/>
      <w:tblBorders>
        <w:top w:val="single" w:sz="8" w:space="0" w:color="C0504D"/>
        <w:bottom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/>
    </w:rPr>
    <w:tblPr>
      <w:tblStyleRowBandSize w:val="1"/>
      <w:tblStyleColBandSize w:val="1"/>
      <w:tblInd w:w="0" w:type="dxa"/>
      <w:tblBorders>
        <w:top w:val="single" w:sz="8" w:space="0" w:color="9BBB59"/>
        <w:bottom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/>
    </w:rPr>
    <w:tblPr>
      <w:tblStyleRowBandSize w:val="1"/>
      <w:tblStyleColBandSize w:val="1"/>
      <w:tblInd w:w="0" w:type="dxa"/>
      <w:tblBorders>
        <w:top w:val="single" w:sz="8" w:space="0" w:color="8064A2"/>
        <w:bottom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/>
    </w:rPr>
    <w:tblPr>
      <w:tblStyleRowBandSize w:val="1"/>
      <w:tblStyleColBandSize w:val="1"/>
      <w:tblInd w:w="0" w:type="dxa"/>
      <w:tblBorders>
        <w:top w:val="single" w:sz="8" w:space="0" w:color="4BACC6"/>
        <w:bottom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/>
    </w:rPr>
    <w:tblPr>
      <w:tblStyleRowBandSize w:val="1"/>
      <w:tblStyleColBandSize w:val="1"/>
      <w:tblInd w:w="0" w:type="dxa"/>
      <w:tblBorders>
        <w:top w:val="single" w:sz="8" w:space="0" w:color="F79646"/>
        <w:bottom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/>
        <w:bottom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/>
        <w:bottom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/>
        <w:bottom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/>
        <w:bottom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/>
        <w:bottom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 w:themeFill="tex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FFFFFF"/>
      </w:rPr>
      <w:tblPr/>
      <w:tcPr>
        <w:shd w:val="clear" w:color="auto" w:fill="000000" w:themeFill="text1" w:themeFillShade="BF"/>
      </w:tcPr>
    </w:tblStylePr>
    <w:tblStylePr w:type="lastCol">
      <w:rPr>
        <w:color w:val="FFFFFF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65F91" w:themeFill="accent1" w:themeFillShade="BF"/>
      </w:tcPr>
    </w:tblStylePr>
    <w:tblStylePr w:type="lastCol">
      <w:rPr>
        <w:color w:val="FFFFFF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FFFFFF"/>
      </w:rPr>
      <w:tblPr/>
      <w:tcPr>
        <w:shd w:val="clear" w:color="auto" w:fill="943634" w:themeFill="accent2" w:themeFillShade="BF"/>
      </w:tcPr>
    </w:tblStylePr>
    <w:tblStylePr w:type="lastCol">
      <w:rPr>
        <w:color w:val="FFFFFF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FFFFFF"/>
      </w:rPr>
      <w:tblPr/>
      <w:tcPr>
        <w:shd w:val="clear" w:color="auto" w:fill="76923C" w:themeFill="accent3" w:themeFillShade="BF"/>
      </w:tcPr>
    </w:tblStylePr>
    <w:tblStylePr w:type="lastCol">
      <w:rPr>
        <w:color w:val="FFFFFF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FFFFFF"/>
      </w:rPr>
      <w:tblPr/>
      <w:tcPr>
        <w:shd w:val="clear" w:color="auto" w:fill="5F497A" w:themeFill="accent4" w:themeFillShade="BF"/>
      </w:tcPr>
    </w:tblStylePr>
    <w:tblStylePr w:type="lastCol">
      <w:rPr>
        <w:color w:val="FFFFFF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FFFFFF"/>
      </w:rPr>
      <w:tblPr/>
      <w:tcPr>
        <w:shd w:val="clear" w:color="auto" w:fill="31849B" w:themeFill="accent5" w:themeFillShade="BF"/>
      </w:tcPr>
    </w:tblStylePr>
    <w:tblStylePr w:type="lastCol">
      <w:rPr>
        <w:color w:val="FFFFFF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FFFFFF"/>
      </w:rPr>
      <w:tblPr/>
      <w:tcPr>
        <w:shd w:val="clear" w:color="auto" w:fill="E36C0A" w:themeFill="accent6" w:themeFillShade="BF"/>
      </w:tcPr>
    </w:tblStylePr>
    <w:tblStylePr w:type="lastCol">
      <w:rPr>
        <w:color w:val="FFFFFF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Hyperlink">
    <w:name w:val="Hyperlink"/>
    <w:rPr>
      <w:color w:val="245E91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Gestión de Proyectos Ágiles Módulo 5 Respuestas orientativas para el docente</dc:title>
  <dc:subject>Respuestas orientativas para el docente de Gestión de Proyectos Ágiles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es-AR</dc:language>
</cp:coreProperties>
</file>