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jc w:val="center"/>
      </w:pPr>
      <w:r>
        <w:rPr>
          <w:rFonts w:ascii="Playfair Display" w:cs="Playfair Display" w:eastAsia="Playfair Display" w:hAnsi="Playfair Display"/>
          <w:b/>
          <w:bCs/>
          <w:color w:val="0A0A0A"/>
          <w:sz w:val="52"/>
          <w:szCs w:val="52"/>
        </w:rPr>
        <w:t xml:space="preserve">MVP COMPLETO</w:t>
      </w:r>
    </w:p>
    <w:p>
      <w:pPr>
        <w:pBdr>
          <w:bottom w:val="single" w:color="C9A961" w:sz="12" w:space="10"/>
        </w:pBdr>
        <w:spacing w:after="100" w:before="150"/>
        <w:jc w:val="center"/>
      </w:pPr>
      <w:r>
        <w:rPr>
          <w:rFonts w:ascii="Playfair Display" w:cs="Playfair Display" w:eastAsia="Playfair Display" w:hAnsi="Playfair Display"/>
          <w:b/>
          <w:bCs/>
          <w:color w:val="8C7A54"/>
          <w:sz w:val="28"/>
          <w:szCs w:val="28"/>
        </w:rPr>
        <w:t xml:space="preserve">COMPONENT LIBRARY — NOTAS (CIERRE)</w:t>
      </w:r>
    </w:p>
    <w:p>
      <w:pPr>
        <w:spacing w:before="300"/>
        <w:jc w:val="center"/>
      </w:pPr>
      <w:r>
        <w:rPr>
          <w:rFonts w:ascii="Calibri" w:cs="Calibri" w:eastAsia="Calibri" w:hAnsi="Calibri"/>
          <w:color w:val="6E6E68"/>
          <w:sz w:val="22"/>
          <w:szCs w:val="22"/>
        </w:rPr>
        <w:t xml:space="preserve">43 de 43 componentes del MVP · 43 de 59 totales · Design System v1.1</w:t>
      </w:r>
    </w:p>
    <w:p>
      <w:r>
        <w:br w:type="page"/>
      </w:r>
    </w:p>
    <w:p>
      <w:pPr>
        <w:pStyle w:val="Heading1"/>
        <w:pBdr>
          <w:bottom w:val="single" w:color="C9A961" w:sz="8" w:space="4"/>
        </w:pBdr>
        <w:spacing w:after="200" w:before="400"/>
      </w:pPr>
      <w:r>
        <w:rPr>
          <w:rFonts w:ascii="Playfair Display" w:cs="Playfair Display" w:eastAsia="Playfair Display" w:hAnsi="Playfair Display"/>
          <w:b/>
          <w:bCs/>
          <w:color w:val="0A0A0A"/>
          <w:sz w:val="32"/>
          <w:szCs w:val="32"/>
        </w:rPr>
        <w:t xml:space="preserve">1. Fichas técnicas — Notas (CMP-NOTE-001 a 005)</w:t>
      </w:r>
    </w:p>
    <w:p>
      <w:pPr>
        <w:pStyle w:val="Heading2"/>
        <w:spacing w:after="150" w:before="300"/>
      </w:pPr>
      <w:r>
        <w:rPr>
          <w:rFonts w:ascii="Playfair Display" w:cs="Playfair Display" w:eastAsia="Playfair Display" w:hAnsi="Playfair Display"/>
          <w:b/>
          <w:bCs/>
          <w:color w:val="8C7A54"/>
          <w:sz w:val="26"/>
          <w:szCs w:val="26"/>
        </w:rPr>
        <w:t xml:space="preserve">CMP-NOTE-001-v1 — Cornell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300"/>
      </w:tblGrid>
      <w:tr>
        <w:tc>
          <w:tcPr>
            <w:tcW w:type="dxa" w:w="2600"/>
            <w:shd w:fill="F4EF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C7A54"/>
                <w:sz w:val="20"/>
                <w:szCs w:val="20"/>
              </w:rPr>
              <w:t xml:space="preserve">Categoría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2600"/>
            <w:shd w:fill="F4EF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C7A54"/>
                <w:sz w:val="20"/>
                <w:szCs w:val="20"/>
              </w:rPr>
              <w:t xml:space="preserve">Versión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600"/>
            <w:shd w:fill="F4EF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C7A54"/>
                <w:sz w:val="20"/>
                <w:szCs w:val="20"/>
              </w:rPr>
              <w:t xml:space="preserve">Estado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Approved</w:t>
            </w:r>
          </w:p>
        </w:tc>
      </w:tr>
      <w:tr>
        <w:tc>
          <w:tcPr>
            <w:tcW w:type="dxa" w:w="2600"/>
            <w:shd w:fill="F4EF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C7A54"/>
                <w:sz w:val="20"/>
                <w:szCs w:val="20"/>
              </w:rPr>
              <w:t xml:space="preserve">Tokens usados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Surface #161616 · Divider on Dark #2A2A2A · Primary Gold #C9A961 (encabezado) · Text Secondary #B8B8B0 · Text Primary #F5F5F0</w:t>
            </w:r>
          </w:p>
        </w:tc>
      </w:tr>
      <w:tr>
        <w:tc>
          <w:tcPr>
            <w:tcW w:type="dxa" w:w="2600"/>
            <w:shd w:fill="F4EF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C7A54"/>
                <w:sz w:val="20"/>
                <w:szCs w:val="20"/>
              </w:rPr>
              <w:t xml:space="preserve">Anatomía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Página dividida en 3 zonas con líneas Divider on Dark: columna angosta izquierda (25% ancho) para palabras clave/preguntas, columna ancha derecha (75%) para notas, franja inferior (15% alto) para resumen. Encabezado superior con materia/fecha en Playfair Display, Primary Gold.</w:t>
            </w:r>
          </w:p>
        </w:tc>
      </w:tr>
      <w:tr>
        <w:tc>
          <w:tcPr>
            <w:tcW w:type="dxa" w:w="2600"/>
            <w:shd w:fill="F4EF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C7A54"/>
                <w:sz w:val="20"/>
                <w:szCs w:val="20"/>
              </w:rPr>
              <w:t xml:space="preserve">Estados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Default — página de escritura, sin estados interactivos</w:t>
            </w:r>
          </w:p>
        </w:tc>
      </w:tr>
      <w:tr>
        <w:tc>
          <w:tcPr>
            <w:tcW w:type="dxa" w:w="2600"/>
            <w:shd w:fill="F4EF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C7A54"/>
                <w:sz w:val="20"/>
                <w:szCs w:val="20"/>
              </w:rPr>
              <w:t xml:space="preserve">Reglas de uso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Proporción 25/75 fija entre columnas; la franja de resumen nunca se omite, es el elemento diferencial del método Cornell.</w:t>
            </w:r>
          </w:p>
        </w:tc>
      </w:tr>
      <w:tr>
        <w:tc>
          <w:tcPr>
            <w:tcW w:type="dxa" w:w="2600"/>
            <w:shd w:fill="F4EF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C7A54"/>
                <w:sz w:val="20"/>
                <w:szCs w:val="20"/>
              </w:rPr>
              <w:t xml:space="preserve">Producto(s) relacionado(s)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Academic Planner Premium</w:t>
            </w:r>
          </w:p>
        </w:tc>
      </w:tr>
      <w:tr>
        <w:tc>
          <w:tcPr>
            <w:tcW w:type="dxa" w:w="2600"/>
            <w:shd w:fill="F4EF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C7A54"/>
                <w:sz w:val="20"/>
                <w:szCs w:val="20"/>
              </w:rPr>
              <w:t xml:space="preserve">Última revisión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2026-07-12</w:t>
            </w:r>
          </w:p>
        </w:tc>
      </w:tr>
    </w:tbl>
    <w:p>
      <w:pPr>
        <w:spacing w:after="300"/>
      </w:pPr>
    </w:p>
    <w:p>
      <w:pPr>
        <w:pStyle w:val="Heading2"/>
        <w:spacing w:after="150" w:before="300"/>
      </w:pPr>
      <w:r>
        <w:rPr>
          <w:rFonts w:ascii="Playfair Display" w:cs="Playfair Display" w:eastAsia="Playfair Display" w:hAnsi="Playfair Display"/>
          <w:b/>
          <w:bCs/>
          <w:color w:val="8C7A54"/>
          <w:sz w:val="26"/>
          <w:szCs w:val="26"/>
        </w:rPr>
        <w:t xml:space="preserve">CMP-NOTE-002-v1 — Cuadrícula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300"/>
      </w:tblGrid>
      <w:tr>
        <w:tc>
          <w:tcPr>
            <w:tcW w:type="dxa" w:w="2600"/>
            <w:shd w:fill="F4EF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C7A54"/>
                <w:sz w:val="20"/>
                <w:szCs w:val="20"/>
              </w:rPr>
              <w:t xml:space="preserve">Categoría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2600"/>
            <w:shd w:fill="F4EF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C7A54"/>
                <w:sz w:val="20"/>
                <w:szCs w:val="20"/>
              </w:rPr>
              <w:t xml:space="preserve">Versión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600"/>
            <w:shd w:fill="F4EF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C7A54"/>
                <w:sz w:val="20"/>
                <w:szCs w:val="20"/>
              </w:rPr>
              <w:t xml:space="preserve">Estado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Approved</w:t>
            </w:r>
          </w:p>
        </w:tc>
      </w:tr>
      <w:tr>
        <w:tc>
          <w:tcPr>
            <w:tcW w:type="dxa" w:w="2600"/>
            <w:shd w:fill="F4EF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C7A54"/>
                <w:sz w:val="20"/>
                <w:szCs w:val="20"/>
              </w:rPr>
              <w:t xml:space="preserve">Tokens usados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Surface #161616 · Divider on Dark #2A2A2A (grilla) · Text Primary #F5F5F0</w:t>
            </w:r>
          </w:p>
        </w:tc>
      </w:tr>
      <w:tr>
        <w:tc>
          <w:tcPr>
            <w:tcW w:type="dxa" w:w="2600"/>
            <w:shd w:fill="F4EF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C7A54"/>
                <w:sz w:val="20"/>
                <w:szCs w:val="20"/>
              </w:rPr>
              <w:t xml:space="preserve">Anatomía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Grilla uniforme de líneas finas (Divider on Dark, 0.5pt) espaciadas en base a la escala de 8px del sistema. Encabezado idéntico al de Cornell para consistencia entre páginas de notas.</w:t>
            </w:r>
          </w:p>
        </w:tc>
      </w:tr>
      <w:tr>
        <w:tc>
          <w:tcPr>
            <w:tcW w:type="dxa" w:w="2600"/>
            <w:shd w:fill="F4EF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C7A54"/>
                <w:sz w:val="20"/>
                <w:szCs w:val="20"/>
              </w:rPr>
              <w:t xml:space="preserve">Estados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Default</w:t>
            </w:r>
          </w:p>
        </w:tc>
      </w:tr>
      <w:tr>
        <w:tc>
          <w:tcPr>
            <w:tcW w:type="dxa" w:w="2600"/>
            <w:shd w:fill="F4EF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C7A54"/>
                <w:sz w:val="20"/>
                <w:szCs w:val="20"/>
              </w:rPr>
              <w:t xml:space="preserve">Reglas de uso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El espaciado de la grilla debe ser múltiplo de 8px para alinear con el resto del sistema si se usa para diagramas o dibujos técnicos.</w:t>
            </w:r>
          </w:p>
        </w:tc>
      </w:tr>
      <w:tr>
        <w:tc>
          <w:tcPr>
            <w:tcW w:type="dxa" w:w="2600"/>
            <w:shd w:fill="F4EF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C7A54"/>
                <w:sz w:val="20"/>
                <w:szCs w:val="20"/>
              </w:rPr>
              <w:t xml:space="preserve">Producto(s) relacionado(s)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Academic Planner Premium</w:t>
            </w:r>
          </w:p>
        </w:tc>
      </w:tr>
      <w:tr>
        <w:tc>
          <w:tcPr>
            <w:tcW w:type="dxa" w:w="2600"/>
            <w:shd w:fill="F4EF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C7A54"/>
                <w:sz w:val="20"/>
                <w:szCs w:val="20"/>
              </w:rPr>
              <w:t xml:space="preserve">Última revisión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2026-07-12</w:t>
            </w:r>
          </w:p>
        </w:tc>
      </w:tr>
    </w:tbl>
    <w:p>
      <w:pPr>
        <w:spacing w:after="300"/>
      </w:pPr>
    </w:p>
    <w:p>
      <w:pPr>
        <w:pStyle w:val="Heading2"/>
        <w:spacing w:after="150" w:before="300"/>
      </w:pPr>
      <w:r>
        <w:rPr>
          <w:rFonts w:ascii="Playfair Display" w:cs="Playfair Display" w:eastAsia="Playfair Display" w:hAnsi="Playfair Display"/>
          <w:b/>
          <w:bCs/>
          <w:color w:val="8C7A54"/>
          <w:sz w:val="26"/>
          <w:szCs w:val="26"/>
        </w:rPr>
        <w:t xml:space="preserve">CMP-NOTE-003-v1 — Rayado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300"/>
      </w:tblGrid>
      <w:tr>
        <w:tc>
          <w:tcPr>
            <w:tcW w:type="dxa" w:w="2600"/>
            <w:shd w:fill="F4EF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C7A54"/>
                <w:sz w:val="20"/>
                <w:szCs w:val="20"/>
              </w:rPr>
              <w:t xml:space="preserve">Categoría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2600"/>
            <w:shd w:fill="F4EF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C7A54"/>
                <w:sz w:val="20"/>
                <w:szCs w:val="20"/>
              </w:rPr>
              <w:t xml:space="preserve">Versión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600"/>
            <w:shd w:fill="F4EF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C7A54"/>
                <w:sz w:val="20"/>
                <w:szCs w:val="20"/>
              </w:rPr>
              <w:t xml:space="preserve">Estado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Approved</w:t>
            </w:r>
          </w:p>
        </w:tc>
      </w:tr>
      <w:tr>
        <w:tc>
          <w:tcPr>
            <w:tcW w:type="dxa" w:w="2600"/>
            <w:shd w:fill="F4EF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C7A54"/>
                <w:sz w:val="20"/>
                <w:szCs w:val="20"/>
              </w:rPr>
              <w:t xml:space="preserve">Tokens usados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Surface #161616 · Divider on Dark #2A2A2A (líneas) · Text Primary #F5F5F0</w:t>
            </w:r>
          </w:p>
        </w:tc>
      </w:tr>
      <w:tr>
        <w:tc>
          <w:tcPr>
            <w:tcW w:type="dxa" w:w="2600"/>
            <w:shd w:fill="F4EF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C7A54"/>
                <w:sz w:val="20"/>
                <w:szCs w:val="20"/>
              </w:rPr>
              <w:t xml:space="preserve">Anatomía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Líneas horizontales finas (Divider on Dark) espaciadas a intervalo fijo, margen izquierdo marcado con línea vertical sutil en Border #33312B. Mismo encabezado que el resto de la familia Notas.</w:t>
            </w:r>
          </w:p>
        </w:tc>
      </w:tr>
      <w:tr>
        <w:tc>
          <w:tcPr>
            <w:tcW w:type="dxa" w:w="2600"/>
            <w:shd w:fill="F4EF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C7A54"/>
                <w:sz w:val="20"/>
                <w:szCs w:val="20"/>
              </w:rPr>
              <w:t xml:space="preserve">Estados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Default</w:t>
            </w:r>
          </w:p>
        </w:tc>
      </w:tr>
      <w:tr>
        <w:tc>
          <w:tcPr>
            <w:tcW w:type="dxa" w:w="2600"/>
            <w:shd w:fill="F4EF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C7A54"/>
                <w:sz w:val="20"/>
                <w:szCs w:val="20"/>
              </w:rPr>
              <w:t xml:space="preserve">Reglas de uso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Es la variante de mayor uso esperado — debe ser la que se abre por defecto al crear una nota nueva.</w:t>
            </w:r>
          </w:p>
        </w:tc>
      </w:tr>
      <w:tr>
        <w:tc>
          <w:tcPr>
            <w:tcW w:type="dxa" w:w="2600"/>
            <w:shd w:fill="F4EF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C7A54"/>
                <w:sz w:val="20"/>
                <w:szCs w:val="20"/>
              </w:rPr>
              <w:t xml:space="preserve">Producto(s) relacionado(s)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Academic Planner Premium</w:t>
            </w:r>
          </w:p>
        </w:tc>
      </w:tr>
      <w:tr>
        <w:tc>
          <w:tcPr>
            <w:tcW w:type="dxa" w:w="2600"/>
            <w:shd w:fill="F4EF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C7A54"/>
                <w:sz w:val="20"/>
                <w:szCs w:val="20"/>
              </w:rPr>
              <w:t xml:space="preserve">Última revisión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2026-07-12</w:t>
            </w:r>
          </w:p>
        </w:tc>
      </w:tr>
    </w:tbl>
    <w:p>
      <w:pPr>
        <w:spacing w:after="300"/>
      </w:pPr>
    </w:p>
    <w:p>
      <w:pPr>
        <w:pStyle w:val="Heading2"/>
        <w:spacing w:after="150" w:before="300"/>
      </w:pPr>
      <w:r>
        <w:rPr>
          <w:rFonts w:ascii="Playfair Display" w:cs="Playfair Display" w:eastAsia="Playfair Display" w:hAnsi="Playfair Display"/>
          <w:b/>
          <w:bCs/>
          <w:color w:val="8C7A54"/>
          <w:sz w:val="26"/>
          <w:szCs w:val="26"/>
        </w:rPr>
        <w:t xml:space="preserve">CMP-NOTE-004-v1 — Puntos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300"/>
      </w:tblGrid>
      <w:tr>
        <w:tc>
          <w:tcPr>
            <w:tcW w:type="dxa" w:w="2600"/>
            <w:shd w:fill="F4EF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C7A54"/>
                <w:sz w:val="20"/>
                <w:szCs w:val="20"/>
              </w:rPr>
              <w:t xml:space="preserve">Categoría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2600"/>
            <w:shd w:fill="F4EF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C7A54"/>
                <w:sz w:val="20"/>
                <w:szCs w:val="20"/>
              </w:rPr>
              <w:t xml:space="preserve">Versión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600"/>
            <w:shd w:fill="F4EF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C7A54"/>
                <w:sz w:val="20"/>
                <w:szCs w:val="20"/>
              </w:rPr>
              <w:t xml:space="preserve">Estado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Approved</w:t>
            </w:r>
          </w:p>
        </w:tc>
      </w:tr>
      <w:tr>
        <w:tc>
          <w:tcPr>
            <w:tcW w:type="dxa" w:w="2600"/>
            <w:shd w:fill="F4EF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C7A54"/>
                <w:sz w:val="20"/>
                <w:szCs w:val="20"/>
              </w:rPr>
              <w:t xml:space="preserve">Tokens usados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Surface #161616 · Text Muted #6E6E68 (puntos) · Text Primary #F5F5F0</w:t>
            </w:r>
          </w:p>
        </w:tc>
      </w:tr>
      <w:tr>
        <w:tc>
          <w:tcPr>
            <w:tcW w:type="dxa" w:w="2600"/>
            <w:shd w:fill="F4EF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C7A54"/>
                <w:sz w:val="20"/>
                <w:szCs w:val="20"/>
              </w:rPr>
              <w:t xml:space="preserve">Anatomía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Grilla de puntos pequeños (2px, Text Muted) espaciados según la escala de 8px, mismo encabezado que el resto de la familia. Pensada para bullet journaling y diagramas libres.</w:t>
            </w:r>
          </w:p>
        </w:tc>
      </w:tr>
      <w:tr>
        <w:tc>
          <w:tcPr>
            <w:tcW w:type="dxa" w:w="2600"/>
            <w:shd w:fill="F4EF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C7A54"/>
                <w:sz w:val="20"/>
                <w:szCs w:val="20"/>
              </w:rPr>
              <w:t xml:space="preserve">Estados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Default</w:t>
            </w:r>
          </w:p>
        </w:tc>
      </w:tr>
      <w:tr>
        <w:tc>
          <w:tcPr>
            <w:tcW w:type="dxa" w:w="2600"/>
            <w:shd w:fill="F4EF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C7A54"/>
                <w:sz w:val="20"/>
                <w:szCs w:val="20"/>
              </w:rPr>
              <w:t xml:space="preserve">Reglas de uso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Los puntos nunca superan Text Muted en contraste — deben quedar por debajo del contenido escrito, nunca compitiendo con él.</w:t>
            </w:r>
          </w:p>
        </w:tc>
      </w:tr>
      <w:tr>
        <w:tc>
          <w:tcPr>
            <w:tcW w:type="dxa" w:w="2600"/>
            <w:shd w:fill="F4EF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C7A54"/>
                <w:sz w:val="20"/>
                <w:szCs w:val="20"/>
              </w:rPr>
              <w:t xml:space="preserve">Producto(s) relacionado(s)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Academic Planner Premium</w:t>
            </w:r>
          </w:p>
        </w:tc>
      </w:tr>
      <w:tr>
        <w:tc>
          <w:tcPr>
            <w:tcW w:type="dxa" w:w="2600"/>
            <w:shd w:fill="F4EF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C7A54"/>
                <w:sz w:val="20"/>
                <w:szCs w:val="20"/>
              </w:rPr>
              <w:t xml:space="preserve">Última revisión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2026-07-12</w:t>
            </w:r>
          </w:p>
        </w:tc>
      </w:tr>
    </w:tbl>
    <w:p>
      <w:pPr>
        <w:spacing w:after="300"/>
      </w:pPr>
    </w:p>
    <w:p>
      <w:pPr>
        <w:pStyle w:val="Heading2"/>
        <w:spacing w:after="150" w:before="300"/>
      </w:pPr>
      <w:r>
        <w:rPr>
          <w:rFonts w:ascii="Playfair Display" w:cs="Playfair Display" w:eastAsia="Playfair Display" w:hAnsi="Playfair Display"/>
          <w:b/>
          <w:bCs/>
          <w:color w:val="8C7A54"/>
          <w:sz w:val="26"/>
          <w:szCs w:val="26"/>
        </w:rPr>
        <w:t xml:space="preserve">CMP-NOTE-005-v1 — Blanco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300"/>
      </w:tblGrid>
      <w:tr>
        <w:tc>
          <w:tcPr>
            <w:tcW w:type="dxa" w:w="2600"/>
            <w:shd w:fill="F4EF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C7A54"/>
                <w:sz w:val="20"/>
                <w:szCs w:val="20"/>
              </w:rPr>
              <w:t xml:space="preserve">Categoría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2600"/>
            <w:shd w:fill="F4EF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C7A54"/>
                <w:sz w:val="20"/>
                <w:szCs w:val="20"/>
              </w:rPr>
              <w:t xml:space="preserve">Versión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600"/>
            <w:shd w:fill="F4EF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C7A54"/>
                <w:sz w:val="20"/>
                <w:szCs w:val="20"/>
              </w:rPr>
              <w:t xml:space="preserve">Estado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Approved</w:t>
            </w:r>
          </w:p>
        </w:tc>
      </w:tr>
      <w:tr>
        <w:tc>
          <w:tcPr>
            <w:tcW w:type="dxa" w:w="2600"/>
            <w:shd w:fill="F4EF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C7A54"/>
                <w:sz w:val="20"/>
                <w:szCs w:val="20"/>
              </w:rPr>
              <w:t xml:space="preserve">Tokens usados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Surface #161616 · Text Primary #F5F5F0</w:t>
            </w:r>
          </w:p>
        </w:tc>
      </w:tr>
      <w:tr>
        <w:tc>
          <w:tcPr>
            <w:tcW w:type="dxa" w:w="2600"/>
            <w:shd w:fill="F4EF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C7A54"/>
                <w:sz w:val="20"/>
                <w:szCs w:val="20"/>
              </w:rPr>
              <w:t xml:space="preserve">Anatomía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Página en blanco sin ninguna guía, únicamente con el encabezado estándar de la familia Notas (materia/fecha en Playfair Display, Primary Gold) para mantener consistencia de marca incluso en la página más minimalista del set.</w:t>
            </w:r>
          </w:p>
        </w:tc>
      </w:tr>
      <w:tr>
        <w:tc>
          <w:tcPr>
            <w:tcW w:type="dxa" w:w="2600"/>
            <w:shd w:fill="F4EF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C7A54"/>
                <w:sz w:val="20"/>
                <w:szCs w:val="20"/>
              </w:rPr>
              <w:t xml:space="preserve">Estados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Default</w:t>
            </w:r>
          </w:p>
        </w:tc>
      </w:tr>
      <w:tr>
        <w:tc>
          <w:tcPr>
            <w:tcW w:type="dxa" w:w="2600"/>
            <w:shd w:fill="F4EF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C7A54"/>
                <w:sz w:val="20"/>
                <w:szCs w:val="20"/>
              </w:rPr>
              <w:t xml:space="preserve">Reglas de uso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Es intencionalmente el componente más simple del catálogo — no agregar elementos decorativos: la función es dar libertad total de uso.</w:t>
            </w:r>
          </w:p>
        </w:tc>
      </w:tr>
      <w:tr>
        <w:tc>
          <w:tcPr>
            <w:tcW w:type="dxa" w:w="2600"/>
            <w:shd w:fill="F4EF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C7A54"/>
                <w:sz w:val="20"/>
                <w:szCs w:val="20"/>
              </w:rPr>
              <w:t xml:space="preserve">Producto(s) relacionado(s)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Academic Planner Premium</w:t>
            </w:r>
          </w:p>
        </w:tc>
      </w:tr>
      <w:tr>
        <w:tc>
          <w:tcPr>
            <w:tcW w:type="dxa" w:w="2600"/>
            <w:shd w:fill="F4EF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C7A54"/>
                <w:sz w:val="20"/>
                <w:szCs w:val="20"/>
              </w:rPr>
              <w:t xml:space="preserve">Última revisión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2026-07-12</w:t>
            </w:r>
          </w:p>
        </w:tc>
      </w:tr>
    </w:tbl>
    <w:p>
      <w:pPr>
        <w:spacing w:after="300"/>
      </w:pPr>
    </w:p>
    <w:p>
      <w:r>
        <w:br w:type="page"/>
      </w:r>
    </w:p>
    <w:p>
      <w:pPr>
        <w:pStyle w:val="Heading1"/>
        <w:pBdr>
          <w:bottom w:val="single" w:color="C9A961" w:sz="8" w:space="4"/>
        </w:pBdr>
        <w:spacing w:after="200" w:before="400"/>
      </w:pPr>
      <w:r>
        <w:rPr>
          <w:rFonts w:ascii="Playfair Display" w:cs="Playfair Display" w:eastAsia="Playfair Display" w:hAnsi="Playfair Display"/>
          <w:b/>
          <w:bCs/>
          <w:color w:val="0A0A0A"/>
          <w:sz w:val="32"/>
          <w:szCs w:val="32"/>
        </w:rPr>
        <w:t xml:space="preserve">2. MVP completo — estado final de specs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300"/>
      </w:tblGrid>
      <w:tr>
        <w:tc>
          <w:tcPr>
            <w:tcW w:type="dxa" w:w="3600"/>
            <w:shd w:fill="F4EF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C7A54"/>
                <w:sz w:val="20"/>
                <w:szCs w:val="20"/>
              </w:rPr>
              <w:t xml:space="preserve">Navegación</w:t>
            </w:r>
          </w:p>
        </w:tc>
        <w:tc>
          <w:tcPr>
            <w:tcW w:type="dxa" w:w="5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8 / 8 — Approved</w:t>
            </w:r>
          </w:p>
        </w:tc>
      </w:tr>
      <w:tr>
        <w:tc>
          <w:tcPr>
            <w:tcW w:type="dxa" w:w="3600"/>
            <w:shd w:fill="F4EF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C7A54"/>
                <w:sz w:val="20"/>
                <w:szCs w:val="20"/>
              </w:rPr>
              <w:t xml:space="preserve">Dashboard</w:t>
            </w:r>
          </w:p>
        </w:tc>
        <w:tc>
          <w:tcPr>
            <w:tcW w:type="dxa" w:w="5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7 / 7 — Approved</w:t>
            </w:r>
          </w:p>
        </w:tc>
      </w:tr>
      <w:tr>
        <w:tc>
          <w:tcPr>
            <w:tcW w:type="dxa" w:w="3600"/>
            <w:shd w:fill="F4EF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C7A54"/>
                <w:sz w:val="20"/>
                <w:szCs w:val="20"/>
              </w:rPr>
              <w:t xml:space="preserve">Calendarios</w:t>
            </w:r>
          </w:p>
        </w:tc>
        <w:tc>
          <w:tcPr>
            <w:tcW w:type="dxa" w:w="5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6 / 6 — Approved</w:t>
            </w:r>
          </w:p>
        </w:tc>
      </w:tr>
      <w:tr>
        <w:tc>
          <w:tcPr>
            <w:tcW w:type="dxa" w:w="3600"/>
            <w:shd w:fill="F4EF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C7A54"/>
                <w:sz w:val="20"/>
                <w:szCs w:val="20"/>
              </w:rPr>
              <w:t xml:space="preserve">Portadas</w:t>
            </w:r>
          </w:p>
        </w:tc>
        <w:tc>
          <w:tcPr>
            <w:tcW w:type="dxa" w:w="5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5 / 5 — Approved</w:t>
            </w:r>
          </w:p>
        </w:tc>
      </w:tr>
      <w:tr>
        <w:tc>
          <w:tcPr>
            <w:tcW w:type="dxa" w:w="3600"/>
            <w:shd w:fill="F4EF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C7A54"/>
                <w:sz w:val="20"/>
                <w:szCs w:val="20"/>
              </w:rPr>
              <w:t xml:space="preserve">Planificación</w:t>
            </w:r>
          </w:p>
        </w:tc>
        <w:tc>
          <w:tcPr>
            <w:tcW w:type="dxa" w:w="5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6 / 6 — Approved</w:t>
            </w:r>
          </w:p>
        </w:tc>
      </w:tr>
      <w:tr>
        <w:tc>
          <w:tcPr>
            <w:tcW w:type="dxa" w:w="3600"/>
            <w:shd w:fill="F4EF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C7A54"/>
                <w:sz w:val="20"/>
                <w:szCs w:val="20"/>
              </w:rPr>
              <w:t xml:space="preserve">Estudio</w:t>
            </w:r>
          </w:p>
        </w:tc>
        <w:tc>
          <w:tcPr>
            <w:tcW w:type="dxa" w:w="5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6 / 6 — Approved</w:t>
            </w:r>
          </w:p>
        </w:tc>
      </w:tr>
      <w:tr>
        <w:tc>
          <w:tcPr>
            <w:tcW w:type="dxa" w:w="3600"/>
            <w:shd w:fill="F4EF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C7A54"/>
                <w:sz w:val="20"/>
                <w:szCs w:val="20"/>
              </w:rPr>
              <w:t xml:space="preserve">Notas</w:t>
            </w:r>
          </w:p>
        </w:tc>
        <w:tc>
          <w:tcPr>
            <w:tcW w:type="dxa" w:w="5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5 / 5 — Approved</w:t>
            </w:r>
          </w:p>
        </w:tc>
      </w:tr>
      <w:tr>
        <w:tc>
          <w:tcPr>
            <w:tcW w:type="dxa" w:w="3600"/>
            <w:shd w:fill="F4EF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C7A54"/>
                <w:sz w:val="20"/>
                <w:szCs w:val="20"/>
              </w:rPr>
              <w:t xml:space="preserve">TOTAL MVP</w:t>
            </w:r>
          </w:p>
        </w:tc>
        <w:tc>
          <w:tcPr>
            <w:tcW w:type="dxa" w:w="5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43 / 43 — 100%</w:t>
            </w:r>
          </w:p>
        </w:tc>
      </w:tr>
      <w:tr>
        <w:tc>
          <w:tcPr>
            <w:tcW w:type="dxa" w:w="3600"/>
            <w:shd w:fill="F4EF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C7A54"/>
                <w:sz w:val="20"/>
                <w:szCs w:val="20"/>
              </w:rPr>
              <w:t xml:space="preserve">Pendiente para v2 (post-validación)</w:t>
            </w:r>
          </w:p>
        </w:tc>
        <w:tc>
          <w:tcPr>
            <w:tcW w:type="dxa" w:w="5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Trackers (6), Objetivos (5), Recursos (5) — 16 componentes</w:t>
            </w:r>
          </w:p>
        </w:tc>
      </w:tr>
    </w:tbl>
    <w:p>
      <w:pPr>
        <w:pStyle w:val="Heading1"/>
        <w:pBdr>
          <w:bottom w:val="single" w:color="C9A961" w:sz="8" w:space="4"/>
        </w:pBdr>
        <w:spacing w:after="200" w:before="400"/>
      </w:pPr>
      <w:r>
        <w:rPr>
          <w:rFonts w:ascii="Playfair Display" w:cs="Playfair Display" w:eastAsia="Playfair Display" w:hAnsi="Playfair Display"/>
          <w:b/>
          <w:bCs/>
          <w:color w:val="0A0A0A"/>
          <w:sz w:val="32"/>
          <w:szCs w:val="32"/>
        </w:rPr>
        <w:t xml:space="preserve">3. Esto cierra la Fase 0.1 — no hay más fichas pendientes para el MVP</w:t>
      </w:r>
    </w:p>
    <w:p>
      <w:pPr>
        <w:spacing w:after="15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No queda trabajo de especificación pendiente para lanzar. El siguiente paso es Fase 0.2: producción visual real en Canva de los 43 componentes, y Fase 0.3: armado del PDF final con hyperlinks + QA en iPad real (GoodNotes/Notability), tal como quedó definido en el plan de validación.</w:t>
      </w:r>
    </w:p>
    <w:p>
      <w:pPr>
        <w:spacing w:after="15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A partir de acá, seguir generando specs no acerca el lanzamiento — es momento de pasar de documentación a diseño ejecutado.</w:t>
      </w:r>
    </w:p>
    <w:sectPr>
      <w:headerReference w:type="default" r:id="rId7"/>
      <w:footerReference w:type="default" r:id="rId8"/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E6E68"/>
        <w:sz w:val="16"/>
        <w:szCs w:val="16"/>
      </w:rPr>
      <w:t xml:space="preserve">Página </w:t>
    </w:r>
    <w:r>
      <w:rPr>
        <w:rFonts w:ascii="Calibri" w:cs="Calibri" w:eastAsia="Calibri" w:hAnsi="Calibri"/>
        <w:color w:val="6E6E6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E6E68"/>
        <w:sz w:val="16"/>
        <w:szCs w:val="16"/>
      </w:rPr>
      <w:t xml:space="preserve">AURELIA STUDIO — FASE 0.1 · NOTAS (CIERRE MVP)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2026-07-13T13:44:30.506Z</dcterms:created>
  <dcterms:modified xsi:type="dcterms:W3CDTF">2026-07-13T13:44:30.507Z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