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Playfair Display" w:cs="Playfair Display" w:eastAsia="Playfair Display" w:hAnsi="Playfair Display"/>
          <w:b/>
          <w:bCs/>
          <w:color w:val="0A0A0A"/>
          <w:sz w:val="56"/>
          <w:szCs w:val="56"/>
        </w:rPr>
        <w:t xml:space="preserve">FASE 0.2</w:t>
      </w:r>
    </w:p>
    <w:p>
      <w:pPr>
        <w:pBdr>
          <w:bottom w:val="single" w:color="C9A961" w:sz="12" w:space="10"/>
        </w:pBdr>
        <w:spacing w:after="100" w:before="150"/>
        <w:jc w:val="center"/>
      </w:pPr>
      <w:r>
        <w:rPr>
          <w:rFonts w:ascii="Playfair Display" w:cs="Playfair Display" w:eastAsia="Playfair Display" w:hAnsi="Playfair Display"/>
          <w:b/>
          <w:bCs/>
          <w:color w:val="8C7A54"/>
          <w:sz w:val="30"/>
          <w:szCs w:val="30"/>
        </w:rPr>
        <w:t xml:space="preserve">GUÍA DE PRODUCCIÓN MANUAL EN CANVA</w:t>
      </w:r>
    </w:p>
    <w:p>
      <w:pPr>
        <w:spacing w:before="300"/>
        <w:jc w:val="center"/>
      </w:pPr>
      <w:r>
        <w:rPr>
          <w:rFonts w:ascii="Calibri" w:cs="Calibri" w:eastAsia="Calibri" w:hAnsi="Calibri"/>
          <w:color w:val="6E6E68"/>
          <w:sz w:val="20"/>
          <w:szCs w:val="20"/>
        </w:rPr>
        <w:t xml:space="preserve">Para producir los 40 componentes restantes mientras se libera la cuota de generación con IA</w:t>
      </w:r>
    </w:p>
    <w:p>
      <w:r>
        <w:br w:type="page"/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1. Configurar el lienzo (una sola vez, se reutiliza en las 43 páginas)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300"/>
      </w:tblGrid>
      <w:tr>
        <w:tc>
          <w:tcPr>
            <w:tcW w:type="dxa" w:w="2900"/>
            <w:shd w:fill="F4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Tamaño de página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US Letter — 8.5 × 11 pulgadas (orientación vertical)</w:t>
            </w:r>
          </w:p>
        </w:tc>
      </w:tr>
      <w:tr>
        <w:tc>
          <w:tcPr>
            <w:tcW w:type="dxa" w:w="2900"/>
            <w:shd w:fill="F4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Por qué este tamaño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Es el más usado en la industria de planners digitales y funciona bien en cualquier tamaño de iPad, a diferencia de A4 (más ajustado en iPad Mini) o tamaños custom (rompen al importar en otro dispositivo)</w:t>
            </w:r>
          </w:p>
        </w:tc>
      </w:tr>
      <w:tr>
        <w:tc>
          <w:tcPr>
            <w:tcW w:type="dxa" w:w="2900"/>
            <w:shd w:fill="F4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Resolución de exportación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96 DPI — es la que usa PDF Standard, la única opción que preserva los hipervínculos (ver sección 4)</w:t>
            </w:r>
          </w:p>
        </w:tc>
      </w:tr>
    </w:tbl>
    <w:p>
      <w:pPr>
        <w:pBdr>
          <w:left w:val="single" w:color="C9A961" w:sz="12" w:space="8"/>
        </w:pBdr>
        <w:shd w:fill="F4EFE1" w:val="clear"/>
        <w:spacing w:after="200"/>
      </w:pPr>
      <w:r>
        <w:rPr>
          <w:rFonts w:ascii="Calibri" w:cs="Calibri" w:eastAsia="Calibri" w:hAnsi="Calibri"/>
          <w:i/>
          <w:iCs/>
          <w:color w:val="8C7A54"/>
          <w:sz w:val="20"/>
          <w:szCs w:val="20"/>
        </w:rPr>
        <w:t xml:space="preserve">En Canva: Crear diseño → Tamaño personalizado → 8.5 x 11 in. Guardá este lienzo como punto de partida y duplicalo para cada componente nuevo, así el tamaño nunca varía entre páginas.</w:t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2. Colores y tipografía — cómo mantenerlos consistentes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Dato importante antes de empezar: el Brand Kit de Canva (donde se guardan colores y fuentes de marca de forma oficial) es una función de Canva Pro. Si tu cuenta es Free, no vas a tener esa opción — no es un error tuyo, es una limitación real del plan.</w:t>
      </w:r>
    </w:p>
    <w:p>
      <w:pPr>
        <w:pBdr>
          <w:left w:val="single" w:color="C4544A" w:sz="12" w:space="8"/>
        </w:pBdr>
        <w:shd w:fill="F5E6E4" w:val="clear"/>
        <w:spacing w:after="200"/>
      </w:pPr>
      <w:r>
        <w:rPr>
          <w:rFonts w:ascii="Calibri" w:cs="Calibri" w:eastAsia="Calibri" w:hAnsi="Calibri"/>
          <w:b/>
          <w:bCs/>
          <w:color w:val="C4544A"/>
          <w:sz w:val="20"/>
          <w:szCs w:val="20"/>
        </w:rPr>
        <w:t xml:space="preserve">Si tenés Canva Free: no hay Brand Kit disponible. La alternativa es guardar esta tabla de códigos a mano y pegarlos vos mismo en cada diseño nuevo (Canva sí guarda automáticamente los últimos colores usados, lo que ayuda pero no reemplaza un Brand Kit real).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700"/>
      </w:tblGrid>
      <w:tr>
        <w:trPr>
          <w:tblHeader/>
        </w:trPr>
        <w:tc>
          <w:tcPr>
            <w:tcW w:type="dxa" w:w="4200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4700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Background Base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#0A0A0A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Surface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#161616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Surface Elevated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#1F1F1F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Primary Gold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#C9A961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Primary Hover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#E0C27E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Secondary Champagne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#8C7A54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#F5F5F0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#B8B8B0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Text Muted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#6E6E68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Divider on Dark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#2A2A2A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Border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#33312B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Tipografía: Playfair Display (encabezados) e Inter (texto) — ambas están disponibles en la biblioteca gratuita de fuentes de Canva, no requieren Pro.</w:t>
      </w:r>
    </w:p>
    <w:p>
      <w:r>
        <w:br w:type="page"/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3. Orden de producción recomendado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3200"/>
        <w:gridCol w:w="2500"/>
      </w:tblGrid>
      <w:tr>
        <w:trPr>
          <w:tblHeader/>
        </w:trPr>
        <w:tc>
          <w:tcPr>
            <w:tcW w:type="dxa" w:w="900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Orden</w:t>
            </w:r>
          </w:p>
        </w:tc>
        <w:tc>
          <w:tcPr>
            <w:tcW w:type="dxa" w:w="2300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200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2500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Motivo del orden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Portadas (restantes)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CMP-COV-004, CMP-COV-005 (2)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Ya arrancado, cerrarlo primero es rápido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Dashboard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CMP-DASH-001 a 007 (7)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Define la pantalla que más se repite en todo el planner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Calendarios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CMP-CAL-001 a 006 (6)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Núcleo funcional del producto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Planificación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CMP-PLAN-001 a 006 (6)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Reutiliza estructura de Calendarios (Time Blocking) y Dashboard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Estudio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CMP-EST-001 a 006 (6)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Reutiliza checklist de Planificación y barra de Dashboard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Notas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CMP-NOTE-001 a 005 (5)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Las más simples técnicamente, quedan para el final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Navegación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CMP-NAV-001 a 008 (8)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Son íconos pequeños que se insertan en las páginas ya armadas — van al final porque dependen de ver el layout final de cada página</w:t>
            </w:r>
          </w:p>
        </w:tc>
      </w:tr>
    </w:tbl>
    <w:p>
      <w:pPr>
        <w:pBdr>
          <w:left w:val="single" w:color="C9A961" w:sz="12" w:space="8"/>
        </w:pBdr>
        <w:shd w:fill="F4EFE1" w:val="clear"/>
        <w:spacing w:after="200"/>
      </w:pPr>
      <w:r>
        <w:rPr>
          <w:rFonts w:ascii="Calibri" w:cs="Calibri" w:eastAsia="Calibri" w:hAnsi="Calibri"/>
          <w:i/>
          <w:iCs/>
          <w:color w:val="8C7A54"/>
          <w:sz w:val="20"/>
          <w:szCs w:val="20"/>
        </w:rPr>
        <w:t xml:space="preserve">Los componentes marcados como "reutiliza" en las fichas técnicas no se diseñan de cero — se duplica la página ya aprobada y se edita el contenido. Revisá la ficha de cada componente antes de empezarlo: ahí dice explícitamente si reutiliza otro.</w:t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4. Cómo armar los hipervínculos entre páginas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Seleccioná el botón o ícono de navegación (ej. el ícono Home de CMP-NAV-006).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Presioná Ctrl+K (Windows) o Cmd+K (Mac), o el ícono de enlace en la barra superior.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Elegí "Página" como tipo de enlace.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Seleccioná a qué página del mismo diseño debe llevar ese botón.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Repetilo en cada página donde aparezca ese mismo botón — el enlace es por instancia, no se hereda automáticamente.</w:t>
      </w:r>
    </w:p>
    <w:p>
      <w:pPr>
        <w:pBdr>
          <w:left w:val="single" w:color="C9A961" w:sz="12" w:space="8"/>
        </w:pBdr>
        <w:shd w:fill="F4EFE1" w:val="clear"/>
        <w:spacing w:after="200"/>
      </w:pPr>
      <w:r>
        <w:rPr>
          <w:rFonts w:ascii="Calibri" w:cs="Calibri" w:eastAsia="Calibri" w:hAnsi="Calibri"/>
          <w:i/>
          <w:iCs/>
          <w:color w:val="8C7A54"/>
          <w:sz w:val="20"/>
          <w:szCs w:val="20"/>
        </w:rPr>
        <w:t xml:space="preserve">Agregá siempre un enlace de "volver al Dashboard" en las páginas de uso más frecuente (Calendarios, Planificación, Estudio) — reduce fricción real de uso, no es decorativo.</w:t>
      </w:r>
    </w:p>
    <w:p>
      <w:r>
        <w:br w:type="page"/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5. Exportación — el paso donde más planners se rompen</w:t>
      </w:r>
    </w:p>
    <w:p>
      <w:pPr>
        <w:pBdr>
          <w:left w:val="single" w:color="C4544A" w:sz="12" w:space="8"/>
        </w:pBdr>
        <w:shd w:fill="F5E6E4" w:val="clear"/>
        <w:spacing w:after="200"/>
      </w:pPr>
      <w:r>
        <w:rPr>
          <w:rFonts w:ascii="Calibri" w:cs="Calibri" w:eastAsia="Calibri" w:hAnsi="Calibri"/>
          <w:b/>
          <w:bCs/>
          <w:color w:val="C4544A"/>
          <w:sz w:val="20"/>
          <w:szCs w:val="20"/>
        </w:rPr>
        <w:t xml:space="preserve">Usá siempre "PDF Estándar", nunca "PDF para Impresión". PDF para Impresión aplana el archivo y elimina todos los hipervínculos — el planner se ve idéntico pero deja de funcionar. Es la causa más común de planners digitales rotos, según múltiples guías de la industria.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Share → Descargar.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Tipo de archivo: PDF Estándar.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Confirmá que "Aplanar PDF" (Flatten PDF) esté DESMARCADO.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Seleccioná todas las páginas (o las que quieras probar primero).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Descargar.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Mantené el archivo final por debajo de ~20MB — archivos más pesados son molestos de descargar e importar a GoodNotes, y no aportan calidad visible en pantalla.</w:t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6. Protocolo de testing antes de dar por terminada una página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Importar el PDF en GoodNotes y tocar cada botón de navegación de esa página.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Repetir la misma prueba en Notability.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Si es posible, probar también en una app gratuita como Xodo — ayuda a detectar links rotos por incompatibilidad de formato.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Si un link falla: corregirlo en Canva y volver a exportar — no vale la pena "seguir y arreglarlo después", porque un botón roto en una plantilla reutilizada se repite en cada página donde se copió.</w:t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7. Siguiente paso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Con esta guía ya podés arrancar por CMP-COV-004 y CMP-COV-005 (cerrar Portadas) y seguir con Dashboard. Cuando termines un lote, contame y lo reviso contra la ficha técnica correspondiente — igual que hicimos con las specs, así detectamos inconsistencias antes de que se multipliquen en las páginas siguientes.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8"/>
        <w:sz w:val="16"/>
        <w:szCs w:val="16"/>
      </w:rPr>
      <w:t xml:space="preserve">Página </w:t>
    </w:r>
    <w:r>
      <w:rPr>
        <w:rFonts w:ascii="Calibri" w:cs="Calibri" w:eastAsia="Calibri" w:hAnsi="Calibri"/>
        <w:color w:val="6E6E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E6E68"/>
        <w:sz w:val="16"/>
        <w:szCs w:val="16"/>
      </w:rPr>
      <w:t xml:space="preserve">AURELIA STUDIO — GUÍA DE PRODUCCIÓN MANUAL · FASE 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2026-07-13T18:59:23.770Z</dcterms:created>
  <dcterms:modified xsi:type="dcterms:W3CDTF">2026-07-13T18:59:23.784Z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