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r>
        <w:t>A 62-year-old patient with a failing implant-supported prosthesis was treated with a digital workflow combining intraoral scanning, guided implant placement, and a milled zirconia crown. Six-month follow-up showed stable peri-implant health and patient satisfaction.</w:t>
      </w:r>
    </w:p>
    <w:p>
      <w:pPr>
        <w:pStyle w:val="Heading1"/>
      </w:pPr>
      <w:r>
        <w:t>Introduction</w:t>
      </w:r>
    </w:p>
    <w:p>
      <w:r>
        <w:t>Failures of implant-supported prostheses in the maxillary anterior are challenging because of esthetic demands and bone quality.</w:t>
      </w:r>
    </w:p>
    <w:p>
      <w:pPr>
        <w:pStyle w:val="Heading1"/>
      </w:pPr>
      <w:r>
        <w:t>Clinical Report</w:t>
      </w:r>
    </w:p>
    <w:p>
      <w:r>
        <w:t>Patient history: A 62-year-old female presented with an exposed abutment screw on tooth 11. Examination revealed peri-implantitis with 4 mm probing depth and bleeding on probing.</w:t>
      </w:r>
    </w:p>
    <w:p>
      <w:r>
        <w:t>Treatment: After non-surgical debridement and a 6-week healing period, the implant was explanted using a guided technique.</w:t>
      </w:r>
    </w:p>
    <w:p>
      <w:r>
        <w:t>Outcome: At 6-month follow-up, the new implant showed full osseointegration with stable peri-implant health.</w:t>
      </w:r>
    </w:p>
    <w:p>
      <w:pPr>
        <w:pStyle w:val="Heading1"/>
      </w:pPr>
      <w:r>
        <w:t>Discussion</w:t>
      </w:r>
    </w:p>
    <w:p>
      <w:r>
        <w:t>Digital workflows for implant explantation and replacement reduce surgical time and improve esthetic predictability.</w:t>
      </w:r>
    </w:p>
    <w:p>
      <w:pPr>
        <w:pStyle w:val="Heading1"/>
      </w:pPr>
      <w:r>
        <w:t>Summary</w:t>
      </w:r>
    </w:p>
    <w:p>
      <w:r>
        <w:t>This clinical report demonstrates a digital workflow for the predictable replacement of a failing maxillary anterior implant.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