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Statement of Problem: Endocrowns are minimally invasive but their long-term survival in posterior teeth remains underreported. Purpose: to evaluate 5-year survival of lithium disilicate endocrowns. Methods: 50 endocrowns followed prospectively. Results: 92% survival. Conclusions: comparable to crowns.</w:t>
      </w:r>
    </w:p>
    <w:p>
      <w:pPr>
        <w:pStyle w:val="Heading1"/>
      </w:pPr>
      <w:r>
        <w:t>Background</w:t>
      </w:r>
    </w:p>
    <w:p>
      <w:r>
        <w:t>Endodontically treated teeth are restorative challenges...</w:t>
      </w:r>
    </w:p>
    <w:p>
      <w:pPr>
        <w:pStyle w:val="Heading1"/>
      </w:pPr>
      <w:r>
        <w:t>Methods</w:t>
      </w:r>
    </w:p>
    <w:p>
      <w:r>
        <w:t>Fifty patients enrolled, ages 35-72...</w:t>
      </w:r>
    </w:p>
    <w:p>
      <w:pPr>
        <w:pStyle w:val="Heading1"/>
      </w:pPr>
      <w:r>
        <w:t>Results</w:t>
      </w:r>
    </w:p>
    <w:p>
      <w:r>
        <w:t>Kaplan-Meier 5-year survival 92%...</w:t>
      </w:r>
    </w:p>
    <w:p>
      <w:pPr>
        <w:pStyle w:val="Heading1"/>
      </w:pPr>
      <w:r>
        <w:t>Discussion</w:t>
      </w:r>
    </w:p>
    <w:p>
      <w:r>
        <w:t>Our findings agree with prior systematic reviews...</w:t>
      </w:r>
    </w:p>
    <w:p>
      <w:pPr>
        <w:pStyle w:val="Heading1"/>
      </w:pPr>
      <w:r>
        <w:t>Conclusion</w:t>
      </w:r>
    </w:p>
    <w:p>
      <w:r>
        <w:t>Endocrowns are a reliable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