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Abstract</w:t>
      </w:r>
    </w:p>
    <w:p>
      <w:r>
        <w:t>Statement of Problem: Endocrowns are minimally invasive but their long-term survival in posterior teeth remains underreported. Purpose: to evaluate 5-year survival of lithium disilicate endocrowns. Methods: 50 endocrowns followed prospectively. Results: 92% survival. Conclusions: comparable to crowns.</w:t>
      </w:r>
    </w:p>
    <w:p>
      <w:pPr>
        <w:pStyle w:val="Heading1"/>
      </w:pPr>
      <w:r>
        <w:t>Background</w:t>
      </w:r>
    </w:p>
    <w:p>
      <w:r>
        <w:t>Endodontically treated teeth are restorative challenges...</w:t>
      </w:r>
    </w:p>
    <w:p>
      <w:pPr>
        <w:pStyle w:val="Heading1"/>
      </w:pPr>
      <w:r>
        <w:t>Methods</w:t>
      </w:r>
    </w:p>
    <w:p>
      <w:r>
        <w:t>Fifty patients enrolled, ages 35-72...</w:t>
      </w:r>
    </w:p>
    <w:p>
      <w:pPr>
        <w:pStyle w:val="Heading1"/>
      </w:pPr>
      <w:r>
        <w:t>Results</w:t>
      </w:r>
    </w:p>
    <w:p>
      <w:r>
        <w:t>Kaplan-Meier 5-year survival 92%...</w:t>
      </w:r>
    </w:p>
    <w:p>
      <w:pPr>
        <w:pStyle w:val="Heading1"/>
      </w:pPr>
      <w:r>
        <w:t>Discussion</w:t>
      </w:r>
    </w:p>
    <w:p>
      <w:r>
        <w:t>Our findings agree with prior systematic reviews...</w:t>
      </w:r>
    </w:p>
    <w:p>
      <w:pPr>
        <w:pStyle w:val="Heading1"/>
      </w:pPr>
      <w:r>
        <w:t>Conclusion</w:t>
      </w:r>
    </w:p>
    <w:p>
      <w:r>
        <w:t>Endocrowns are a reliable alternative.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2000-01-01T00:00:00Z</dcterms:created>
  <dcterms:modified xsi:type="dcterms:W3CDTF">2000-01-01T00:00:00Z</dcterms:modified>
  <cp:category/>
</cp:coreProperties>
</file>