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9.png" ContentType="image/png"/>
  <Override PartName="/word/media/rId14.png" ContentType="image/png"/>
  <Override PartName="/word/media/rId18.png" ContentType="image/png"/>
  <Override PartName="/word/media/rId36.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Cognitive and Resting-State EEG Predictors of Intensive Multilingual Learning, and Change in Executive Function across Training: A Bayesian Multilevel Study</w:t>
      </w:r>
    </w:p>
    <w:p>
      <w:pPr>
        <w:pStyle w:val="Author"/>
      </w:pPr>
      <w:r>
        <w:t xml:space="preserve">Pablo Bernabeu</w:t>
      </w:r>
    </w:p>
    <w:p>
      <w:pPr>
        <w:pStyle w:val="Author"/>
      </w:pPr>
      <w:r>
        <w:t xml:space="preserve">Christina Athanasiadi</w:t>
      </w:r>
    </w:p>
    <w:p>
      <w:pPr>
        <w:pStyle w:val="Author"/>
      </w:pPr>
      <w:r>
        <w:t xml:space="preserve">Stella L. Pischinger</w:t>
      </w:r>
    </w:p>
    <w:p>
      <w:pPr>
        <w:pStyle w:val="Author"/>
      </w:pPr>
      <w:r>
        <w:t xml:space="preserve">Gabriella Silva</w:t>
      </w:r>
    </w:p>
    <w:p>
      <w:pPr>
        <w:pStyle w:val="Author"/>
      </w:pPr>
      <w:r>
        <w:t xml:space="preserve">My Ngoc Giang Hoang</w:t>
      </w:r>
    </w:p>
    <w:p>
      <w:pPr>
        <w:pStyle w:val="Author"/>
      </w:pPr>
      <w:r>
        <w:t xml:space="preserve">Vincent DeLuca</w:t>
      </w:r>
    </w:p>
    <w:p>
      <w:pPr>
        <w:pStyle w:val="Author"/>
      </w:pPr>
      <w:r>
        <w:t xml:space="preserve">Jason Rothman</w:t>
      </w:r>
    </w:p>
    <w:p>
      <w:pPr>
        <w:pStyle w:val="Author"/>
      </w:pPr>
      <w:r>
        <w:t xml:space="preserve">Iva Ivanova</w:t>
      </w:r>
    </w:p>
    <w:p>
      <w:pPr>
        <w:pStyle w:val="Author"/>
      </w:pPr>
      <w:r>
        <w:t xml:space="preserve">Claudia Poch</w:t>
      </w:r>
    </w:p>
    <w:p>
      <w:pPr>
        <w:pStyle w:val="Author"/>
      </w:pPr>
      <w:r>
        <w:t xml:space="preserve">Jorge González Alonso</w:t>
      </w:r>
    </w:p>
    <w:p>
      <w:pPr>
        <w:pStyle w:val="AbstractTitle"/>
      </w:pPr>
      <w:r>
        <w:t xml:space="preserve">Abstract</w:t>
      </w:r>
    </w:p>
    <w:p>
      <w:pPr>
        <w:pStyle w:val="Abstract"/>
      </w:pPr>
      <w:r>
        <w:t xml:space="preserve">Adults vary widely in how well they learn a new language. We examined individual</w:t>
      </w:r>
      <w:r>
        <w:t xml:space="preserve"> </w:t>
      </w:r>
      <w:r>
        <w:t xml:space="preserve">differences during intensive training by testing whether baseline working</w:t>
      </w:r>
      <w:r>
        <w:t xml:space="preserve"> </w:t>
      </w:r>
      <w:r>
        <w:t xml:space="preserve">memory, inhibitory control, statistical learning, and resting-state electroencephalography</w:t>
      </w:r>
      <w:r>
        <w:t xml:space="preserve"> </w:t>
      </w:r>
      <w:r>
        <w:t xml:space="preserve">(EEG) predicted grammaticality-judgement accuracy as 65 Norwegian–English bilinguals learned</w:t>
      </w:r>
      <w:r>
        <w:t xml:space="preserve"> </w:t>
      </w:r>
      <w:r>
        <w:t xml:space="preserve">one of two artificial languages. We also tested change in executive function between the</w:t>
      </w:r>
      <w:r>
        <w:t xml:space="preserve"> </w:t>
      </w:r>
      <w:r>
        <w:t xml:space="preserve">first and fifth sessions. Working memory was positively associated with accuracy,</w:t>
      </w:r>
      <w:r>
        <w:t xml:space="preserve"> </w:t>
      </w:r>
      <w:r>
        <w:t xml:space="preserve">most clearly for gender agreement, the property sampled throughout training; evidence for</w:t>
      </w:r>
      <w:r>
        <w:t xml:space="preserve"> </w:t>
      </w:r>
      <w:r>
        <w:t xml:space="preserve">a pooled association was weaker. No baseline measure showed a credible association with</w:t>
      </w:r>
      <w:r>
        <w:t xml:space="preserve"> </w:t>
      </w:r>
      <w:r>
        <w:t xml:space="preserve">the rate of change. Inhibitory control and statistical learning showed no clear</w:t>
      </w:r>
      <w:r>
        <w:t xml:space="preserve"> </w:t>
      </w:r>
      <w:r>
        <w:t xml:space="preserve">associations, and resting-state EEG measures added little predictive information.</w:t>
      </w:r>
      <w:r>
        <w:t xml:space="preserve"> </w:t>
      </w:r>
      <w:r>
        <w:t xml:space="preserve">Working-memory span increased, whereas inhibitory control and statistical learning did</w:t>
      </w:r>
      <w:r>
        <w:t xml:space="preserve"> </w:t>
      </w:r>
      <w:r>
        <w:t xml:space="preserve">not. Together, these findings point to working memory as a correlate of language-learning</w:t>
      </w:r>
      <w:r>
        <w:t xml:space="preserve"> </w:t>
      </w:r>
      <w:r>
        <w:t xml:space="preserve">performance and change during training, while the absence of a no-training control</w:t>
      </w:r>
      <w:r>
        <w:t xml:space="preserve"> </w:t>
      </w:r>
      <w:r>
        <w:t xml:space="preserve">prevents a causal interpretation.</w:t>
      </w:r>
    </w:p>
    <w:p>
      <w:pPr>
        <w:pStyle w:val="FirstParagraph"/>
      </w:pPr>
      <w:r>
        <w:t xml:space="preserve">Adults differ markedly in the speed and the ultimate success with which they learn a</w:t>
      </w:r>
      <w:r>
        <w:t xml:space="preserve"> </w:t>
      </w:r>
      <w:r>
        <w:t xml:space="preserve">new language, and explaining that variation is a central goal of the cognitive</w:t>
      </w:r>
      <w:r>
        <w:t xml:space="preserve"> </w:t>
      </w:r>
      <w:r>
        <w:t xml:space="preserve">neuroscience of language.</w:t>
      </w:r>
      <w:r>
        <w:t xml:space="preserve"> </w:t>
      </w:r>
      <w:r>
        <w:t xml:space="preserve">Three families of predictor recur in the literature. Working memory is the</w:t>
      </w:r>
      <w:r>
        <w:t xml:space="preserve"> </w:t>
      </w:r>
      <w:r>
        <w:t xml:space="preserve">best-evidenced domain-general cognitive correlate of second-language outcomes,</w:t>
      </w:r>
      <w:r>
        <w:t xml:space="preserve"> </w:t>
      </w:r>
      <w:r>
        <w:t xml:space="preserve">language-specific aptitude aside</w:t>
      </w:r>
      <w:r>
        <w:t xml:space="preserve"> </w:t>
      </w:r>
      <w:r>
        <w:t xml:space="preserve">(Li 2015)</w:t>
      </w:r>
      <w:r>
        <w:t xml:space="preserve">, with a small-to-moderate positive</w:t>
      </w:r>
      <w:r>
        <w:t xml:space="preserve"> </w:t>
      </w:r>
      <w:r>
        <w:t xml:space="preserve">meta-analytic association</w:t>
      </w:r>
      <w:r>
        <w:t xml:space="preserve"> </w:t>
      </w:r>
      <w:r>
        <w:t xml:space="preserve">(Linck et al. 2014)</w:t>
      </w:r>
      <w:r>
        <w:t xml:space="preserve"> </w:t>
      </w:r>
      <w:r>
        <w:t xml:space="preserve">that is stronger for executive and complex-span</w:t>
      </w:r>
      <w:r>
        <w:t xml:space="preserve"> </w:t>
      </w:r>
      <w:r>
        <w:t xml:space="preserve">measures than for simple storage span and, for vocabulary learning, stronger for nonword</w:t>
      </w:r>
      <w:r>
        <w:t xml:space="preserve"> </w:t>
      </w:r>
      <w:r>
        <w:t xml:space="preserve">repetition than for digit span</w:t>
      </w:r>
      <w:r>
        <w:t xml:space="preserve"> </w:t>
      </w:r>
      <w:r>
        <w:t xml:space="preserve">(Kurokawa 2026)</w:t>
      </w:r>
      <w:r>
        <w:t xml:space="preserve">. Statistical or implicit learning, the</w:t>
      </w:r>
      <w:r>
        <w:t xml:space="preserve"> </w:t>
      </w:r>
      <w:r>
        <w:t xml:space="preserve">ability to extract distributional regularities, relates positively but only weakly to</w:t>
      </w:r>
      <w:r>
        <w:t xml:space="preserve"> </w:t>
      </w:r>
      <w:r>
        <w:t xml:space="preserve">language ability across 97 studies, with the size of the correlation depending on the</w:t>
      </w:r>
      <w:r>
        <w:t xml:space="preserve"> </w:t>
      </w:r>
      <w:r>
        <w:t xml:space="preserve">task and the stimulus modality</w:t>
      </w:r>
      <w:r>
        <w:t xml:space="preserve"> </w:t>
      </w:r>
      <w:r>
        <w:t xml:space="preserve">(Zhou et al. 2024)</w:t>
      </w:r>
      <w:r>
        <w:t xml:space="preserve">, and nonadjacent statistical learning has</w:t>
      </w:r>
      <w:r>
        <w:t xml:space="preserve"> </w:t>
      </w:r>
      <w:r>
        <w:t xml:space="preserve">predicted comprehension of particular native-language sentence types</w:t>
      </w:r>
      <w:r>
        <w:t xml:space="preserve"> </w:t>
      </w:r>
      <w:r>
        <w:t xml:space="preserve">(Misyak and Christiansen 2012)</w:t>
      </w:r>
      <w:r>
        <w:t xml:space="preserve">. Two</w:t>
      </w:r>
      <w:r>
        <w:t xml:space="preserve"> </w:t>
      </w:r>
      <w:r>
        <w:t xml:space="preserve">artificial-language training studies that tracked their predictors across five sessions</w:t>
      </w:r>
      <w:r>
        <w:t xml:space="preserve"> </w:t>
      </w:r>
      <w:r>
        <w:t xml:space="preserve">found the contribution of statistical learning concentrated in the earliest exposure,</w:t>
      </w:r>
      <w:r>
        <w:t xml:space="preserve"> </w:t>
      </w:r>
      <w:r>
        <w:t xml:space="preserve">after which explicit learning aptitude</w:t>
      </w:r>
      <w:r>
        <w:t xml:space="preserve"> </w:t>
      </w:r>
      <w:r>
        <w:t xml:space="preserve">(Kenanidis et al. 2026)</w:t>
      </w:r>
      <w:r>
        <w:t xml:space="preserve"> </w:t>
      </w:r>
      <w:r>
        <w:t xml:space="preserve">or cognitive control</w:t>
      </w:r>
      <w:r>
        <w:t xml:space="preserve"> </w:t>
      </w:r>
      <w:r>
        <w:t xml:space="preserve">(Chen et al. 2022)</w:t>
      </w:r>
      <w:r>
        <w:t xml:space="preserve"> </w:t>
      </w:r>
      <w:r>
        <w:t xml:space="preserve">carried more of the variance. Inhibitory control is the least settled. The</w:t>
      </w:r>
      <w:r>
        <w:t xml:space="preserve"> </w:t>
      </w:r>
      <w:r>
        <w:t xml:space="preserve">bilingual-advantage literature finds no reliable executive-function benefit of</w:t>
      </w:r>
      <w:r>
        <w:t xml:space="preserve"> </w:t>
      </w:r>
      <w:r>
        <w:t xml:space="preserve">bilingualism</w:t>
      </w:r>
      <w:r>
        <w:t xml:space="preserve"> </w:t>
      </w:r>
      <w:r>
        <w:t xml:space="preserve">(Paap and Greenberg 2013; Dick et al. 2019)</w:t>
      </w:r>
      <w:r>
        <w:t xml:space="preserve">, and direct tests of inhibition against</w:t>
      </w:r>
      <w:r>
        <w:t xml:space="preserve"> </w:t>
      </w:r>
      <w:r>
        <w:t xml:space="preserve">second-language outcomes have returned null associations, for phonological processing</w:t>
      </w:r>
      <w:r>
        <w:t xml:space="preserve"> </w:t>
      </w:r>
      <w:r>
        <w:t xml:space="preserve">(Huensch 2024)</w:t>
      </w:r>
      <w:r>
        <w:t xml:space="preserve">, for classroom learning gains</w:t>
      </w:r>
      <w:r>
        <w:t xml:space="preserve"> </w:t>
      </w:r>
      <w:r>
        <w:t xml:space="preserve">(Linck and Weiss 2015)</w:t>
      </w:r>
      <w:r>
        <w:t xml:space="preserve"> </w:t>
      </w:r>
      <w:r>
        <w:t xml:space="preserve">and for</w:t>
      </w:r>
      <w:r>
        <w:t xml:space="preserve"> </w:t>
      </w:r>
      <w:r>
        <w:t xml:space="preserve">artificial-grammar learning, where a flanker index of inhibition predicted at no stage</w:t>
      </w:r>
      <w:r>
        <w:t xml:space="preserve"> </w:t>
      </w:r>
      <w:r>
        <w:t xml:space="preserve">(Chen et al. 2022)</w:t>
      </w:r>
      <w:r>
        <w:t xml:space="preserve">.</w:t>
      </w:r>
    </w:p>
    <w:p>
      <w:pPr>
        <w:pStyle w:val="BodyText"/>
      </w:pPr>
      <w:r>
        <w:t xml:space="preserve">Alpha and theta dynamics in the resting electroencephalogram (EEG) index memory and</w:t>
      </w:r>
      <w:r>
        <w:t xml:space="preserve"> </w:t>
      </w:r>
      <w:r>
        <w:t xml:space="preserve">cognitive performance</w:t>
      </w:r>
      <w:r>
        <w:t xml:space="preserve"> </w:t>
      </w:r>
      <w:r>
        <w:t xml:space="preserve">(Klimesch 1999)</w:t>
      </w:r>
      <w:r>
        <w:t xml:space="preserve">. The individual alpha frequency is a stable, trait-like measure</w:t>
      </w:r>
      <w:r>
        <w:t xml:space="preserve"> </w:t>
      </w:r>
      <w:r>
        <w:t xml:space="preserve">(Grandy, Werkle-Bergner, Chicherio, Schmiedek, et al. 2013)</w:t>
      </w:r>
      <w:r>
        <w:t xml:space="preserve"> </w:t>
      </w:r>
      <w:r>
        <w:t xml:space="preserve">that has correlated positively with general cognitive ability</w:t>
      </w:r>
      <w:r>
        <w:t xml:space="preserve"> </w:t>
      </w:r>
      <w:r>
        <w:t xml:space="preserve">(Grandy, Werkle-Bergner, Chicherio, Lövdén, et al. 2013)</w:t>
      </w:r>
      <w:r>
        <w:t xml:space="preserve">, so a positive association with learning is the direction the</w:t>
      </w:r>
      <w:r>
        <w:t xml:space="preserve"> </w:t>
      </w:r>
      <w:r>
        <w:t xml:space="preserve">cross-sectional literature would suggest. That association did not hold in a larger</w:t>
      </w:r>
      <w:r>
        <w:t xml:space="preserve"> </w:t>
      </w:r>
      <w:r>
        <w:t xml:space="preserve">sample, where the frequency shared variance with processing speed alone</w:t>
      </w:r>
      <w:r>
        <w:t xml:space="preserve"> </w:t>
      </w:r>
      <w:r>
        <w:t xml:space="preserve">(Ociepka et al. 2022)</w:t>
      </w:r>
      <w:r>
        <w:t xml:space="preserve">,</w:t>
      </w:r>
      <w:r>
        <w:t xml:space="preserve"> </w:t>
      </w:r>
      <w:r>
        <w:t xml:space="preserve">and the prior placed on it here is not directional (see</w:t>
      </w:r>
      <w:r>
        <w:t xml:space="preserve"> </w:t>
      </w:r>
      <w:r>
        <w:rPr>
          <w:i/>
          <w:iCs/>
        </w:rPr>
        <w:t xml:space="preserve">Priors</w:t>
      </w:r>
      <w:r>
        <w:t xml:space="preserve">). Baseline</w:t>
      </w:r>
      <w:r>
        <w:t xml:space="preserve"> </w:t>
      </w:r>
      <w:r>
        <w:t xml:space="preserve">oscillatory power has</w:t>
      </w:r>
      <w:r>
        <w:t xml:space="preserve"> </w:t>
      </w:r>
      <w:r>
        <w:t xml:space="preserve">also predicted the rate of adult second-language learning directly, with faster learners</w:t>
      </w:r>
      <w:r>
        <w:t xml:space="preserve"> </w:t>
      </w:r>
      <w:r>
        <w:t xml:space="preserve">distinguished mainly by higher-frequency (beta and low-gamma) rhythms</w:t>
      </w:r>
      <w:r>
        <w:t xml:space="preserve"> </w:t>
      </w:r>
      <w:r>
        <w:t xml:space="preserve">(Prat et al. 2016, 2019)</w:t>
      </w:r>
      <w:r>
        <w:t xml:space="preserve">. In the later of those studies, only the coherence measures survived</w:t>
      </w:r>
      <w:r>
        <w:t xml:space="preserve"> </w:t>
      </w:r>
      <w:r>
        <w:t xml:space="preserve">correction for multiple comparisons, so the band-power precedent rests chiefly on the</w:t>
      </w:r>
      <w:r>
        <w:t xml:space="preserve"> </w:t>
      </w:r>
      <w:r>
        <w:t xml:space="preserve">earlier one and on a 10-participant pilot in older adults, in which resting low-beta</w:t>
      </w:r>
      <w:r>
        <w:t xml:space="preserve"> </w:t>
      </w:r>
      <w:r>
        <w:t xml:space="preserve">power predicted progress relative to the room left for improvement at baseline</w:t>
      </w:r>
      <w:r>
        <w:t xml:space="preserve"> </w:t>
      </w:r>
      <w:r>
        <w:t xml:space="preserve">(Kliesch et al. 2021)</w:t>
      </w:r>
      <w:r>
        <w:t xml:space="preserve">. We therefore enter five canonical bands (delta, theta, alpha, beta,</w:t>
      </w:r>
      <w:r>
        <w:t xml:space="preserve"> </w:t>
      </w:r>
      <w:r>
        <w:t xml:space="preserve">gamma) and the individual alpha frequency as baseline predictors. That precedent</w:t>
      </w:r>
      <w:r>
        <w:t xml:space="preserve"> </w:t>
      </w:r>
      <w:r>
        <w:t xml:space="preserve">implicates higher-frequency bands over right temporoparietal cortex, whereas our</w:t>
      </w:r>
      <w:r>
        <w:t xml:space="preserve"> </w:t>
      </w:r>
      <w:r>
        <w:t xml:space="preserve">reduction is over posterior electrodes, so the bands enter without a directional prior</w:t>
      </w:r>
      <w:r>
        <w:t xml:space="preserve"> </w:t>
      </w:r>
      <w:r>
        <w:t xml:space="preserve">(see</w:t>
      </w:r>
      <w:r>
        <w:t xml:space="preserve"> </w:t>
      </w:r>
      <w:r>
        <w:rPr>
          <w:i/>
          <w:iCs/>
        </w:rPr>
        <w:t xml:space="preserve">Priors</w:t>
      </w:r>
      <w:r>
        <w:t xml:space="preserve">). Although intensive language learning can reshape the underlying neural</w:t>
      </w:r>
      <w:r>
        <w:t xml:space="preserve"> </w:t>
      </w:r>
      <w:r>
        <w:t xml:space="preserve">architecture</w:t>
      </w:r>
      <w:r>
        <w:t xml:space="preserve"> </w:t>
      </w:r>
      <w:r>
        <w:t xml:space="preserve">(Li et al. 2014; Mårtensson et al. 2012)</w:t>
      </w:r>
      <w:r>
        <w:t xml:space="preserve">, the EEG here is measured only at baseline and</w:t>
      </w:r>
      <w:r>
        <w:t xml:space="preserve"> </w:t>
      </w:r>
      <w:r>
        <w:t xml:space="preserve">used to predict subsequent learning.</w:t>
      </w:r>
    </w:p>
    <w:p>
      <w:pPr>
        <w:pStyle w:val="BodyText"/>
      </w:pPr>
      <w:r>
        <w:t xml:space="preserve">Raw band power is, moreover, an ambiguous quantity. It conflates genuine oscillatory</w:t>
      </w:r>
      <w:r>
        <w:t xml:space="preserve"> </w:t>
      </w:r>
      <w:r>
        <w:t xml:space="preserve">activity with the broadband aperiodic (</w:t>
      </w:r>
      <m:oMath>
        <m:r>
          <m:t>1</m:t>
        </m:r>
        <m:r>
          <m:rPr>
            <m:sty m:val="p"/>
          </m:rPr>
          <m:t>/</m:t>
        </m:r>
        <m:r>
          <m:t>f</m:t>
        </m:r>
      </m:oMath>
      <w:r>
        <w:t xml:space="preserve">) background on which the peaks sit, and the</w:t>
      </w:r>
      <w:r>
        <w:t xml:space="preserve"> </w:t>
      </w:r>
      <w:r>
        <w:t xml:space="preserve">two components carry different information</w:t>
      </w:r>
      <w:r>
        <w:t xml:space="preserve"> </w:t>
      </w:r>
      <w:r>
        <w:t xml:space="preserve">(Donoghue et al. 2020)</w:t>
      </w:r>
      <w:r>
        <w:t xml:space="preserve">. The aperiodic exponent has</w:t>
      </w:r>
      <w:r>
        <w:t xml:space="preserve"> </w:t>
      </w:r>
      <w:r>
        <w:t xml:space="preserve">been proposed as a non-invasive proxy for cortical excitation–inhibition balance</w:t>
      </w:r>
      <w:r>
        <w:t xml:space="preserve"> </w:t>
      </w:r>
      <w:r>
        <w:t xml:space="preserve">(Gao et al. 2017)</w:t>
      </w:r>
      <w:r>
        <w:t xml:space="preserve">, varies systematically across individuals and with age</w:t>
      </w:r>
      <w:r>
        <w:t xml:space="preserve"> </w:t>
      </w:r>
      <w:r>
        <w:t xml:space="preserve">(Voytek et al. 2015)</w:t>
      </w:r>
      <w:r>
        <w:t xml:space="preserve">, and can</w:t>
      </w:r>
      <w:r>
        <w:t xml:space="preserve"> </w:t>
      </w:r>
      <w:r>
        <w:t xml:space="preserve">drive associations that appear on the surface to belong to band power</w:t>
      </w:r>
      <w:r>
        <w:t xml:space="preserve"> </w:t>
      </w:r>
      <w:r>
        <w:t xml:space="preserve">(Ouyang et al. 2020)</w:t>
      </w:r>
      <w:r>
        <w:t xml:space="preserve">.</w:t>
      </w:r>
      <w:r>
        <w:t xml:space="preserve"> </w:t>
      </w:r>
      <w:r>
        <w:t xml:space="preserve">Separating the two components therefore gives a test that can fail in either direction.</w:t>
      </w:r>
      <w:r>
        <w:t xml:space="preserve"> </w:t>
      </w:r>
      <w:r>
        <w:t xml:space="preserve">An apparent band-power association should survive it, and an association carried by the</w:t>
      </w:r>
      <w:r>
        <w:t xml:space="preserve"> </w:t>
      </w:r>
      <w:r>
        <w:t xml:space="preserve">aperiodic background should appear only once it is made. We run both.</w:t>
      </w:r>
    </w:p>
    <w:p>
      <w:pPr>
        <w:pStyle w:val="BodyText"/>
      </w:pPr>
      <w:r>
        <w:t xml:space="preserve">A question cuts across all three families: whether an aptitude expresses itself in how</w:t>
      </w:r>
      <w:r>
        <w:t xml:space="preserve"> </w:t>
      </w:r>
      <w:r>
        <w:t xml:space="preserve">fast learners improve or in the level they reach. Most individual-difference studies</w:t>
      </w:r>
      <w:r>
        <w:t xml:space="preserve"> </w:t>
      </w:r>
      <w:r>
        <w:t xml:space="preserve">index learning by a per-learner slope estimated in a first stage, a design that treats an</w:t>
      </w:r>
      <w:r>
        <w:t xml:space="preserve"> </w:t>
      </w:r>
      <w:r>
        <w:t xml:space="preserve">error-laden slope as an error-free quantity (see</w:t>
      </w:r>
      <w:r>
        <w:t xml:space="preserve"> </w:t>
      </w:r>
      <w:r>
        <w:rPr>
          <w:i/>
          <w:iCs/>
        </w:rPr>
        <w:t xml:space="preserve">Learning outcome and model structure</w:t>
      </w:r>
      <w:r>
        <w:t xml:space="preserve">).</w:t>
      </w:r>
      <w:r>
        <w:t xml:space="preserve"> </w:t>
      </w:r>
      <w:r>
        <w:t xml:space="preserve">We therefore model rate and level jointly at trial level and ask which of the two the</w:t>
      </w:r>
      <w:r>
        <w:t xml:space="preserve"> </w:t>
      </w:r>
      <w:r>
        <w:t xml:space="preserve">predictors act on.</w:t>
      </w:r>
    </w:p>
    <w:p>
      <w:pPr>
        <w:pStyle w:val="BodyText"/>
      </w:pPr>
      <w:r>
        <w:t xml:space="preserve">This study brings these strands together in a controlled, longitudinal</w:t>
      </w:r>
      <w:r>
        <w:t xml:space="preserve"> </w:t>
      </w:r>
      <w:r>
        <w:t xml:space="preserve">artificial-language paradigm. Norwegian–English bilinguals learn one of two miniature</w:t>
      </w:r>
      <w:r>
        <w:t xml:space="preserve"> </w:t>
      </w:r>
      <w:r>
        <w:t xml:space="preserve">languages across a series of laboratory sessions. At baseline, we measure working</w:t>
      </w:r>
      <w:r>
        <w:t xml:space="preserve"> </w:t>
      </w:r>
      <w:r>
        <w:t xml:space="preserve">memory, inhibitory control, statistical learning and resting-state EEG, and across the</w:t>
      </w:r>
      <w:r>
        <w:t xml:space="preserve"> </w:t>
      </w:r>
      <w:r>
        <w:t xml:space="preserve">training sessions we track the developing accuracy of grammaticality judgements. Designs</w:t>
      </w:r>
      <w:r>
        <w:t xml:space="preserve"> </w:t>
      </w:r>
      <w:r>
        <w:t xml:space="preserve">that predict a controlled training outcome from a baseline neural</w:t>
      </w:r>
      <w:r>
        <w:t xml:space="preserve"> </w:t>
      </w:r>
      <w:r>
        <w:t xml:space="preserve">recording remain uncommon, and the longitudinal precedents</w:t>
      </w:r>
      <w:r>
        <w:t xml:space="preserve"> </w:t>
      </w:r>
      <w:r>
        <w:t xml:space="preserve">(Prat et al. 2016, 2019, 2020; Kliesch et al. 2021, 2022)</w:t>
      </w:r>
      <w:r>
        <w:t xml:space="preserve"> </w:t>
      </w:r>
      <w:r>
        <w:t xml:space="preserve">indexed learning by a derived rate or gain score.</w:t>
      </w:r>
      <w:r>
        <w:t xml:space="preserve"> </w:t>
      </w:r>
      <w:r>
        <w:t xml:space="preserve">The present study models the full trial-level trajectory jointly, separating the level</w:t>
      </w:r>
      <w:r>
        <w:t xml:space="preserve"> </w:t>
      </w:r>
      <w:r>
        <w:t xml:space="preserve">reached from the rate of change and quantifying the reliability of each, and it asks the</w:t>
      </w:r>
      <w:r>
        <w:t xml:space="preserve"> </w:t>
      </w:r>
      <w:r>
        <w:t xml:space="preserve">neural question of both the raw band powers and their aperiodic-adjusted decomposition,</w:t>
      </w:r>
      <w:r>
        <w:t xml:space="preserve"> </w:t>
      </w:r>
      <w:r>
        <w:t xml:space="preserve">so that which characterisation of the resting spectrum the data prefer is itself an</w:t>
      </w:r>
      <w:r>
        <w:t xml:space="preserve"> </w:t>
      </w:r>
      <w:r>
        <w:t xml:space="preserve">empirical question.</w:t>
      </w:r>
    </w:p>
    <w:p>
      <w:pPr>
        <w:pStyle w:val="BodyText"/>
      </w:pPr>
      <w:r>
        <w:t xml:space="preserve">Two questions follow. Part A asks whether the baseline cognitive and neural</w:t>
      </w:r>
      <w:r>
        <w:t xml:space="preserve"> </w:t>
      </w:r>
      <w:r>
        <w:t xml:space="preserve">measures predict the rate and attainment of learning. Part B asks whether executive</w:t>
      </w:r>
      <w:r>
        <w:t xml:space="preserve"> </w:t>
      </w:r>
      <w:r>
        <w:t xml:space="preserve">function changes between the first and fifth sessions, and whether any change is confined</w:t>
      </w:r>
      <w:r>
        <w:t xml:space="preserve"> </w:t>
      </w:r>
      <w:r>
        <w:t xml:space="preserve">to one index or broad across the battery. Part A bears on a question that recurs in the</w:t>
      </w:r>
      <w:r>
        <w:t xml:space="preserve"> </w:t>
      </w:r>
      <w:r>
        <w:t xml:space="preserve">individual-differences literature</w:t>
      </w:r>
      <w:r>
        <w:t xml:space="preserve"> </w:t>
      </w:r>
      <w:r>
        <w:t xml:space="preserve">(Linck et al. 2014; Li 2015)</w:t>
      </w:r>
      <w:r>
        <w:t xml:space="preserve">: whether success in adult</w:t>
      </w:r>
      <w:r>
        <w:t xml:space="preserve"> </w:t>
      </w:r>
      <w:r>
        <w:t xml:space="preserve">grammar learning reflects a broad cognitive advantage or a single capacity. Because no</w:t>
      </w:r>
      <w:r>
        <w:t xml:space="preserve"> </w:t>
      </w:r>
      <w:r>
        <w:t xml:space="preserve">language-specific aptitude test was administered, the contrast drawn here is between one</w:t>
      </w:r>
      <w:r>
        <w:t xml:space="preserve"> </w:t>
      </w:r>
      <w:r>
        <w:t xml:space="preserve">domain-general capacity and several (see</w:t>
      </w:r>
      <w:r>
        <w:t xml:space="preserve"> </w:t>
      </w:r>
      <w:r>
        <w:rPr>
          <w:i/>
          <w:iCs/>
        </w:rPr>
        <w:t xml:space="preserve">Limitations and future directions</w:t>
      </w:r>
      <w:r>
        <w:t xml:space="preserve">). A broad</w:t>
      </w:r>
      <w:r>
        <w:t xml:space="preserve"> </w:t>
      </w:r>
      <w:r>
        <w:t xml:space="preserve">advantage should be evident across a battery of cognitive and neural measures assessed</w:t>
      </w:r>
      <w:r>
        <w:t xml:space="preserve"> </w:t>
      </w:r>
      <w:r>
        <w:t xml:space="preserve">and modelled identically. A single capacity would leave one predictor associated with</w:t>
      </w:r>
      <w:r>
        <w:t xml:space="preserve"> </w:t>
      </w:r>
      <w:r>
        <w:t xml:space="preserve">overall accuracy and its co-measured companions unrelated to it. Which memory or control</w:t>
      </w:r>
      <w:r>
        <w:t xml:space="preserve"> </w:t>
      </w:r>
      <w:r>
        <w:t xml:space="preserve">ability predicts grammar learning has been found to depend on the stage of learning, in</w:t>
      </w:r>
      <w:r>
        <w:t xml:space="preserve"> </w:t>
      </w:r>
      <w:r>
        <w:t xml:space="preserve">an artificial language</w:t>
      </w:r>
      <w:r>
        <w:t xml:space="preserve"> </w:t>
      </w:r>
      <w:r>
        <w:t xml:space="preserve">(Morgan-Short et al. 2014)</w:t>
      </w:r>
      <w:r>
        <w:t xml:space="preserve">, and on the learning condition and the</w:t>
      </w:r>
      <w:r>
        <w:t xml:space="preserve"> </w:t>
      </w:r>
      <w:r>
        <w:t xml:space="preserve">difficulty of the rule, in second-language grammar</w:t>
      </w:r>
      <w:r>
        <w:t xml:space="preserve"> </w:t>
      </w:r>
      <w:r>
        <w:t xml:space="preserve">(Rivera et al. 2023)</w:t>
      </w:r>
      <w:r>
        <w:t xml:space="preserve">. The question is</w:t>
      </w:r>
      <w:r>
        <w:t xml:space="preserve"> </w:t>
      </w:r>
      <w:r>
        <w:t xml:space="preserve">therefore put here to a battery assessed once at baseline and modelled across the whole</w:t>
      </w:r>
      <w:r>
        <w:t xml:space="preserve"> </w:t>
      </w:r>
      <w:r>
        <w:t xml:space="preserve">trajectory, and the two accounts are separable to the extent that every predictor enters</w:t>
      </w:r>
      <w:r>
        <w:t xml:space="preserve"> </w:t>
      </w:r>
      <w:r>
        <w:t xml:space="preserve">the same joint model under priors of comparable scale, subject to the reliability of each</w:t>
      </w:r>
      <w:r>
        <w:t xml:space="preserve"> </w:t>
      </w:r>
      <w:r>
        <w:t xml:space="preserve">measure (see</w:t>
      </w:r>
      <w:r>
        <w:t xml:space="preserve"> </w:t>
      </w:r>
      <w:r>
        <w:rPr>
          <w:i/>
          <w:iCs/>
        </w:rPr>
        <w:t xml:space="preserve">Limitations and future directions</w:t>
      </w:r>
      <w:r>
        <w:t xml:space="preserve">). Part B has a stake of its own. Whether cognitive capacities improve with demanding training is contested. Apparent</w:t>
      </w:r>
      <w:r>
        <w:t xml:space="preserve"> </w:t>
      </w:r>
      <w:r>
        <w:t xml:space="preserve">gains often turn out to reflect retest artefacts and expectancy</w:t>
      </w:r>
      <w:r>
        <w:t xml:space="preserve"> </w:t>
      </w:r>
      <w:r>
        <w:t xml:space="preserve">(Boot et al. 2013; Simons et al. 2016)</w:t>
      </w:r>
      <w:r>
        <w:t xml:space="preserve">,</w:t>
      </w:r>
      <w:r>
        <w:t xml:space="preserve"> </w:t>
      </w:r>
      <w:r>
        <w:t xml:space="preserve">and for language learning specifically an 11-week randomised trial in older adults</w:t>
      </w:r>
      <w:r>
        <w:t xml:space="preserve"> </w:t>
      </w:r>
      <w:r>
        <w:t xml:space="preserve">found no gain in working memory, memory or intelligence over a relaxation control</w:t>
      </w:r>
      <w:r>
        <w:t xml:space="preserve"> </w:t>
      </w:r>
      <w:r>
        <w:t xml:space="preserve">(Berggren et al. 2020)</w:t>
      </w:r>
      <w:r>
        <w:t xml:space="preserve">. The three indices, administered together at both sessions, are used as</w:t>
      </w:r>
      <w:r>
        <w:t xml:space="preserve"> </w:t>
      </w:r>
      <w:r>
        <w:t xml:space="preserve">internal controls on one another, because generic retest and expectancy effects act</w:t>
      </w:r>
      <w:r>
        <w:t xml:space="preserve"> </w:t>
      </w:r>
      <w:r>
        <w:t xml:space="preserve">broadly across a battery.</w:t>
      </w:r>
    </w:p>
    <w:bookmarkStart w:id="31" w:name="method"/>
    <w:p>
      <w:pPr>
        <w:pStyle w:val="Heading1"/>
      </w:pPr>
      <w:r>
        <w:t xml:space="preserve">Method</w:t>
      </w:r>
    </w:p>
    <w:bookmarkStart w:id="13" w:name="participants"/>
    <w:p>
      <w:pPr>
        <w:pStyle w:val="Heading2"/>
      </w:pPr>
      <w:r>
        <w:t xml:space="preserve">Participants</w:t>
      </w:r>
    </w:p>
    <w:p>
      <w:pPr>
        <w:pStyle w:val="FirstParagraph"/>
      </w:pPr>
      <w:r>
        <w:t xml:space="preserve">The participants are those of the companion study</w:t>
      </w:r>
      <w:r>
        <w:t xml:space="preserve"> </w:t>
      </w:r>
      <w:r>
        <w:t xml:space="preserve">(Bernabeu et al. 2026)</w:t>
      </w:r>
      <w:r>
        <w:t xml:space="preserve">, drawn from the</w:t>
      </w:r>
      <w:r>
        <w:t xml:space="preserve"> </w:t>
      </w:r>
      <w:r>
        <w:t xml:space="preserve">longitudinal artificial-language project reported by</w:t>
      </w:r>
      <w:r>
        <w:t xml:space="preserve"> </w:t>
      </w:r>
      <w:r>
        <w:t xml:space="preserve">González Alonso et al. (2025)</w:t>
      </w:r>
      <w:r>
        <w:t xml:space="preserve">:</w:t>
      </w:r>
      <w:r>
        <w:t xml:space="preserve"> </w:t>
      </w:r>
      <w:r>
        <w:t xml:space="preserve">Norwegian–English bilinguals (first language Norwegian, second language English) who</w:t>
      </w:r>
      <w:r>
        <w:t xml:space="preserve"> </w:t>
      </w:r>
      <w:r>
        <w:t xml:space="preserve">learned one of two miniature languages. At the Norwegian site, odd-numbered participant</w:t>
      </w:r>
      <w:r>
        <w:t xml:space="preserve"> </w:t>
      </w:r>
      <w:r>
        <w:t xml:space="preserve">identifiers were assigned to Mini-English and even-numbered identifiers to</w:t>
      </w:r>
      <w:r>
        <w:t xml:space="preserve"> </w:t>
      </w:r>
      <w:r>
        <w:t xml:space="preserve">Mini-Norwegian; this was a deterministic allocation rather than a random assignment.</w:t>
      </w:r>
      <w:r>
        <w:t xml:space="preserve"> </w:t>
      </w:r>
      <w:r>
        <w:t xml:space="preserve">The six-session protocol comprised an approximately 1.5-hour home baseline (Session 1),</w:t>
      </w:r>
      <w:r>
        <w:t xml:space="preserve"> </w:t>
      </w:r>
      <w:r>
        <w:t xml:space="preserve">laboratory sessions of approximately 2.5 hours (Session 2), 2.5 hours (Session 3), and</w:t>
      </w:r>
      <w:r>
        <w:t xml:space="preserve"> </w:t>
      </w:r>
      <w:r>
        <w:t xml:space="preserve">3 hours (Session 4), a 1-hour home retest (Session 5), and a 2.5-hour laboratory</w:t>
      </w:r>
      <w:r>
        <w:t xml:space="preserve"> </w:t>
      </w:r>
      <w:r>
        <w:t xml:space="preserve">retention session (Session 6). One participant was aged 16 at enrolment according to the language-history questionnaire, and all others were adults.</w:t>
      </w:r>
      <w:r>
        <w:t xml:space="preserve"> </w:t>
      </w:r>
      <w:r>
        <w:t xml:space="preserve">Of the 65 enrolled, 64</w:t>
      </w:r>
      <w:r>
        <w:t xml:space="preserve"> </w:t>
      </w:r>
      <w:r>
        <w:t xml:space="preserve">contributed grammaticality-judgement trajectories</w:t>
      </w:r>
      <w:r>
        <w:t xml:space="preserve"> </w:t>
      </w:r>
      <w:r>
        <w:t xml:space="preserve">(33 Mini-English,</w:t>
      </w:r>
      <w:r>
        <w:t xml:space="preserve"> </w:t>
      </w:r>
      <w:r>
        <w:t xml:space="preserve">31 Mini-Norwegian) and</w:t>
      </w:r>
      <w:r>
        <w:t xml:space="preserve"> </w:t>
      </w:r>
      <w:r>
        <w:t xml:space="preserve">63 a baseline cognitive battery. Of these,</w:t>
      </w:r>
      <w:r>
        <w:t xml:space="preserve"> </w:t>
      </w:r>
      <w:r>
        <w:t xml:space="preserve">62 had both measures and were therefore candidates for the</w:t>
      </w:r>
      <w:r>
        <w:t xml:space="preserve"> </w:t>
      </w:r>
      <w:r>
        <w:t xml:space="preserve">joint predictor model, and 57 also had usable baseline</w:t>
      </w:r>
      <w:r>
        <w:t xml:space="preserve"> </w:t>
      </w:r>
      <w:r>
        <w:t xml:space="preserve">resting-state EEG. Because the</w:t>
      </w:r>
      <w:r>
        <w:t xml:space="preserve"> </w:t>
      </w:r>
      <w:r>
        <w:t xml:space="preserve">joint model requires complete data on every predictor, the fitted raw-band model</w:t>
      </w:r>
      <w:r>
        <w:t xml:space="preserve"> </w:t>
      </w:r>
      <w:r>
        <w:t xml:space="preserve">comprises 56 of those participants. The difference is one</w:t>
      </w:r>
      <w:r>
        <w:t xml:space="preserve"> </w:t>
      </w:r>
      <w:r>
        <w:t xml:space="preserve">participant with usable resting-state EEG and no baseline Stroop score, whom listwise</w:t>
      </w:r>
      <w:r>
        <w:t xml:space="preserve"> </w:t>
      </w:r>
      <w:r>
        <w:t xml:space="preserve">deletion removes. The aperiodic variant</w:t>
      </w:r>
      <w:r>
        <w:t xml:space="preserve"> </w:t>
      </w:r>
      <w:r>
        <w:t xml:space="preserve">described below comprises 50 participants, the subset for which</w:t>
      </w:r>
      <w:r>
        <w:t xml:space="preserve"> </w:t>
      </w:r>
      <w:r>
        <w:t xml:space="preserve">the specparam re-parameterisation is defined. That decomposition returns no individual</w:t>
      </w:r>
      <w:r>
        <w:t xml:space="preserve"> </w:t>
      </w:r>
      <w:r>
        <w:t xml:space="preserve">alpha frequency for a spectrum in which it fits no alpha peak, and listwise deletion then</w:t>
      </w:r>
      <w:r>
        <w:t xml:space="preserve"> </w:t>
      </w:r>
      <w:r>
        <w:t xml:space="preserve">removes those participants too. This loss is therefore not independent of the alpha</w:t>
      </w:r>
      <w:r>
        <w:t xml:space="preserve"> </w:t>
      </w:r>
      <w:r>
        <w:t xml:space="preserve">measures themselves. The Session-1-versus-5 pre/post models of</w:t>
      </w:r>
      <w:r>
        <w:t xml:space="preserve"> </w:t>
      </w:r>
      <w:r>
        <w:t xml:space="preserve">executive function use all participants contributing data at either session</w:t>
      </w:r>
      <w:r>
        <w:t xml:space="preserve"> </w:t>
      </w:r>
      <w:r>
        <w:t xml:space="preserve">(63 at Session 1 and 54 at Session 5 for digit span, 62 and 54 for Stroop interference, and 63 and 54 for statistical learning), with the session effect estimated within participants through</w:t>
      </w:r>
      <w:r>
        <w:t xml:space="preserve"> </w:t>
      </w:r>
      <w:r>
        <w:t xml:space="preserve">the by-participant intercept. Participants tested only once inform the intercept but</w:t>
      </w:r>
      <w:r>
        <w:t xml:space="preserve"> </w:t>
      </w:r>
      <w:r>
        <w:t xml:space="preserve">contribute no within-participant change.</w:t>
      </w:r>
      <w:r>
        <w:t xml:space="preserve"> </w:t>
      </w:r>
      <w:hyperlink w:anchor="fig-flow">
        <w:r>
          <w:rPr>
            <w:rStyle w:val="Hyperlink"/>
          </w:rPr>
          <w:t xml:space="preserve">Figure 1</w:t>
        </w:r>
      </w:hyperlink>
      <w:r>
        <w:t xml:space="preserve"> </w:t>
      </w:r>
      <w:r>
        <w:t xml:space="preserve">traces</w:t>
      </w:r>
      <w:r>
        <w:t xml:space="preserve"> </w:t>
      </w:r>
      <w:r>
        <w:t xml:space="preserve">attendance and the resulting analysis samples across the six sessions.</w:t>
      </w:r>
    </w:p>
    <w:p>
      <w:pPr>
        <w:pStyle w:val="BodyText"/>
      </w:pPr>
      <w:r>
        <w:t xml:space="preserve">Of the</w:t>
      </w:r>
      <w:r>
        <w:t xml:space="preserve"> </w:t>
      </w:r>
      <w:r>
        <w:t xml:space="preserve">64 participants with a Language History Questionnaire record</w:t>
      </w:r>
      <w:r>
        <w:t xml:space="preserve"> </w:t>
      </w:r>
      <w:r>
        <w:t xml:space="preserve">[LHQ3;</w:t>
      </w:r>
      <w:r>
        <w:t xml:space="preserve"> </w:t>
      </w:r>
      <w:r>
        <w:t xml:space="preserve">Li et al. (2020)</w:t>
      </w:r>
      <w:r>
        <w:t xml:space="preserve">], the mean age was 25.7 years</w:t>
      </w:r>
      <w:r>
        <w:t xml:space="preserve"> </w:t>
      </w:r>
      <w:r>
        <w:t xml:space="preserve">(</w:t>
      </w:r>
      <m:oMath>
        <m:r>
          <m:t>S</m:t>
        </m:r>
        <m:r>
          <m:t>D</m:t>
        </m:r>
        <m:r>
          <m:rPr>
            <m:sty m:val="p"/>
          </m:rPr>
          <m:t>=</m:t>
        </m:r>
        <m:r>
          <m:t>7.4</m:t>
        </m:r>
      </m:oMath>
      <w:r>
        <w:t xml:space="preserve">, range 16–54).</w:t>
      </w:r>
      <w:r>
        <w:t xml:space="preserve"> </w:t>
      </w:r>
      <w:r>
        <w:t xml:space="preserve">Of that group, 40 were female,</w:t>
      </w:r>
      <w:r>
        <w:t xml:space="preserve"> </w:t>
      </w:r>
      <w:r>
        <w:t xml:space="preserve">21 male and</w:t>
      </w:r>
      <w:r>
        <w:t xml:space="preserve"> </w:t>
      </w:r>
      <w:r>
        <w:t xml:space="preserve">1 non-binary, and 2</w:t>
      </w:r>
      <w:r>
        <w:t xml:space="preserve"> </w:t>
      </w:r>
      <w:r>
        <w:t xml:space="preserve">did not disclose their gender. Most were right-handed</w:t>
      </w:r>
      <w:r>
        <w:t xml:space="preserve"> </w:t>
      </w:r>
      <w:r>
        <w:t xml:space="preserve">(60 of 63 who</w:t>
      </w:r>
      <w:r>
        <w:t xml:space="preserve"> </w:t>
      </w:r>
      <w:r>
        <w:t xml:space="preserve">reported handedness). English had been acquired early (age of first exposure</w:t>
      </w:r>
      <w:r>
        <w:t xml:space="preserve"> </w:t>
      </w:r>
      <m:oMath>
        <m:r>
          <m:t>M</m:t>
        </m:r>
        <m:r>
          <m:rPr>
            <m:sty m:val="p"/>
          </m:rPr>
          <m:t>=</m:t>
        </m:r>
        <m:r>
          <m:t>6.8</m:t>
        </m:r>
      </m:oMath>
      <w:r>
        <w:t xml:space="preserve"> </w:t>
      </w:r>
      <w:r>
        <w:t xml:space="preserve">years) and used for many years, with high self-rated</w:t>
      </w:r>
      <w:r>
        <w:t xml:space="preserve"> </w:t>
      </w:r>
      <w:r>
        <w:t xml:space="preserve">proficiency (</w:t>
      </w:r>
      <m:oMath>
        <m:r>
          <m:t>M</m:t>
        </m:r>
        <m:r>
          <m:rPr>
            <m:sty m:val="p"/>
          </m:rPr>
          <m:t>=</m:t>
        </m:r>
        <m:r>
          <m:t>0.82</m:t>
        </m:r>
      </m:oMath>
      <w:r>
        <w:t xml:space="preserve"> </w:t>
      </w:r>
      <w:r>
        <w:t xml:space="preserve">on a 0–1 scale). The project</w:t>
      </w:r>
      <w:r>
        <w:t xml:space="preserve"> </w:t>
      </w:r>
      <w:r>
        <w:t xml:space="preserve">was registered with the Norwegian Agency for Shared Services in Education and Research</w:t>
      </w:r>
      <w:r>
        <w:t xml:space="preserve"> </w:t>
      </w:r>
      <w:r>
        <w:t xml:space="preserve">(Sikt; project 2559611). The approving ethics committee, approval date, and reference</w:t>
      </w:r>
      <w:r>
        <w:t xml:space="preserve"> </w:t>
      </w:r>
      <w:r>
        <w:t xml:space="preserve">number are TBC. All participants gave written informed consent. The 16-year-old</w:t>
      </w:r>
      <w:r>
        <w:t xml:space="preserve"> </w:t>
      </w:r>
      <w:r>
        <w:t xml:space="preserve">participant was covered by the study’s self-consent procedure. Participants were</w:t>
      </w:r>
      <w:r>
        <w:t xml:space="preserve"> </w:t>
      </w:r>
      <w:r>
        <w:t xml:space="preserve">compensated with shopping vouchers worth NOK 250 per hour of participation, pro rata,</w:t>
      </w:r>
      <w:r>
        <w:t xml:space="preserve"> </w:t>
      </w:r>
      <w:r>
        <w:t xml:space="preserve">and received an additional NOK 400 completion bonus after the sixth and final session.</w:t>
      </w:r>
      <w:r>
        <w:t xml:space="preserve"> </w:t>
      </w:r>
      <w:r>
        <w:t xml:space="preserve">The authors assert that all</w:t>
      </w:r>
      <w:r>
        <w:t xml:space="preserve"> </w:t>
      </w:r>
      <w:r>
        <w:t xml:space="preserve">procedures contributing to this work comply with the ethical standards of the relevant</w:t>
      </w:r>
      <w:r>
        <w:t xml:space="preserve"> </w:t>
      </w:r>
      <w:r>
        <w:t xml:space="preserve">national and institutional committees on human experimentation and with the Helsinki</w:t>
      </w:r>
      <w:r>
        <w:t xml:space="preserve"> </w:t>
      </w:r>
      <w:r>
        <w:t xml:space="preserve">Declaration of 1975, as revised in 2008.</w:t>
      </w:r>
    </w:p>
    <w:tbl>
      <w:tblPr>
        <w:tblStyle w:val="Table"/>
        <w:tblW w:type="pct" w:w="5000"/>
        <w:tblLayout w:type="fixed"/>
        <w:tblLook w:firstRow="0" w:lastRow="0" w:firstColumn="0" w:lastColumn="0" w:noHBand="0" w:noVBand="0" w:val="0000"/>
      </w:tblPr>
      <w:tblGrid>
        <w:gridCol w:w="7920"/>
      </w:tblGrid>
      <w:tr>
        <w:tc>
          <w:tcPr/>
          <w:bookmarkStart w:id="12" w:name="fig-flow"/>
          <w:p>
            <w:pPr>
              <w:pStyle w:val="Compact"/>
              <w:jc w:val="center"/>
            </w:pPr>
            <w:r>
              <w:drawing>
                <wp:inline>
                  <wp:extent cx="5334000" cy="4427903"/>
                  <wp:effectExtent b="0" l="0" r="0" t="0"/>
                  <wp:docPr descr="" title="" id="10" name="Picture"/>
                  <a:graphic>
                    <a:graphicData uri="http://schemas.openxmlformats.org/drawingml/2006/picture">
                      <pic:pic>
                        <pic:nvPicPr>
                          <pic:cNvPr descr="paper_2_neuroplasticity_files/figure-docx/fig-flow-1.png" id="11" name="Picture"/>
                          <pic:cNvPicPr>
                            <a:picLocks noChangeArrowheads="1" noChangeAspect="1"/>
                          </pic:cNvPicPr>
                        </pic:nvPicPr>
                        <pic:blipFill>
                          <a:blip r:embed="rId9"/>
                          <a:stretch>
                            <a:fillRect/>
                          </a:stretch>
                        </pic:blipFill>
                        <pic:spPr bwMode="auto">
                          <a:xfrm>
                            <a:off x="0" y="0"/>
                            <a:ext cx="5334000" cy="44279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Participant Flow</w:t>
            </w:r>
          </w:p>
          <w:bookmarkEnd w:id="12"/>
        </w:tc>
      </w:tr>
    </w:tbl>
    <w:bookmarkEnd w:id="13"/>
    <w:bookmarkStart w:id="22" w:name="cognitive-and-neural-indices"/>
    <w:p>
      <w:pPr>
        <w:pStyle w:val="Heading2"/>
      </w:pPr>
      <w:r>
        <w:t xml:space="preserve">Cognitive and neural indices</w:t>
      </w:r>
    </w:p>
    <w:p>
      <w:pPr>
        <w:pStyle w:val="FirstParagraph"/>
      </w:pPr>
      <w:r>
        <w:t xml:space="preserve">The cognitive battery was administered at Sessions 1 (baseline) and 5 (post) as</w:t>
      </w:r>
      <w:r>
        <w:t xml:space="preserve"> </w:t>
      </w:r>
      <w:r>
        <w:t xml:space="preserve">browser-based tasks on the Gorilla experiment platform</w:t>
      </w:r>
      <w:r>
        <w:t xml:space="preserve"> </w:t>
      </w:r>
      <w:r>
        <w:t xml:space="preserve">(Anwyl-Irvine et al. 2020)</w:t>
      </w:r>
      <w:r>
        <w:t xml:space="preserve">, and records</w:t>
      </w:r>
      <w:r>
        <w:t xml:space="preserve"> </w:t>
      </w:r>
      <w:r>
        <w:t xml:space="preserve">from individuals who completed the battery without enrolling were excluded at extraction,</w:t>
      </w:r>
      <w:r>
        <w:t xml:space="preserve"> </w:t>
      </w:r>
      <w:r>
        <w:t xml:space="preserve">having no consent linkage to the participant key. The three tasks were administered in a</w:t>
      </w:r>
      <w:r>
        <w:t xml:space="preserve"> </w:t>
      </w:r>
      <w:r>
        <w:t xml:space="preserve">counterbalanced order across participants. Working memory was measured by digit</w:t>
      </w:r>
      <w:r>
        <w:t xml:space="preserve"> </w:t>
      </w:r>
      <w:r>
        <w:t xml:space="preserve">span (forward and backward, list lengths 3–8 with four items each,</w:t>
      </w:r>
      <w:r>
        <w:t xml:space="preserve"> </w:t>
      </w:r>
      <w:r>
        <w:t xml:space="preserve">48 scored trials, the index being the number</w:t>
      </w:r>
      <w:r>
        <w:t xml:space="preserve"> </w:t>
      </w:r>
      <w:r>
        <w:t xml:space="preserve">correct). Inhibitory control was measured by a four-colour Stroop task</w:t>
      </w:r>
      <w:r>
        <w:t xml:space="preserve"> </w:t>
      </w:r>
      <w:r>
        <w:t xml:space="preserve">(Stroop 1935)</w:t>
      </w:r>
      <w:r>
        <w:t xml:space="preserve"> </w:t>
      </w:r>
      <w:r>
        <w:t xml:space="preserve">(100 test trials,</w:t>
      </w:r>
      <w:r>
        <w:t xml:space="preserve"> </w:t>
      </w:r>
      <w:r>
        <w:t xml:space="preserve">50 of them congruent, the index being the</w:t>
      </w:r>
      <w:r>
        <w:t xml:space="preserve"> </w:t>
      </w:r>
      <w:r>
        <w:t xml:space="preserve">incongruent-minus-congruent mean reaction time, so that higher scores index poorer</w:t>
      </w:r>
      <w:r>
        <w:t xml:space="preserve"> </w:t>
      </w:r>
      <w:r>
        <w:t xml:space="preserve">inhibitory control). Statistical learning was</w:t>
      </w:r>
      <w:r>
        <w:t xml:space="preserve"> </w:t>
      </w:r>
      <w:r>
        <w:t xml:space="preserve">measured by an alternating serial reaction-time (ASRT) task</w:t>
      </w:r>
      <w:r>
        <w:t xml:space="preserve"> </w:t>
      </w:r>
      <w:r>
        <w:t xml:space="preserve">(Howard and Howard 1997)</w:t>
      </w:r>
      <w:r>
        <w:t xml:space="preserve">, the</w:t>
      </w:r>
      <w:r>
        <w:t xml:space="preserve"> </w:t>
      </w:r>
      <w:r>
        <w:t xml:space="preserve">alternating-sequence variant of the serial reaction-time paradigm</w:t>
      </w:r>
      <w:r>
        <w:t xml:space="preserve"> </w:t>
      </w:r>
      <w:r>
        <w:t xml:space="preserve">(Nissen and Bullemer 1987)</w:t>
      </w:r>
      <w:r>
        <w:t xml:space="preserve">, of</w:t>
      </w:r>
      <w:r>
        <w:t xml:space="preserve"> </w:t>
      </w:r>
      <w:r>
        <w:t xml:space="preserve">25 blocks of 85</w:t>
      </w:r>
      <w:r>
        <w:t xml:space="preserve"> </w:t>
      </w:r>
      <w:r>
        <w:t xml:space="preserve">trials in which pattern and random trials alternate. The index is the</w:t>
      </w:r>
      <w:r>
        <w:t xml:space="preserve"> </w:t>
      </w:r>
      <w:r>
        <w:t xml:space="preserve">low-minus-high-probability-triplet mean reaction-time difference, with higher scores</w:t>
      </w:r>
      <w:r>
        <w:t xml:space="preserve"> </w:t>
      </w:r>
      <w:r>
        <w:t xml:space="preserve">indexing stronger learning. Reaction times were trimmed to 50–5000 ms and within-cell</w:t>
      </w:r>
      <w:r>
        <w:t xml:space="preserve"> </w:t>
      </w:r>
      <w:r>
        <w:t xml:space="preserve">outliers beyond three standard deviations were removed, with both indices averaged over</w:t>
      </w:r>
      <w:r>
        <w:t xml:space="preserve"> </w:t>
      </w:r>
      <w:r>
        <w:t xml:space="preserve">correct and incorrect responses alike. The Stroop index includes the practice block,</w:t>
      </w:r>
      <w:r>
        <w:t xml:space="preserve"> </w:t>
      </w:r>
      <w:r>
        <w:t xml:space="preserve">which the export records in the same response zone as the test trials and which no</w:t>
      </w:r>
      <w:r>
        <w:t xml:space="preserve"> </w:t>
      </w:r>
      <w:r>
        <w:t xml:space="preserve">filter removes at extraction. The trimming cells and the minimum trial counts are given</w:t>
      </w:r>
      <w:r>
        <w:t xml:space="preserve"> </w:t>
      </w:r>
      <w:r>
        <w:t xml:space="preserve">in the online supplementary material (Section S1).</w:t>
      </w:r>
    </w:p>
    <w:p>
      <w:pPr>
        <w:pStyle w:val="BodyText"/>
      </w:pPr>
      <w:r>
        <w:t xml:space="preserve">Resting-state EEG (rs-EEG) was recorded once, at Session 2, with a 32-channel Brain</w:t>
      </w:r>
      <w:r>
        <w:t xml:space="preserve"> </w:t>
      </w:r>
      <w:r>
        <w:t xml:space="preserve">Products LiveAmp (500 Hz) in separate eyes-closed and eyes-open recordings of about five</w:t>
      </w:r>
      <w:r>
        <w:t xml:space="preserve"> </w:t>
      </w:r>
      <w:r>
        <w:t xml:space="preserve">minutes each, whose order was counterbalanced between participants. Preprocessing in</w:t>
      </w:r>
      <w:r>
        <w:t xml:space="preserve"> </w:t>
      </w:r>
      <w:r>
        <w:t xml:space="preserve">BrainVision Analyzer comprised visual inspection,</w:t>
      </w:r>
      <w:r>
        <w:t xml:space="preserve"> </w:t>
      </w:r>
      <w:r>
        <w:t xml:space="preserve">re-referencing to the average of the mastoids, zero-phase Butterworth filtering (0.1–30</w:t>
      </w:r>
      <w:r>
        <w:t xml:space="preserve"> </w:t>
      </w:r>
      <w:r>
        <w:t xml:space="preserve">Hz, no notch) and ocular correction by independent component analysis. The full five</w:t>
      </w:r>
      <w:r>
        <w:t xml:space="preserve"> </w:t>
      </w:r>
      <w:r>
        <w:t xml:space="preserve">minutes was retained for every participant in both conditions, and the acquisition and</w:t>
      </w:r>
      <w:r>
        <w:t xml:space="preserve"> </w:t>
      </w:r>
      <w:r>
        <w:t xml:space="preserve">preprocessing details are given in the online supplementary material (Section S2). Across</w:t>
      </w:r>
      <w:r>
        <w:t xml:space="preserve"> </w:t>
      </w:r>
      <w:r>
        <w:t xml:space="preserve">the laboratory sessions, participants were instructed to minimise movement and blinking,</w:t>
      </w:r>
      <w:r>
        <w:t xml:space="preserve"> </w:t>
      </w:r>
      <w:r>
        <w:t xml:space="preserve">especially during the presentation of words. During pauses in these long sessions,</w:t>
      </w:r>
      <w:r>
        <w:t xml:space="preserve"> </w:t>
      </w:r>
      <w:r>
        <w:t xml:space="preserve">experimenters monitored the signal and intervened when necessary to maintain low electrode</w:t>
      </w:r>
      <w:r>
        <w:t xml:space="preserve"> </w:t>
      </w:r>
      <w:r>
        <w:t xml:space="preserve">impedance and acceptable signal quality. Power</w:t>
      </w:r>
      <w:r>
        <w:t xml:space="preserve"> </w:t>
      </w:r>
      <w:r>
        <w:t xml:space="preserve">spectral density was estimated over eight occipito-parietal electrodes (O1, Oz, O2, P3,</w:t>
      </w:r>
      <w:r>
        <w:t xml:space="preserve"> </w:t>
      </w:r>
      <w:r>
        <w:t xml:space="preserve">Pz, P4, P7, P8) by Welch’s method</w:t>
      </w:r>
      <w:r>
        <w:t xml:space="preserve"> </w:t>
      </w:r>
      <w:r>
        <w:t xml:space="preserve">(Welch 1967)</w:t>
      </w:r>
      <w:r>
        <w:t xml:space="preserve"> </w:t>
      </w:r>
      <w:r>
        <w:t xml:space="preserve">and integrated over delta (1–4 Hz), theta</w:t>
      </w:r>
      <w:r>
        <w:t xml:space="preserve"> </w:t>
      </w:r>
      <w:r>
        <w:t xml:space="preserve">(4–8 Hz), alpha (8–13 Hz), beta (13–30 Hz) and gamma (30–45 Hz). The individual alpha</w:t>
      </w:r>
      <w:r>
        <w:t xml:space="preserve"> </w:t>
      </w:r>
      <w:r>
        <w:t xml:space="preserve">frequency (IAF) was the frequency of maximum power in the 7–13 Hz range</w:t>
      </w:r>
      <w:r>
        <w:t xml:space="preserve"> </w:t>
      </w:r>
      <w:r>
        <w:t xml:space="preserve">(Klimesch 1999)</w:t>
      </w:r>
      <w:r>
        <w:t xml:space="preserve">,</w:t>
      </w:r>
      <w:r>
        <w:t xml:space="preserve"> </w:t>
      </w:r>
      <w:r>
        <w:t xml:space="preserve">an argmax for which</w:t>
      </w:r>
      <w:r>
        <w:t xml:space="preserve"> </w:t>
      </w:r>
      <w:r>
        <w:t xml:space="preserve">Corcoran et al. (2018)</w:t>
      </w:r>
      <w:r>
        <w:t xml:space="preserve"> </w:t>
      </w:r>
      <w:r>
        <w:t xml:space="preserve">recommend a smoothed alternative, so the specparam IAF</w:t>
      </w:r>
      <w:r>
        <w:t xml:space="preserve"> </w:t>
      </w:r>
      <w:r>
        <w:t xml:space="preserve">recovered in the aperiodic decomposition serves as the cross-check.</w:t>
      </w:r>
    </w:p>
    <w:p>
      <w:pPr>
        <w:pStyle w:val="BodyText"/>
      </w:pPr>
      <w:r>
        <w:t xml:space="preserve">Because the one suggestive neural result rests on this measure, one failure mode of the</w:t>
      </w:r>
      <w:r>
        <w:t xml:space="preserve"> </w:t>
      </w:r>
      <w:r>
        <w:t xml:space="preserve">argmax matters here. For a spectrum that merely decays across the search range it returns</w:t>
      </w:r>
      <w:r>
        <w:t xml:space="preserve"> </w:t>
      </w:r>
      <w:r>
        <w:t xml:space="preserve">the lower bound, so a value at 7 Hz is not necessarily a peak. The argmax lies strictly</w:t>
      </w:r>
      <w:r>
        <w:t xml:space="preserve"> </w:t>
      </w:r>
      <w:r>
        <w:t xml:space="preserve">inside the range for 57 of the</w:t>
      </w:r>
      <w:r>
        <w:t xml:space="preserve"> </w:t>
      </w:r>
      <w:r>
        <w:t xml:space="preserve">60 eyes-closed recordings, and the aperiodic decomposition</w:t>
      </w:r>
      <w:r>
        <w:t xml:space="preserve"> </w:t>
      </w:r>
      <w:r>
        <w:t xml:space="preserve">described below fits a peak within that window in 54 of the</w:t>
      </w:r>
      <w:r>
        <w:t xml:space="preserve"> </w:t>
      </w:r>
      <w:r>
        <w:t xml:space="preserve">60. For the recordings in</w:t>
      </w:r>
      <w:r>
        <w:t xml:space="preserve"> </w:t>
      </w:r>
      <w:r>
        <w:t xml:space="preserve">which the decomposition fits no such peak, the individual alpha frequency should be read</w:t>
      </w:r>
      <w:r>
        <w:t xml:space="preserve"> </w:t>
      </w:r>
      <w:r>
        <w:t xml:space="preserve">as unresolved. Two of them are pinned at the 7 Hz floor with no fitted peak, and the</w:t>
      </w:r>
      <w:r>
        <w:t xml:space="preserve"> </w:t>
      </w:r>
      <w:r>
        <w:t xml:space="preserve">others carry interior argmax values. In a refit of the gender-agreement model that excludes the two floor-pinned recordings, the individual-alpha-frequency association was</w:t>
      </w:r>
      <w:r>
        <w:t xml:space="preserve"> </w:t>
      </w:r>
      <m:oMath>
        <m:r>
          <m:t>b</m:t>
        </m:r>
        <m:r>
          <m:rPr>
            <m:sty m:val="p"/>
          </m:rPr>
          <m:t>=</m:t>
        </m:r>
        <m:r>
          <m:t>0.23</m:t>
        </m:r>
      </m:oMath>
      <w:r>
        <w:t xml:space="preserve">, 95% CrI</w:t>
      </w:r>
      <w:r>
        <w:t xml:space="preserve"> </w:t>
      </w:r>
      <m:oMath>
        <m:r>
          <m:rPr>
            <m:sty m:val="p"/>
          </m:rPr>
          <m:t>[</m:t>
        </m:r>
        <m:r>
          <m:rPr>
            <m:sty m:val="p"/>
          </m:rPr>
          <m:t>−</m:t>
        </m:r>
        <m:r>
          <m:t>0.13</m:t>
        </m:r>
        <m:r>
          <m:rPr>
            <m:sty m:val="p"/>
          </m:rPr>
          <m:t>,</m:t>
        </m:r>
        <m:r>
          <m:t>0.58</m:t>
        </m:r>
        <m:r>
          <m:rPr>
            <m:sty m:val="p"/>
          </m:rPr>
          <m:t>]</m:t>
        </m:r>
      </m:oMath>
      <w:r>
        <w:t xml:space="preserve">,</w:t>
      </w:r>
      <w:r>
        <w:t xml:space="preserve"> </w:t>
      </w:r>
      <m:oMath>
        <m:sSub>
          <m:e>
            <m:r>
              <m:t>p</m:t>
            </m:r>
          </m:e>
          <m:sub>
            <m:r>
              <m:t>d</m:t>
            </m:r>
          </m:sub>
        </m:sSub>
        <m:r>
          <m:rPr>
            <m:sty m:val="p"/>
          </m:rPr>
          <m:t>=</m:t>
        </m:r>
        <m:r>
          <m:t>89.4</m:t>
        </m:r>
        <m:r>
          <m:rPr>
            <m:sty m:val="p"/>
          </m:rPr>
          <m:t>%</m:t>
        </m:r>
      </m:oMath>
      <w:r>
        <w:t xml:space="preserve">.</w:t>
      </w:r>
    </w:p>
    <w:p>
      <w:pPr>
        <w:pStyle w:val="BodyText"/>
      </w:pPr>
      <w:r>
        <w:t xml:space="preserve">The gamma band (30–45 Hz) lies entirely above the 30 Hz corner of the offline low-pass,</w:t>
      </w:r>
      <w:r>
        <w:t xml:space="preserve"> </w:t>
      </w:r>
      <w:r>
        <w:t xml:space="preserve">so the retained power across that band has a median of 6.5% of what an unfiltered recording would have carried (interquartile range 6.3% to 6.6%), and no more than a median of 21.3% even under the most permissive single-pass reading of the zero-phase filter. The power observed there far exceeds what the filter would</w:t>
      </w:r>
      <w:r>
        <w:t xml:space="preserve"> </w:t>
      </w:r>
      <w:r>
        <w:t xml:space="preserve">transmit of the aperiodic background (a median of 60.2% of the extrapolated background, against the 6.5% the filter would pass), consistent with mains</w:t>
      </w:r>
      <w:r>
        <w:t xml:space="preserve"> </w:t>
      </w:r>
      <w:r>
        <w:t xml:space="preserve">energy at 50 Hz persisting through a filter applied without a notch. The gamma predictor</w:t>
      </w:r>
      <w:r>
        <w:t xml:space="preserve"> </w:t>
      </w:r>
      <w:r>
        <w:t xml:space="preserve">is therefore not a valid index of gamma-band activity. It is retained only so that the</w:t>
      </w:r>
      <w:r>
        <w:t xml:space="preserve"> </w:t>
      </w:r>
      <w:r>
        <w:t xml:space="preserve">predictor set is not altered after the fact, we do not interpret it, and its null result</w:t>
      </w:r>
      <w:r>
        <w:t xml:space="preserve"> </w:t>
      </w:r>
      <w:r>
        <w:t xml:space="preserve">is not evidence about gamma-band activity. The transmission analysis is given in the</w:t>
      </w:r>
      <w:r>
        <w:t xml:space="preserve"> </w:t>
      </w:r>
      <w:r>
        <w:t xml:space="preserve">online supplementary material (Section S3).</w:t>
      </w:r>
    </w:p>
    <w:p>
      <w:pPr>
        <w:pStyle w:val="BodyText"/>
      </w:pPr>
      <w:r>
        <w:t xml:space="preserve">The eyes-closed values serve as the neural predictors, since the alpha rhythm and its peak</w:t>
      </w:r>
      <w:r>
        <w:t xml:space="preserve"> </w:t>
      </w:r>
      <w:r>
        <w:t xml:space="preserve">are most reliably estimated with the eyes closed. The reduction reproduces the expected</w:t>
      </w:r>
      <w:r>
        <w:t xml:space="preserve"> </w:t>
      </w:r>
      <w:r>
        <w:t xml:space="preserve">posterior alpha-blocking on eye opening, a check on the recording whose absence would</w:t>
      </w:r>
      <w:r>
        <w:t xml:space="preserve"> </w:t>
      </w:r>
      <w:r>
        <w:t xml:space="preserve">have indicated a problem with the montage or the reference. All continuous predictors</w:t>
      </w:r>
      <w:r>
        <w:t xml:space="preserve"> </w:t>
      </w:r>
      <w:r>
        <w:t xml:space="preserve">were</w:t>
      </w:r>
      <w:r>
        <w:t xml:space="preserve"> </w:t>
      </w:r>
      <m:oMath>
        <m:r>
          <m:t>z</m:t>
        </m:r>
      </m:oMath>
      <w:r>
        <w:t xml:space="preserve">-scored, so each coefficient is expressed per standard deviation of its predictor</w:t>
      </w:r>
      <w:r>
        <w:t xml:space="preserve"> </w:t>
      </w:r>
      <w:r>
        <w:t xml:space="preserve">and the predictors are directly comparable with one another</w:t>
      </w:r>
      <w:r>
        <w:t xml:space="preserve"> </w:t>
      </w:r>
      <w:r>
        <w:t xml:space="preserve">(Brauer and Curtin 2018; Schielzeth 2010)</w:t>
      </w:r>
      <w:r>
        <w:t xml:space="preserve">. The cognitive predictors were standardised over every participant with</w:t>
      </w:r>
      <w:r>
        <w:t xml:space="preserve"> </w:t>
      </w:r>
      <w:r>
        <w:t xml:space="preserve">a Session 1 battery and the resting-state predictors over every eyes-closed recording, so</w:t>
      </w:r>
      <w:r>
        <w:t xml:space="preserve"> </w:t>
      </w:r>
      <w:r>
        <w:t xml:space="preserve">a unit is a standard deviation of the measured sample, a slightly wider frame than the</w:t>
      </w:r>
      <w:r>
        <w:t xml:space="preserve"> </w:t>
      </w:r>
      <w:r>
        <w:t xml:space="preserve">fitted one.</w:t>
      </w:r>
    </w:p>
    <w:p>
      <w:pPr>
        <w:pStyle w:val="BodyText"/>
      </w:pPr>
      <w:r>
        <w:t xml:space="preserve">The observed elapsed duration of each home task and of each phase of the laboratory</w:t>
      </w:r>
      <w:r>
        <w:t xml:space="preserve"> </w:t>
      </w:r>
      <w:r>
        <w:t xml:space="preserve">sessions is shown in</w:t>
      </w:r>
      <w:r>
        <w:t xml:space="preserve"> </w:t>
      </w:r>
      <w:hyperlink w:anchor="fig-home-task-duration">
        <w:r>
          <w:rPr>
            <w:rStyle w:val="Hyperlink"/>
          </w:rPr>
          <w:t xml:space="preserve">Figure 2</w:t>
        </w:r>
      </w:hyperlink>
      <w:r>
        <w:t xml:space="preserve"> </w:t>
      </w:r>
      <w:r>
        <w:t xml:space="preserve">and</w:t>
      </w:r>
      <w:r>
        <w:t xml:space="preserve"> </w:t>
      </w:r>
      <w:hyperlink w:anchor="fig-lab-phase-duration">
        <w:r>
          <w:rPr>
            <w:rStyle w:val="Hyperlink"/>
          </w:rPr>
          <w:t xml:space="preserve">Figure 3</w:t>
        </w:r>
      </w:hyperlink>
      <w:r>
        <w:t xml:space="preserve">. These are</w:t>
      </w:r>
      <w:r>
        <w:t xml:space="preserve"> </w:t>
      </w:r>
      <w:r>
        <w:t xml:space="preserve">descriptive timing checks, not additional outcomes: home-task duration runs from the</w:t>
      </w:r>
      <w:r>
        <w:t xml:space="preserve"> </w:t>
      </w:r>
      <w:r>
        <w:t xml:space="preserve">first to the last Gorilla event for each participant and task, whereas lab-phase duration</w:t>
      </w:r>
      <w:r>
        <w:t xml:space="preserve"> </w:t>
      </w:r>
      <w:r>
        <w:t xml:space="preserve">uses the OpenSesame phase markers and the final event in a phase when the next phase was</w:t>
      </w:r>
      <w:r>
        <w:t xml:space="preserve"> </w:t>
      </w:r>
      <w:r>
        <w:t xml:space="preserve">recorded in a separate export.</w:t>
      </w:r>
      <w:r>
        <w:t xml:space="preserve"> </w:t>
      </w:r>
      <w:r>
        <w:t xml:space="preserve">The median home-task durations were 4.45 min for Stroop, 11.98 min for digit span and 36.94 min for ASRT in Session 1, and 3.71, 11.32 and 35.61 min, respectively, in Session 5. Median laboratory-phase durations (pretraining, training, test and experiment) were 4.21, 16.14, 9.93 and 47.49 min in Session 2; 1.57, 18.97, 7.18 and 52.54 min in Session 3; 16.73, 20.08 and 78.37 min for training, test and experiment in Session 4, where pretraining was not recorded; and 73.42 min for the experiment in Session 6, where the other phases were not recorded.</w:t>
      </w:r>
    </w:p>
    <w:tbl>
      <w:tblPr>
        <w:tblStyle w:val="Table"/>
        <w:tblW w:type="pct" w:w="5000"/>
        <w:tblLayout w:type="fixed"/>
        <w:tblLook w:firstRow="0" w:lastRow="0" w:firstColumn="0" w:lastColumn="0" w:noHBand="0" w:noVBand="0" w:val="0000"/>
      </w:tblPr>
      <w:tblGrid>
        <w:gridCol w:w="7920"/>
      </w:tblGrid>
      <w:tr>
        <w:tc>
          <w:tcPr/>
          <w:bookmarkStart w:id="17" w:name="fig-home-task-duration"/>
          <w:p>
            <w:pPr>
              <w:pStyle w:val="Compact"/>
              <w:jc w:val="center"/>
            </w:pPr>
            <w:r>
              <w:drawing>
                <wp:inline>
                  <wp:extent cx="5334000" cy="2376365"/>
                  <wp:effectExtent b="0" l="0" r="0" t="0"/>
                  <wp:docPr descr="" title="" id="15" name="Picture"/>
                  <a:graphic>
                    <a:graphicData uri="http://schemas.openxmlformats.org/drawingml/2006/picture">
                      <pic:pic>
                        <pic:nvPicPr>
                          <pic:cNvPr descr="paper_2_neuroplasticity_files/figure-docx/fig-home-task-duration-1.png" id="16" name="Picture"/>
                          <pic:cNvPicPr>
                            <a:picLocks noChangeArrowheads="1" noChangeAspect="1"/>
                          </pic:cNvPicPr>
                        </pic:nvPicPr>
                        <pic:blipFill>
                          <a:blip r:embed="rId14"/>
                          <a:stretch>
                            <a:fillRect/>
                          </a:stretch>
                        </pic:blipFill>
                        <pic:spPr bwMode="auto">
                          <a:xfrm>
                            <a:off x="0" y="0"/>
                            <a:ext cx="5334000" cy="237636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Duration of the Home Cognitive Tasks by Session</w:t>
            </w:r>
          </w:p>
          <w:bookmarkEnd w:id="17"/>
        </w:tc>
      </w:tr>
    </w:tbl>
    <w:tbl>
      <w:tblPr>
        <w:tblStyle w:val="Table"/>
        <w:tblW w:type="pct" w:w="5000"/>
        <w:tblLayout w:type="fixed"/>
        <w:tblLook w:firstRow="0" w:lastRow="0" w:firstColumn="0" w:lastColumn="0" w:noHBand="0" w:noVBand="0" w:val="0000"/>
      </w:tblPr>
      <w:tblGrid>
        <w:gridCol w:w="7920"/>
      </w:tblGrid>
      <w:tr>
        <w:tc>
          <w:tcPr/>
          <w:bookmarkStart w:id="21" w:name="fig-lab-phase-duration"/>
          <w:p>
            <w:pPr>
              <w:pStyle w:val="Compact"/>
              <w:jc w:val="center"/>
            </w:pPr>
            <w:r>
              <w:drawing>
                <wp:inline>
                  <wp:extent cx="5334000" cy="2461846"/>
                  <wp:effectExtent b="0" l="0" r="0" t="0"/>
                  <wp:docPr descr="" title="" id="19" name="Picture"/>
                  <a:graphic>
                    <a:graphicData uri="http://schemas.openxmlformats.org/drawingml/2006/picture">
                      <pic:pic>
                        <pic:nvPicPr>
                          <pic:cNvPr descr="paper_2_neuroplasticity_files/figure-docx/fig-lab-phase-duration-1.png" id="20" name="Picture"/>
                          <pic:cNvPicPr>
                            <a:picLocks noChangeArrowheads="1" noChangeAspect="1"/>
                          </pic:cNvPicPr>
                        </pic:nvPicPr>
                        <pic:blipFill>
                          <a:blip r:embed="rId18"/>
                          <a:stretch>
                            <a:fillRect/>
                          </a:stretch>
                        </pic:blipFill>
                        <pic:spPr bwMode="auto">
                          <a:xfrm>
                            <a:off x="0" y="0"/>
                            <a:ext cx="5334000" cy="246184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Duration of the Laboratory-Session Phases</w:t>
            </w:r>
          </w:p>
          <w:bookmarkEnd w:id="21"/>
        </w:tc>
      </w:tr>
    </w:tbl>
    <w:bookmarkEnd w:id="22"/>
    <w:bookmarkStart w:id="23" w:name="X7b3fd7d6f249e10b7f8c6d374621584384c8ffe"/>
    <w:p>
      <w:pPr>
        <w:pStyle w:val="Heading2"/>
      </w:pPr>
      <w:r>
        <w:t xml:space="preserve">Learning outcome and model structure (Part A)</w:t>
      </w:r>
    </w:p>
    <w:p>
      <w:pPr>
        <w:pStyle w:val="FirstParagraph"/>
      </w:pPr>
      <w:r>
        <w:t xml:space="preserve">The learning outcome is the longitudinal trajectory of grammaticality-judgement accuracy,</w:t>
      </w:r>
      <w:r>
        <w:t xml:space="preserve"> </w:t>
      </w:r>
      <w:r>
        <w:t xml:space="preserve">modelled jointly at trial level. The two-stage alternative most aptitude studies take, a</w:t>
      </w:r>
      <w:r>
        <w:t xml:space="preserve"> </w:t>
      </w:r>
      <w:r>
        <w:t xml:space="preserve">slope fitted per learner and then regressed on the predictors, treats a slope estimated</w:t>
      </w:r>
      <w:r>
        <w:t xml:space="preserve"> </w:t>
      </w:r>
      <w:r>
        <w:t xml:space="preserve">from few noisy trials as if it were measured without error, ignores the heterogeneous</w:t>
      </w:r>
      <w:r>
        <w:t xml:space="preserve"> </w:t>
      </w:r>
      <w:r>
        <w:t xml:space="preserve">precision of those estimates and uses the data inefficiently</w:t>
      </w:r>
      <w:r>
        <w:t xml:space="preserve"> </w:t>
      </w:r>
      <w:r>
        <w:t xml:space="preserve">(Gelman 2005)</w:t>
      </w:r>
      <w:r>
        <w:t xml:space="preserve">. Any</w:t>
      </w:r>
      <w:r>
        <w:t xml:space="preserve"> </w:t>
      </w:r>
      <w:r>
        <w:t xml:space="preserve">standardised association is attenuated in proportion to the slopes’ unreliability</w:t>
      </w:r>
      <w:r>
        <w:t xml:space="preserve"> </w:t>
      </w:r>
      <w:r>
        <w:t xml:space="preserve">(Hedge et al. 2018)</w:t>
      </w:r>
      <w:r>
        <w:t xml:space="preserve">, and where estimated slopes serve as predictors, as in the designs</w:t>
      </w:r>
      <w:r>
        <w:t xml:space="preserve"> </w:t>
      </w:r>
      <w:r>
        <w:t xml:space="preserve">Humberg et al. (2024)</w:t>
      </w:r>
      <w:r>
        <w:t xml:space="preserve"> </w:t>
      </w:r>
      <w:r>
        <w:t xml:space="preserve">evaluate, the attenuation becomes a regression dilution of the coefficient</w:t>
      </w:r>
      <w:r>
        <w:t xml:space="preserve"> </w:t>
      </w:r>
      <w:r>
        <w:t xml:space="preserve">itself. We therefore fit a single Bayesian multilevel Bernoulli model of trial-level</w:t>
      </w:r>
      <w:r>
        <w:t xml:space="preserve"> </w:t>
      </w:r>
      <w:r>
        <w:t xml:space="preserve">accuracy. The learning</w:t>
      </w:r>
      <w:r>
        <w:t xml:space="preserve"> </w:t>
      </w:r>
      <w:r>
        <w:rPr>
          <w:i/>
          <w:iCs/>
        </w:rPr>
        <w:t xml:space="preserve">rate</w:t>
      </w:r>
      <w:r>
        <w:t xml:space="preserve"> </w:t>
      </w:r>
      <w:r>
        <w:t xml:space="preserve">is a by-participant random slope for session and the</w:t>
      </w:r>
      <w:r>
        <w:t xml:space="preserve"> </w:t>
      </w:r>
      <w:r>
        <w:t xml:space="preserve">predictors enter as interactions with session</w:t>
      </w:r>
      <w:r>
        <w:t xml:space="preserve"> </w:t>
      </w:r>
      <w:r>
        <w:t xml:space="preserve">(Barr et al. 2013)</w:t>
      </w:r>
      <w:r>
        <w:t xml:space="preserve">, so that under partial pooling a</w:t>
      </w:r>
      <w:r>
        <w:t xml:space="preserve"> </w:t>
      </w:r>
      <w:r>
        <w:t xml:space="preserve">learner whose slope is poorly determined contributes proportionately less to the predictor</w:t>
      </w:r>
      <w:r>
        <w:t xml:space="preserve"> </w:t>
      </w:r>
      <w:r>
        <w:t xml:space="preserve">estimate</w:t>
      </w:r>
      <w:r>
        <w:t xml:space="preserve"> </w:t>
      </w:r>
      <w:r>
        <w:t xml:space="preserve">(Gelman and Hill 2006)</w:t>
      </w:r>
      <w:r>
        <w:t xml:space="preserve">:</w:t>
      </w:r>
    </w:p>
    <w:p>
      <w:pPr>
        <w:pStyle w:val="BodyText"/>
      </w:pPr>
      <m:oMathPara>
        <m:oMathParaPr>
          <m:jc m:val="center"/>
        </m:oMathParaPr>
        <m:oMath>
          <m:eqArr>
            <m:e>
              <m:r>
                <m:rPr>
                  <m:nor/>
                  <m:sty m:val="p"/>
                </m:rPr>
                <m:t>correct</m:t>
              </m:r>
              <m:r>
                <m:rPr>
                  <m:sty m:val="p"/>
                </m:rPr>
                <m:t>∼</m:t>
              </m:r>
              <m:r>
                <m:t> </m:t>
              </m:r>
              <m:r>
                <m:t>&amp;</m:t>
              </m:r>
              <m:r>
                <m:rPr>
                  <m:nor/>
                  <m:sty m:val="p"/>
                </m:rPr>
                <m:t>Session</m:t>
              </m:r>
              <m:r>
                <m:rPr>
                  <m:sty m:val="p"/>
                </m:rPr>
                <m:t>×</m:t>
              </m:r>
              <m:r>
                <m:rPr>
                  <m:nor/>
                  <m:sty m:val="p"/>
                </m:rPr>
                <m:t>Property</m:t>
              </m:r>
            </m:e>
            <m:e>
              <m:r>
                <m:t>&amp;</m:t>
              </m:r>
              <m:r>
                <m:rPr>
                  <m:sty m:val="p"/>
                </m:rPr>
                <m:t>+</m:t>
              </m:r>
              <m:r>
                <m:rPr>
                  <m:nor/>
                  <m:sty m:val="p"/>
                </m:rPr>
                <m:t>Session</m:t>
              </m:r>
              <m:r>
                <m:rPr>
                  <m:sty m:val="p"/>
                </m:rPr>
                <m:t>×</m:t>
              </m:r>
              <m:r>
                <m:rPr>
                  <m:sty m:val="p"/>
                </m:rPr>
                <m:t>(</m:t>
              </m:r>
              <m:r>
                <m:rPr>
                  <m:nor/>
                  <m:sty m:val="p"/>
                </m:rPr>
                <m:t>WM</m:t>
              </m:r>
              <m:r>
                <m:rPr>
                  <m:sty m:val="p"/>
                </m:rPr>
                <m:t>+</m:t>
              </m:r>
              <m:r>
                <m:rPr>
                  <m:nor/>
                  <m:sty m:val="p"/>
                </m:rPr>
                <m:t>Inhibition</m:t>
              </m:r>
              <m:r>
                <m:rPr>
                  <m:sty m:val="p"/>
                </m:rPr>
                <m:t>+</m:t>
              </m:r>
              <m:r>
                <m:rPr>
                  <m:nor/>
                  <m:sty m:val="p"/>
                </m:rPr>
                <m:t>StatLearning</m:t>
              </m:r>
              <m:r>
                <m:rPr>
                  <m:sty m:val="p"/>
                </m:rPr>
                <m:t>+</m:t>
              </m:r>
              <m:r>
                <m:rPr>
                  <m:nor/>
                  <m:sty m:val="p"/>
                </m:rPr>
                <m:t>rs-EEG</m:t>
              </m:r>
              <m:r>
                <m:rPr>
                  <m:sty m:val="p"/>
                </m:rPr>
                <m:t>)</m:t>
              </m:r>
            </m:e>
            <m:e>
              <m:r>
                <m:t>&amp;</m:t>
              </m:r>
              <m:r>
                <m:rPr>
                  <m:sty m:val="p"/>
                </m:rPr>
                <m:t>+</m:t>
              </m:r>
              <m:r>
                <m:rPr>
                  <m:sty m:val="p"/>
                </m:rPr>
                <m:t>(</m:t>
              </m:r>
              <m:r>
                <m:t>1</m:t>
              </m:r>
              <m:r>
                <m:rPr>
                  <m:sty m:val="p"/>
                </m:rPr>
                <m:t>+</m:t>
              </m:r>
              <m:r>
                <m:rPr>
                  <m:nor/>
                  <m:sty m:val="p"/>
                </m:rPr>
                <m:t>Session</m:t>
              </m:r>
              <m:r>
                <m:rPr>
                  <m:sty m:val="p"/>
                </m:rPr>
                <m:t>∣</m:t>
              </m:r>
              <m:r>
                <m:rPr>
                  <m:nor/>
                  <m:sty m:val="p"/>
                </m:rPr>
                <m:t>participant</m:t>
              </m:r>
              <m:r>
                <m:rPr>
                  <m:sty m:val="p"/>
                </m:rPr>
                <m:t>)</m:t>
              </m:r>
              <m:r>
                <m:rPr>
                  <m:sty m:val="p"/>
                </m:rPr>
                <m:t>.</m:t>
              </m:r>
            </m:e>
          </m:eqArr>
        </m:oMath>
      </m:oMathPara>
    </w:p>
    <w:p>
      <w:pPr>
        <w:pStyle w:val="FirstParagraph"/>
      </w:pPr>
      <w:r>
        <w:t xml:space="preserve">The model carries no by-item term. The judgement sentences are generated combinatorially</w:t>
      </w:r>
      <w:r>
        <w:t xml:space="preserve"> </w:t>
      </w:r>
      <w:r>
        <w:t xml:space="preserve">from each grammar, so each distinct sentence is presented to only a few participants and</w:t>
      </w:r>
      <w:r>
        <w:t xml:space="preserve"> </w:t>
      </w:r>
      <w:r>
        <w:t xml:space="preserve">item variance is thinly sampled, as the companion paper sets out</w:t>
      </w:r>
      <w:r>
        <w:t xml:space="preserve"> </w:t>
      </w:r>
      <w:r>
        <w:t xml:space="preserve">(Bernabeu et al. 2026)</w:t>
      </w:r>
      <w:r>
        <w:t xml:space="preserve">.</w:t>
      </w:r>
      <w:r>
        <w:t xml:space="preserve"> </w:t>
      </w:r>
      <w:r>
        <w:t xml:space="preserve">That variance is absorbed into the residual.</w:t>
      </w:r>
    </w:p>
    <w:p>
      <w:pPr>
        <w:pStyle w:val="BodyText"/>
      </w:pPr>
      <w:r>
        <w:t xml:space="preserve">Session was coded as a continuous standardised variable so that the rate is a single</w:t>
      </w:r>
      <w:r>
        <w:t xml:space="preserve"> </w:t>
      </w:r>
      <w:r>
        <w:t xml:space="preserve">slope. The four judgement sessions enter at equal steps, although Sessions 2 to 4 were</w:t>
      </w:r>
      <w:r>
        <w:t xml:space="preserve"> </w:t>
      </w:r>
      <w:r>
        <w:t xml:space="preserve">one week apart and Session 6 was an unrehearsed retention test about four months after</w:t>
      </w:r>
      <w:r>
        <w:t xml:space="preserve"> </w:t>
      </w:r>
      <w:r>
        <w:t xml:space="preserve">Session 4 (see the companion paper), so the slope is per session step, whatever the</w:t>
      </w:r>
      <w:r>
        <w:t xml:space="preserve"> </w:t>
      </w:r>
      <w:r>
        <w:t xml:space="preserve">elapsed time between sessions. Session was standardised over the pooled trial frame</w:t>
      </w:r>
      <w:r>
        <w:t xml:space="preserve"> </w:t>
      </w:r>
      <w:r>
        <w:t xml:space="preserve">before any listwise deletion, so one unit is close to one step of the session index and</w:t>
      </w:r>
      <w:r>
        <w:t xml:space="preserve"> </w:t>
      </w:r>
      <w:r>
        <w:t xml:space="preserve">zero falls at the trial-weighted mean session, which the cumulative design places</w:t>
      </w:r>
      <w:r>
        <w:t xml:space="preserve"> </w:t>
      </w:r>
      <w:r>
        <w:t xml:space="preserve">between Sessions 3 and 4. The gender-agreement model inherits that scaling, so its main</w:t>
      </w:r>
      <w:r>
        <w:t xml:space="preserve"> </w:t>
      </w:r>
      <w:r>
        <w:t xml:space="preserve">effects and its intercept are evaluated at the same session index, which lies later than</w:t>
      </w:r>
      <w:r>
        <w:t xml:space="preserve"> </w:t>
      </w:r>
      <w:r>
        <w:t xml:space="preserve">that stratum’s own mean session. Grammatical</w:t>
      </w:r>
      <w:r>
        <w:t xml:space="preserve"> </w:t>
      </w:r>
      <w:r>
        <w:t xml:space="preserve">property entered as a three-level factor under treatment coding with differential object</w:t>
      </w:r>
      <w:r>
        <w:t xml:space="preserve"> </w:t>
      </w:r>
      <w:r>
        <w:t xml:space="preserve">marking, the first level alphabetically, as the reference, so the population-level</w:t>
      </w:r>
      <w:r>
        <w:t xml:space="preserve"> </w:t>
      </w:r>
      <w:r>
        <w:t xml:space="preserve">session term is that property’s slope and the two session-by-property terms are the</w:t>
      </w:r>
      <w:r>
        <w:t xml:space="preserve"> </w:t>
      </w:r>
      <w:r>
        <w:t xml:space="preserve">other properties’ departures from it. The predictor terms do not interact with property,</w:t>
      </w:r>
      <w:r>
        <w:t xml:space="preserve"> </w:t>
      </w:r>
      <w:r>
        <w:t xml:space="preserve">so their estimates do not depend on this choice. A linear effect of session is the</w:t>
      </w:r>
      <w:r>
        <w:t xml:space="preserve"> </w:t>
      </w:r>
      <w:r>
        <w:t xml:space="preserve">parsimonious default. A generalised additive form</w:t>
      </w:r>
      <w:r>
        <w:t xml:space="preserve"> </w:t>
      </w:r>
      <w:r>
        <w:t xml:space="preserve">(Winter and Wieling 2016; Sóskuthy 2017)</w:t>
      </w:r>
      <w:r>
        <w:t xml:space="preserve"> </w:t>
      </w:r>
      <w:r>
        <w:t xml:space="preserve">was</w:t>
      </w:r>
      <w:r>
        <w:t xml:space="preserve"> </w:t>
      </w:r>
      <w:r>
        <w:t xml:space="preserve">held in reserve, since averaging across learners can distort the apparent form of a</w:t>
      </w:r>
      <w:r>
        <w:t xml:space="preserve"> </w:t>
      </w:r>
      <w:r>
        <w:t xml:space="preserve">learning curve</w:t>
      </w:r>
      <w:r>
        <w:t xml:space="preserve"> </w:t>
      </w:r>
      <w:r>
        <w:t xml:space="preserve">(Heathcote et al. 2000; Murre and Chessa 2011)</w:t>
      </w:r>
      <w:r>
        <w:t xml:space="preserve">, and it was not fitted. Because linearity</w:t>
      </w:r>
      <w:r>
        <w:t xml:space="preserve"> </w:t>
      </w:r>
      <w:r>
        <w:t xml:space="preserve">was not formally tested, the session term is interpreted as a linear approximation to</w:t>
      </w:r>
      <w:r>
        <w:t xml:space="preserve"> </w:t>
      </w:r>
      <w:r>
        <w:t xml:space="preserve">the trajectories in</w:t>
      </w:r>
      <w:r>
        <w:t xml:space="preserve"> </w:t>
      </w:r>
      <w:hyperlink w:anchor="fig-accuracy-trajectory">
        <w:r>
          <w:rPr>
            <w:rStyle w:val="Hyperlink"/>
          </w:rPr>
          <w:t xml:space="preserve">Figure 4</w:t>
        </w:r>
      </w:hyperlink>
      <w:r>
        <w:t xml:space="preserve">, where the gender-agreement trajectories in</w:t>
      </w:r>
      <w:r>
        <w:t xml:space="preserve"> </w:t>
      </w:r>
      <w:r>
        <w:t xml:space="preserve">particular are not monotone.</w:t>
      </w:r>
    </w:p>
    <w:p>
      <w:pPr>
        <w:pStyle w:val="BodyText"/>
      </w:pPr>
      <w:r>
        <w:t xml:space="preserve">We report both the learning rate (the predictor-by-session</w:t>
      </w:r>
      <w:r>
        <w:t xml:space="preserve"> </w:t>
      </w:r>
      <w:r>
        <w:t xml:space="preserve">interactions) and the attainment (the model-implied end-of-training accuracy), and assess</w:t>
      </w:r>
      <w:r>
        <w:t xml:space="preserve"> </w:t>
      </w:r>
      <w:r>
        <w:t xml:space="preserve">the reliability of the by-participant rate and of the by-participant level of accuracy,</w:t>
      </w:r>
      <w:r>
        <w:t xml:space="preserve"> </w:t>
      </w:r>
      <w:r>
        <w:t xml:space="preserve">the random intercept, before interpreting either as an individual difference</w:t>
      </w:r>
      <w:r>
        <w:t xml:space="preserve"> </w:t>
      </w:r>
      <w:r>
        <w:t xml:space="preserve">(Hedge et al. 2018; Hedge 2021)</w:t>
      </w:r>
      <w:r>
        <w:t xml:space="preserve">. Attainment is the population-level predicted accuracy at</w:t>
      </w:r>
      <w:r>
        <w:t xml:space="preserve"> </w:t>
      </w:r>
      <w:r>
        <w:t xml:space="preserve">Session 6 for a learner at the mean of every predictor and at zero on both random</w:t>
      </w:r>
      <w:r>
        <w:t xml:space="preserve"> </w:t>
      </w:r>
      <w:r>
        <w:t xml:space="preserve">effects, averaged with equal weight over the three properties in the pooled model, so it</w:t>
      </w:r>
      <w:r>
        <w:t xml:space="preserve"> </w:t>
      </w:r>
      <w:r>
        <w:t xml:space="preserve">is a conditional prediction and carries no by-participant reliability. The reliabilities</w:t>
      </w:r>
      <w:r>
        <w:t xml:space="preserve"> </w:t>
      </w:r>
      <w:r>
        <w:t xml:space="preserve">are single-occasion, model-based separation reliabilities estimated within this sample,</w:t>
      </w:r>
      <w:r>
        <w:t xml:space="preserve"> </w:t>
      </w:r>
      <w:r>
        <w:t xml:space="preserve">computed as the variance of the shrunken by-participant posterior means relative to the</w:t>
      </w:r>
      <w:r>
        <w:t xml:space="preserve"> </w:t>
      </w:r>
      <w:r>
        <w:t xml:space="preserve">model’s between-participant variance,</w:t>
      </w:r>
      <w:r>
        <w:t xml:space="preserve"> </w:t>
      </w:r>
      <m:oMath>
        <m:r>
          <m:rPr>
            <m:sty m:val="p"/>
          </m:rPr>
          <m:t>V</m:t>
        </m:r>
        <m:r>
          <m:rPr>
            <m:sty m:val="p"/>
          </m:rPr>
          <m:t>a</m:t>
        </m:r>
        <m:r>
          <m:rPr>
            <m:sty m:val="p"/>
          </m:rPr>
          <m:t>r</m:t>
        </m:r>
        <m:r>
          <m:rPr>
            <m:sty m:val="p"/>
          </m:rPr>
          <m:t>(</m:t>
        </m:r>
        <m:sSub>
          <m:e>
            <m:acc>
              <m:accPr>
                <m:chr m:val="̂"/>
              </m:accPr>
              <m:e>
                <m:r>
                  <m:t>u</m:t>
                </m:r>
              </m:e>
            </m:acc>
          </m:e>
          <m:sub>
            <m:r>
              <m:t>i</m:t>
            </m:r>
          </m:sub>
        </m:sSub>
        <m:r>
          <m:rPr>
            <m:sty m:val="p"/>
          </m:rPr>
          <m:t>)</m:t>
        </m:r>
        <m:r>
          <m:rPr>
            <m:sty m:val="p"/>
          </m:rPr>
          <m:t>/</m:t>
        </m:r>
        <m:sSup>
          <m:e>
            <m:r>
              <m:t>τ</m:t>
            </m:r>
          </m:e>
          <m:sup>
            <m:r>
              <m:t>2</m:t>
            </m:r>
          </m:sup>
        </m:sSup>
      </m:oMath>
      <w:r>
        <w:t xml:space="preserve">. They are not</w:t>
      </w:r>
      <w:r>
        <w:t xml:space="preserve"> </w:t>
      </w:r>
      <w:r>
        <w:t xml:space="preserve">test-retest reliabilities, which would require a second measurement wave</w:t>
      </w:r>
      <w:r>
        <w:t xml:space="preserve"> </w:t>
      </w:r>
      <w:r>
        <w:t xml:space="preserve">(Rouder and Haaf 2019)</w:t>
      </w:r>
      <w:r>
        <w:t xml:space="preserve">.</w:t>
      </w:r>
      <w:r>
        <w:t xml:space="preserve"> </w:t>
      </w:r>
      <w:r>
        <w:t xml:space="preserve">Because session is standardised, a predictor’s main effect is its association with</w:t>
      </w:r>
      <w:r>
        <w:t xml:space="preserve"> </w:t>
      </w:r>
      <w:r>
        <w:t xml:space="preserve">accuracy at the pooled-frame mean session. We label the main effects as overall accuracy</w:t>
      </w:r>
      <w:r>
        <w:t xml:space="preserve"> </w:t>
      </w:r>
      <w:r>
        <w:t xml:space="preserve">and reserve</w:t>
      </w:r>
      <w:r>
        <w:t xml:space="preserve"> </w:t>
      </w:r>
      <w:r>
        <w:rPr>
          <w:i/>
          <w:iCs/>
        </w:rPr>
        <w:t xml:space="preserve">attainment</w:t>
      </w:r>
      <w:r>
        <w:t xml:space="preserve"> </w:t>
      </w:r>
      <w:r>
        <w:t xml:space="preserve">for the model-implied end-of-training quantity. Pooled</w:t>
      </w:r>
      <w:r>
        <w:t xml:space="preserve"> </w:t>
      </w:r>
      <w:r>
        <w:t xml:space="preserve">accuracy is shaped by properties of differing difficulty entering cumulatively across</w:t>
      </w:r>
      <w:r>
        <w:t xml:space="preserve"> </w:t>
      </w:r>
      <w:r>
        <w:t xml:space="preserve">sessions: gender agreement from Session 2, differential object marking from Session 3 and</w:t>
      </w:r>
      <w:r>
        <w:t xml:space="preserve"> </w:t>
      </w:r>
      <w:r>
        <w:t xml:space="preserve">verb–object number agreement from Session 4 (see</w:t>
      </w:r>
      <w:r>
        <w:t xml:space="preserve"> </w:t>
      </w:r>
      <w:r>
        <w:t xml:space="preserve">Bernabeu et al. (2026)</w:t>
      </w:r>
      <w:r>
        <w:t xml:space="preserve"> </w:t>
      </w:r>
      <w:r>
        <w:t xml:space="preserve">for the design).</w:t>
      </w:r>
      <w:r>
        <w:t xml:space="preserve"> </w:t>
      </w:r>
      <w:r>
        <w:t xml:space="preserve">Part A is therefore additionally fitted restricted to gender agreement, the property with</w:t>
      </w:r>
      <w:r>
        <w:t xml:space="preserve"> </w:t>
      </w:r>
      <w:r>
        <w:t xml:space="preserve">full session coverage, so that the predictor pattern can be read on an outcome free of the</w:t>
      </w:r>
      <w:r>
        <w:t xml:space="preserve"> </w:t>
      </w:r>
      <w:r>
        <w:t xml:space="preserve">cumulative design. The pooled model is the primary analysis and the gender-agreement</w:t>
      </w:r>
      <w:r>
        <w:t xml:space="preserve"> </w:t>
      </w:r>
      <w:r>
        <w:t xml:space="preserve">model its companion.</w:t>
      </w:r>
    </w:p>
    <w:bookmarkEnd w:id="23"/>
    <w:bookmarkStart w:id="24" w:name="Xb4794e3a175eace7b95b5dc107cbd8c69d362e5"/>
    <w:p>
      <w:pPr>
        <w:pStyle w:val="Heading2"/>
      </w:pPr>
      <w:r>
        <w:t xml:space="preserve">Pre/post models of executive function (Part B)</w:t>
      </w:r>
    </w:p>
    <w:p>
      <w:pPr>
        <w:pStyle w:val="FirstParagraph"/>
      </w:pPr>
      <w:r>
        <w:t xml:space="preserve">Part B fits a Gaussian pre/post</w:t>
      </w:r>
      <w:r>
        <w:t xml:space="preserve"> </w:t>
      </w:r>
      <w:r>
        <w:t xml:space="preserve">model of each cognitive index (Session 1 versus Session 5) with a by-participant intercept and a</w:t>
      </w:r>
      <w:r>
        <w:t xml:space="preserve"> </w:t>
      </w:r>
      <m:oMath>
        <m:r>
          <m:rPr>
            <m:sty m:val="p"/>
          </m:rPr>
          <m:t>±</m:t>
        </m:r>
        <m:r>
          <m:t>0.5</m:t>
        </m:r>
      </m:oMath>
      <w:r>
        <w:t xml:space="preserve"> </w:t>
      </w:r>
      <w:r>
        <w:t xml:space="preserve">pre/post contrast. Because the study has no no-training control group, a pre/post change is confounded with the generic threats that attend any uncontrolled retest</w:t>
      </w:r>
      <w:r>
        <w:t xml:space="preserve"> </w:t>
      </w:r>
      <w:r>
        <w:t xml:space="preserve">(Shadish et al. 2002)</w:t>
      </w:r>
      <w:r>
        <w:t xml:space="preserve">. We add a joint model across the three</w:t>
      </w:r>
      <w:r>
        <w:t xml:space="preserve"> </w:t>
      </w:r>
      <m:oMath>
        <m:r>
          <m:t>z</m:t>
        </m:r>
      </m:oMath>
      <w:r>
        <w:t xml:space="preserve">-scored indices in which each acts as an internal control for the others. With digit span as the reference level, the</w:t>
      </w:r>
      <w:r>
        <w:t xml:space="preserve"> </w:t>
      </w:r>
      <w:r>
        <w:t xml:space="preserve">session effect is its pre/post change and each measure-by-session term is how much less that</w:t>
      </w:r>
      <w:r>
        <w:t xml:space="preserve"> </w:t>
      </w:r>
      <w:r>
        <w:t xml:space="preserve">measure changed. The model can therefore identify a change concentrated in one index and set it</w:t>
      </w:r>
      <w:r>
        <w:t xml:space="preserve"> </w:t>
      </w:r>
      <w:r>
        <w:t xml:space="preserve">against the broad shift that practice, regression to the mean or expectancy would produce.</w:t>
      </w:r>
      <w:r>
        <w:t xml:space="preserve"> </w:t>
      </w:r>
      <w:r>
        <w:t xml:space="preserve">The three indices are standardised within measure and enter on their recorded polarity,</w:t>
      </w:r>
      <w:r>
        <w:t xml:space="preserve"> </w:t>
      </w:r>
      <w:r>
        <w:t xml:space="preserve">which is not aligned across them: higher digit span is better performance, higher Stroop</w:t>
      </w:r>
      <w:r>
        <w:t xml:space="preserve"> </w:t>
      </w:r>
      <w:r>
        <w:t xml:space="preserve">interference worse. A generic improvement therefore moves the two in opposite signed</w:t>
      </w:r>
      <w:r>
        <w:t xml:space="preserve"> </w:t>
      </w:r>
      <w:r>
        <w:t xml:space="preserve">directions, so the digit-span-versus-Stroop contrast confounds specificity with that</w:t>
      </w:r>
      <w:r>
        <w:t xml:space="preserve"> </w:t>
      </w:r>
      <w:r>
        <w:t xml:space="preserve">opposition and should be read as an upper bound on the separation. A sign-aligned refit,</w:t>
      </w:r>
      <w:r>
        <w:t xml:space="preserve"> </w:t>
      </w:r>
      <w:r>
        <w:t xml:space="preserve">in which the Stroop index is reversed before standardisation so that a positive change</w:t>
      </w:r>
      <w:r>
        <w:t xml:space="preserve"> </w:t>
      </w:r>
      <w:r>
        <w:t xml:space="preserve">means improvement on all three indices, is reported alongside it. Because resting-state</w:t>
      </w:r>
      <w:r>
        <w:t xml:space="preserve"> </w:t>
      </w:r>
      <w:r>
        <w:t xml:space="preserve">EEG was recorded only at baseline, no neural pre/post is estimated.</w:t>
      </w:r>
    </w:p>
    <w:bookmarkEnd w:id="24"/>
    <w:bookmarkStart w:id="25" w:name="priors"/>
    <w:p>
      <w:pPr>
        <w:pStyle w:val="Heading2"/>
      </w:pPr>
      <w:r>
        <w:t xml:space="preserve">Priors</w:t>
      </w:r>
    </w:p>
    <w:p>
      <w:pPr>
        <w:pStyle w:val="FirstParagraph"/>
      </w:pPr>
      <w:r>
        <w:t xml:space="preserve">Priors are informative and standardised on the logit scale, established from the</w:t>
      </w:r>
      <w:r>
        <w:t xml:space="preserve"> </w:t>
      </w:r>
      <w:r>
        <w:t xml:space="preserve">literature reviewed in the Introduction and following a selective, evidence-tiered scheme. The cited behavioural associations are</w:t>
      </w:r>
      <w:r>
        <w:t xml:space="preserve"> </w:t>
      </w:r>
      <w:r>
        <w:rPr>
          <w:i/>
          <w:iCs/>
        </w:rPr>
        <w:t xml:space="preserve">attainment</w:t>
      </w:r>
      <w:r>
        <w:t xml:space="preserve"> </w:t>
      </w:r>
      <w:r>
        <w:t xml:space="preserve">correlations, so each small informative prior is placed on a predictor’s main effect and shrunk towards zero on its interaction with session. Working memory and statistical learning receive small</w:t>
      </w:r>
      <w:r>
        <w:t xml:space="preserve"> </w:t>
      </w:r>
      <w:r>
        <w:t xml:space="preserve">positive priors</w:t>
      </w:r>
      <w:r>
        <w:t xml:space="preserve"> </w:t>
      </w:r>
      <w:r>
        <w:t xml:space="preserve">(Linck et al. 2014; Kurokawa 2026; Zhou et al. 2024; Misyak and Christiansen 2012)</w:t>
      </w:r>
      <w:r>
        <w:t xml:space="preserve">. Inhibitory control</w:t>
      </w:r>
      <w:r>
        <w:t xml:space="preserve"> </w:t>
      </w:r>
      <w:r>
        <w:t xml:space="preserve">receives a near-zero regularising prior, reflecting its weak-to-null evidence base</w:t>
      </w:r>
      <w:r>
        <w:t xml:space="preserve"> </w:t>
      </w:r>
      <w:r>
        <w:t xml:space="preserve">(Huensch 2024; Linck and Weiss 2015; Chen et al. 2022)</w:t>
      </w:r>
      <w:r>
        <w:t xml:space="preserve">, and the resting-state EEG predictors receive</w:t>
      </w:r>
      <w:r>
        <w:t xml:space="preserve"> </w:t>
      </w:r>
      <w:r>
        <w:t xml:space="preserve">near-zero regularising priors. The band-power precedent</w:t>
      </w:r>
      <w:r>
        <w:t xml:space="preserve"> </w:t>
      </w:r>
      <w:r>
        <w:t xml:space="preserve">(Prat et al. 2016, 2019)</w:t>
      </w:r>
      <w:r>
        <w:t xml:space="preserve"> </w:t>
      </w:r>
      <w:r>
        <w:t xml:space="preserve">was</w:t>
      </w:r>
      <w:r>
        <w:t xml:space="preserve"> </w:t>
      </w:r>
      <w:r>
        <w:t xml:space="preserve">obtained over a different scalp region and for a different outcome, learning rate, so no</w:t>
      </w:r>
      <w:r>
        <w:t xml:space="preserve"> </w:t>
      </w:r>
      <w:r>
        <w:t xml:space="preserve">directional prior is encoded for the bands, and a null obtained under regularising priors</w:t>
      </w:r>
      <w:r>
        <w:t xml:space="preserve"> </w:t>
      </w:r>
      <w:r>
        <w:t xml:space="preserve">at this sample size cannot count against that precedent. Variance components receive</w:t>
      </w:r>
      <w:r>
        <w:t xml:space="preserve"> </w:t>
      </w:r>
      <w:r>
        <w:t xml:space="preserve">generous</w:t>
      </w:r>
      <w:r>
        <w:t xml:space="preserve"> </w:t>
      </w:r>
      <w:r>
        <w:t xml:space="preserve">half–Student-</w:t>
      </w:r>
      <m:oMath>
        <m:r>
          <m:t>t</m:t>
        </m:r>
        <m:r>
          <m:rPr>
            <m:sty m:val="p"/>
          </m:rPr>
          <m:t>(</m:t>
        </m:r>
        <m:r>
          <m:t>3</m:t>
        </m:r>
        <m:r>
          <m:rPr>
            <m:sty m:val="p"/>
          </m:rPr>
          <m:t>,</m:t>
        </m:r>
        <m:r>
          <m:t>0</m:t>
        </m:r>
        <m:r>
          <m:rPr>
            <m:sty m:val="p"/>
          </m:rPr>
          <m:t>,</m:t>
        </m:r>
        <m:r>
          <m:t>2.5</m:t>
        </m:r>
        <m:r>
          <m:rPr>
            <m:sty m:val="p"/>
          </m:rPr>
          <m:t>)</m:t>
        </m:r>
      </m:oMath>
      <w:r>
        <w:t xml:space="preserve"> </w:t>
      </w:r>
      <w:r>
        <w:t xml:space="preserve">priors and correlations an</w:t>
      </w:r>
      <w:r>
        <w:t xml:space="preserve"> </w:t>
      </w:r>
      <m:oMath>
        <m:r>
          <m:rPr>
            <m:sty m:val="p"/>
          </m:rPr>
          <m:t>L</m:t>
        </m:r>
        <m:r>
          <m:rPr>
            <m:sty m:val="p"/>
          </m:rPr>
          <m:t>K</m:t>
        </m:r>
        <m:r>
          <m:rPr>
            <m:sty m:val="p"/>
          </m:rPr>
          <m:t>J</m:t>
        </m:r>
        <m:r>
          <m:rPr>
            <m:sty m:val="p"/>
          </m:rPr>
          <m:t>(</m:t>
        </m:r>
        <m:r>
          <m:t>2</m:t>
        </m:r>
        <m:r>
          <m:rPr>
            <m:sty m:val="p"/>
          </m:rPr>
          <m:t>)</m:t>
        </m:r>
      </m:oMath>
      <w:r>
        <w:t xml:space="preserve"> </w:t>
      </w:r>
      <w:r>
        <w:t xml:space="preserve">prior</w:t>
      </w:r>
      <w:r>
        <w:t xml:space="preserve"> </w:t>
      </w:r>
      <w:r>
        <w:t xml:space="preserve">(Gelman 2006; Lewandowski et al. 2009)</w:t>
      </w:r>
      <w:r>
        <w:t xml:space="preserve">. In a sensitivity analysis, the Part A predictors were</w:t>
      </w:r>
      <w:r>
        <w:t xml:space="preserve"> </w:t>
      </w:r>
      <w:r>
        <w:t xml:space="preserve">re-fit under weakly informative priors,</w:t>
      </w:r>
      <w:r>
        <w:t xml:space="preserve"> </w:t>
      </w:r>
      <m:oMath>
        <m:r>
          <m:rPr>
            <m:scr m:val="script"/>
            <m:sty m:val="p"/>
          </m:rPr>
          <m:t>N</m:t>
        </m:r>
        <m:r>
          <m:rPr>
            <m:sty m:val="p"/>
          </m:rPr>
          <m:t>(</m:t>
        </m:r>
        <m:r>
          <m:t>0</m:t>
        </m:r>
        <m:r>
          <m:rPr>
            <m:sty m:val="p"/>
          </m:rPr>
          <m:t>,</m:t>
        </m:r>
        <m:r>
          <m:t>1.5</m:t>
        </m:r>
        <m:r>
          <m:rPr>
            <m:sty m:val="p"/>
          </m:rPr>
          <m:t>)</m:t>
        </m:r>
      </m:oMath>
      <w:r>
        <w:t xml:space="preserve"> </w:t>
      </w:r>
      <w:r>
        <w:t xml:space="preserve">on the intercept and on</w:t>
      </w:r>
      <w:r>
        <w:t xml:space="preserve"> </w:t>
      </w:r>
      <w:r>
        <w:t xml:space="preserve">every population-level coefficient, with the variance and correlation priors unchanged</w:t>
      </w:r>
      <w:r>
        <w:t xml:space="preserve"> </w:t>
      </w:r>
      <w:r>
        <w:t xml:space="preserve">(see Results). The Part B pre/post models use weakly informative priors throughout</w:t>
      </w:r>
      <w:r>
        <w:t xml:space="preserve"> </w:t>
      </w:r>
      <w:r>
        <w:t xml:space="preserve">(Schad et al. 2021;</w:t>
      </w:r>
      <w:r>
        <w:t xml:space="preserve"> </w:t>
      </w:r>
      <w:r>
        <w:t xml:space="preserve">Depaoli and van de Schoot</w:t>
      </w:r>
      <w:r>
        <w:t xml:space="preserve"> </w:t>
      </w:r>
      <w:r>
        <w:t xml:space="preserve">2017)</w:t>
      </w:r>
      <w:r>
        <w:t xml:space="preserve">. In brief, the Part A intercept has a</w:t>
      </w:r>
      <w:r>
        <w:t xml:space="preserve"> </w:t>
      </w:r>
      <m:oMath>
        <m:r>
          <m:rPr>
            <m:scr m:val="script"/>
            <m:sty m:val="p"/>
          </m:rPr>
          <m:t>N</m:t>
        </m:r>
        <m:r>
          <m:rPr>
            <m:sty m:val="p"/>
          </m:rPr>
          <m:t>(</m:t>
        </m:r>
        <m:r>
          <m:t>1</m:t>
        </m:r>
        <m:r>
          <m:rPr>
            <m:sty m:val="p"/>
          </m:rPr>
          <m:t>,</m:t>
        </m:r>
        <m:r>
          <m:t>1</m:t>
        </m:r>
        <m:r>
          <m:rPr>
            <m:sty m:val="p"/>
          </m:rPr>
          <m:t>)</m:t>
        </m:r>
      </m:oMath>
      <w:r>
        <w:t xml:space="preserve"> </w:t>
      </w:r>
      <w:r>
        <w:t xml:space="preserve">prior on the logit scale, any population-level coefficient without a term-specific prior</w:t>
      </w:r>
      <w:r>
        <w:t xml:space="preserve"> </w:t>
      </w:r>
      <w:r>
        <w:t xml:space="preserve">has</w:t>
      </w:r>
      <w:r>
        <w:t xml:space="preserve"> </w:t>
      </w:r>
      <m:oMath>
        <m:r>
          <m:rPr>
            <m:scr m:val="script"/>
            <m:sty m:val="p"/>
          </m:rPr>
          <m:t>N</m:t>
        </m:r>
        <m:r>
          <m:rPr>
            <m:sty m:val="p"/>
          </m:rPr>
          <m:t>(</m:t>
        </m:r>
        <m:r>
          <m:t>0</m:t>
        </m:r>
        <m:r>
          <m:rPr>
            <m:sty m:val="p"/>
          </m:rPr>
          <m:t>,</m:t>
        </m:r>
        <m:r>
          <m:t>1</m:t>
        </m:r>
        <m:r>
          <m:rPr>
            <m:sty m:val="p"/>
          </m:rPr>
          <m:t>)</m:t>
        </m:r>
      </m:oMath>
      <w:r>
        <w:t xml:space="preserve"> </w:t>
      </w:r>
      <w:r>
        <w:t xml:space="preserve">(Gelman et al. 2008)</w:t>
      </w:r>
      <w:r>
        <w:t xml:space="preserve">, and the term-specific priors are small positive</w:t>
      </w:r>
      <w:r>
        <w:t xml:space="preserve"> </w:t>
      </w:r>
      <w:r>
        <w:t xml:space="preserve">normals for working memory and statistical learning and near-zero normals for inhibitory</w:t>
      </w:r>
      <w:r>
        <w:t xml:space="preserve"> </w:t>
      </w:r>
      <w:r>
        <w:t xml:space="preserve">control and every resting-state predictor. The full specification is given in the online</w:t>
      </w:r>
      <w:r>
        <w:t xml:space="preserve"> </w:t>
      </w:r>
      <w:r>
        <w:t xml:space="preserve">supplementary material (Section S6).</w:t>
      </w:r>
    </w:p>
    <w:bookmarkEnd w:id="25"/>
    <w:bookmarkStart w:id="27" w:name="sampler-diagnostics-and-inference"/>
    <w:p>
      <w:pPr>
        <w:pStyle w:val="Heading2"/>
      </w:pPr>
      <w:r>
        <w:t xml:space="preserve">Sampler, diagnostics and inference</w:t>
      </w:r>
    </w:p>
    <w:p>
      <w:pPr>
        <w:pStyle w:val="FirstParagraph"/>
      </w:pPr>
      <w:r>
        <w:t xml:space="preserve">Models were fitted with</w:t>
      </w:r>
      <w:r>
        <w:t xml:space="preserve"> </w:t>
      </w:r>
      <w:r>
        <w:rPr>
          <w:rStyle w:val="VerbatimChar"/>
        </w:rPr>
        <w:t xml:space="preserve">brms</w:t>
      </w:r>
      <w:r>
        <w:t xml:space="preserve"> </w:t>
      </w:r>
      <w:r>
        <w:t xml:space="preserve">(Bürkner 2017, 2018)</w:t>
      </w:r>
      <w:r>
        <w:t xml:space="preserve"> </w:t>
      </w:r>
      <w:r>
        <w:t xml:space="preserve">as a front end to Stan</w:t>
      </w:r>
      <w:r>
        <w:t xml:space="preserve"> </w:t>
      </w:r>
      <w:r>
        <w:t xml:space="preserve">(Carpenter et al. 2017)</w:t>
      </w:r>
      <w:r>
        <w:t xml:space="preserve">, using the same sampler configuration as the companion paper</w:t>
      </w:r>
      <w:r>
        <w:t xml:space="preserve"> </w:t>
      </w:r>
      <w:r>
        <w:t xml:space="preserve">(Bernabeu et al. 2026)</w:t>
      </w:r>
      <w:r>
        <w:t xml:space="preserve">: four chains</w:t>
      </w:r>
      <w:r>
        <w:t xml:space="preserve"> </w:t>
      </w:r>
      <w:r>
        <w:t xml:space="preserve">of 10,000 iterations each, the first 2,000 discarded as warm-up, giving 32,000 post-warm-up</w:t>
      </w:r>
      <w:r>
        <w:t xml:space="preserve"> </w:t>
      </w:r>
      <w:r>
        <w:t xml:space="preserve">draws, with</w:t>
      </w:r>
      <w:r>
        <w:t xml:space="preserve"> </w:t>
      </w:r>
      <w:r>
        <w:rPr>
          <w:rStyle w:val="VerbatimChar"/>
        </w:rPr>
        <w:t xml:space="preserve">adapt_delta</w:t>
      </w:r>
      <w:r>
        <w:t xml:space="preserve"> </w:t>
      </w:r>
      <w:r>
        <w:t xml:space="preserve">= 0.95 and</w:t>
      </w:r>
      <w:r>
        <w:t xml:space="preserve"> </w:t>
      </w:r>
      <w:r>
        <w:rPr>
          <w:rStyle w:val="VerbatimChar"/>
        </w:rPr>
        <w:t xml:space="preserve">max_treedepth</w:t>
      </w:r>
      <w:r>
        <w:t xml:space="preserve"> </w:t>
      </w:r>
      <w:r>
        <w:t xml:space="preserve">= 12. The convergence gate was</w:t>
      </w:r>
      <w:r>
        <w:t xml:space="preserve"> </w:t>
      </w:r>
      <w:r>
        <w:t xml:space="preserve">rank-normalised</w:t>
      </w:r>
      <w:r>
        <w:t xml:space="preserve"> </w:t>
      </w:r>
      <m:oMath>
        <m:acc>
          <m:accPr>
            <m:chr m:val="̂"/>
          </m:accPr>
          <m:e>
            <m:r>
              <m:t>R</m:t>
            </m:r>
          </m:e>
        </m:acc>
        <m:r>
          <m:rPr>
            <m:sty m:val="p"/>
          </m:rPr>
          <m:t>&lt;</m:t>
        </m:r>
        <m:r>
          <m:t>1.01</m:t>
        </m:r>
      </m:oMath>
      <w:r>
        <w:t xml:space="preserve">, bulk- and tail-ESS above 400, and zero divergent</w:t>
      </w:r>
      <w:r>
        <w:t xml:space="preserve"> </w:t>
      </w:r>
      <w:r>
        <w:t xml:space="preserve">transitions</w:t>
      </w:r>
      <w:r>
        <w:t xml:space="preserve"> </w:t>
      </w:r>
      <w:r>
        <w:t xml:space="preserve">(Vehtari et al. 2021)</w:t>
      </w:r>
      <w:r>
        <w:t xml:space="preserve">. Posterior predictive checks for the Part A models were</w:t>
      </w:r>
      <w:r>
        <w:t xml:space="preserve"> </w:t>
      </w:r>
      <w:r>
        <w:t xml:space="preserve">written to the repository at fit time</w:t>
      </w:r>
      <w:r>
        <w:t xml:space="preserve"> </w:t>
      </w:r>
      <w:r>
        <w:t xml:space="preserve">(Gabry et al. 2019)</w:t>
      </w:r>
      <w:r>
        <w:t xml:space="preserve">, and inference was by posterior</w:t>
      </w:r>
      <w:r>
        <w:t xml:space="preserve"> </w:t>
      </w:r>
      <w:r>
        <w:t xml:space="preserve">medians, 95% credible intervals and</w:t>
      </w:r>
      <w:r>
        <w:t xml:space="preserve"> </w:t>
      </w:r>
      <w:r>
        <w:t xml:space="preserve">the probability of direction (</w:t>
      </w:r>
      <m:oMath>
        <m:sSub>
          <m:e>
            <m:r>
              <m:t>p</m:t>
            </m:r>
          </m:e>
          <m:sub>
            <m:r>
              <m:t>d</m:t>
            </m:r>
          </m:sub>
        </m:sSub>
      </m:oMath>
      <w:r>
        <w:t xml:space="preserve">)</w:t>
      </w:r>
      <w:r>
        <w:t xml:space="preserve"> </w:t>
      </w:r>
      <w:r>
        <w:t xml:space="preserve">(Makowski et al. 2019; Kruschke and Liddell 2018)</w:t>
      </w:r>
      <w:r>
        <w:t xml:space="preserve">, every credible</w:t>
      </w:r>
      <w:r>
        <w:t xml:space="preserve"> </w:t>
      </w:r>
      <w:r>
        <w:t xml:space="preserve">interval being equal-tailed (2.5th to 97.5th percentiles of the draws). An ESS of 400</w:t>
      </w:r>
      <w:r>
        <w:t xml:space="preserve"> </w:t>
      </w:r>
      <w:r>
        <w:t xml:space="preserve">guarantees trustworthy diagnostics without guaranteeing the stability of an interval</w:t>
      </w:r>
      <w:r>
        <w:t xml:space="preserve"> </w:t>
      </w:r>
      <w:r>
        <w:t xml:space="preserve">limit</w:t>
      </w:r>
      <w:r>
        <w:t xml:space="preserve"> </w:t>
      </w:r>
      <w:r>
        <w:t xml:space="preserve">(Kruschke 2021; Vehtari et al. 2021)</w:t>
      </w:r>
      <w:r>
        <w:t xml:space="preserve">. As in the companion paper,</w:t>
      </w:r>
      <w:r>
        <w:t xml:space="preserve"> </w:t>
      </w:r>
      <w:r>
        <w:t xml:space="preserve">we describe an effect as credible when its 95% credible interval excludes zero, and</w:t>
      </w:r>
      <w:r>
        <w:t xml:space="preserve"> </w:t>
      </w:r>
      <w:r>
        <w:t xml:space="preserve">otherwise read the probability of direction as a continuous index of directional</w:t>
      </w:r>
      <w:r>
        <w:t xml:space="preserve"> </w:t>
      </w:r>
      <w:r>
        <w:t xml:space="preserve">certainty, never as a dichotomous test. The projection-predictive and aperiodic analyses</w:t>
      </w:r>
      <w:r>
        <w:t xml:space="preserve"> </w:t>
      </w:r>
      <w:r>
        <w:t xml:space="preserve">narrow the predictor space, and we apply no blanket multiplicity correction, which would</w:t>
      </w:r>
      <w:r>
        <w:t xml:space="preserve"> </w:t>
      </w:r>
      <w:r>
        <w:t xml:space="preserve">inflate Type II error without an inferential gain</w:t>
      </w:r>
      <w:r>
        <w:t xml:space="preserve"> </w:t>
      </w:r>
      <w:r>
        <w:t xml:space="preserve">(Rubin 2021)</w:t>
      </w:r>
      <w:r>
        <w:t xml:space="preserve">. Binary accuracy is</w:t>
      </w:r>
      <w:r>
        <w:t xml:space="preserve"> </w:t>
      </w:r>
      <w:r>
        <w:t xml:space="preserve">modelled with a Bernoulli (logit) likelihood throughout. Analyses were carried out in R</w:t>
      </w:r>
      <w:r>
        <w:t xml:space="preserve"> </w:t>
      </w:r>
      <w:r>
        <w:t xml:space="preserve">4.5.1</w:t>
      </w:r>
      <w:r>
        <w:t xml:space="preserve"> </w:t>
      </w:r>
      <w:r>
        <w:t xml:space="preserve">(R Core Team 2025)</w:t>
      </w:r>
      <w:r>
        <w:t xml:space="preserve"> </w:t>
      </w:r>
      <w:r>
        <w:t xml:space="preserve">with</w:t>
      </w:r>
      <w:r>
        <w:t xml:space="preserve"> </w:t>
      </w:r>
      <w:r>
        <w:rPr>
          <w:rStyle w:val="VerbatimChar"/>
        </w:rPr>
        <w:t xml:space="preserve">brms</w:t>
      </w:r>
      <w:r>
        <w:t xml:space="preserve"> </w:t>
      </w:r>
      <w:r>
        <w:t xml:space="preserve">2.23.0 as a front end to CmdStan 2.39.0,</w:t>
      </w:r>
      <w:r>
        <w:t xml:space="preserve"> </w:t>
      </w:r>
      <w:r>
        <w:rPr>
          <w:rStyle w:val="VerbatimChar"/>
        </w:rPr>
        <w:t xml:space="preserve">projpred</w:t>
      </w:r>
      <w:r>
        <w:t xml:space="preserve"> </w:t>
      </w:r>
      <w:r>
        <w:t xml:space="preserve">2.10.0 for the projection-predictive selection and</w:t>
      </w:r>
      <w:r>
        <w:t xml:space="preserve"> </w:t>
      </w:r>
      <w:r>
        <w:rPr>
          <w:rStyle w:val="VerbatimChar"/>
        </w:rPr>
        <w:t xml:space="preserve">loo</w:t>
      </w:r>
      <w:r>
        <w:t xml:space="preserve"> </w:t>
      </w:r>
      <w:r>
        <w:t xml:space="preserve">2.9.0 for the Pareto-smoothed importance-sampling leave-one-out (PSIS-LOO)</w:t>
      </w:r>
      <w:r>
        <w:t xml:space="preserve"> </w:t>
      </w:r>
      <w:r>
        <w:t xml:space="preserve">comparison, under the fixed seed 20260607, in a</w:t>
      </w:r>
      <w:r>
        <w:t xml:space="preserve"> </w:t>
      </w:r>
      <w:r>
        <w:t xml:space="preserve">reproducible</w:t>
      </w:r>
      <w:r>
        <w:t xml:space="preserve"> </w:t>
      </w:r>
      <w:r>
        <w:rPr>
          <w:rStyle w:val="VerbatimChar"/>
        </w:rPr>
        <w:t xml:space="preserve">here()</w:t>
      </w:r>
      <w:r>
        <w:t xml:space="preserve">-anchored compendium</w:t>
      </w:r>
      <w:r>
        <w:t xml:space="preserve"> </w:t>
      </w:r>
      <w:r>
        <w:t xml:space="preserve">(Marwick et al. 2018)</w:t>
      </w:r>
      <w:r>
        <w:t xml:space="preserve">. The models were fitted on a</w:t>
      </w:r>
      <w:r>
        <w:t xml:space="preserve"> </w:t>
      </w:r>
      <w:r>
        <w:t xml:space="preserve">Linux computing cluster, the versions given above are those of the fitting run, and the</w:t>
      </w:r>
      <w:r>
        <w:t xml:space="preserve"> </w:t>
      </w:r>
      <w:r>
        <w:t xml:space="preserve">platform, the compiler settings and the figure palette are given in the online</w:t>
      </w:r>
      <w:r>
        <w:t xml:space="preserve"> </w:t>
      </w:r>
      <w:r>
        <w:t xml:space="preserve">supplementary material (Section S7). The analysis and reporting code was written</w:t>
      </w:r>
      <w:r>
        <w:t xml:space="preserve"> </w:t>
      </w:r>
      <w:r>
        <w:t xml:space="preserve">with the assistance of Claude Code (version 2.1, Anthropic), running primarily the</w:t>
      </w:r>
      <w:r>
        <w:t xml:space="preserve"> </w:t>
      </w:r>
      <w:r>
        <w:t xml:space="preserve">Claude Opus and Claude Fable models, accessed through Anthropic’s Claude service</w:t>
      </w:r>
      <w:r>
        <w:t xml:space="preserve"> </w:t>
      </w:r>
      <w:r>
        <w:t xml:space="preserve">(</w:t>
      </w:r>
      <w:hyperlink r:id="rId26">
        <w:r>
          <w:rPr>
            <w:rStyle w:val="Hyperlink"/>
          </w:rPr>
          <w:t xml:space="preserve">https://claude.com/claude-code</w:t>
        </w:r>
      </w:hyperlink>
      <w:r>
        <w:t xml:space="preserve">) between July 2026 and September 2026. The tool</w:t>
      </w:r>
      <w:r>
        <w:t xml:space="preserve"> </w:t>
      </w:r>
      <w:r>
        <w:t xml:space="preserve">drafted and revised scripts under the authors’ direction and checked them against the</w:t>
      </w:r>
      <w:r>
        <w:t xml:space="preserve"> </w:t>
      </w:r>
      <w:r>
        <w:t xml:space="preserve">method reported here. The authors reviewed and ran every script, and the deposited code</w:t>
      </w:r>
      <w:r>
        <w:t xml:space="preserve"> </w:t>
      </w:r>
      <w:r>
        <w:t xml:space="preserve">reproduces the analyses without the tool.</w:t>
      </w:r>
    </w:p>
    <w:bookmarkEnd w:id="27"/>
    <w:bookmarkStart w:id="28" w:name="X86a843115a3863fa8d435e2432715bd77dba8f0"/>
    <w:p>
      <w:pPr>
        <w:pStyle w:val="Heading2"/>
      </w:pPr>
      <w:r>
        <w:t xml:space="preserve">Predictor selection and a 1/f-adjusted robustness check</w:t>
      </w:r>
    </w:p>
    <w:p>
      <w:pPr>
        <w:pStyle w:val="FirstParagraph"/>
      </w:pPr>
      <w:r>
        <w:t xml:space="preserve">Two further analyses probe the neural predictors. First, raw resting-state band power</w:t>
      </w:r>
      <w:r>
        <w:t xml:space="preserve"> </w:t>
      </w:r>
      <w:r>
        <w:t xml:space="preserve">conflates oscillatory activity with the aperiodic</w:t>
      </w:r>
      <w:r>
        <w:t xml:space="preserve"> </w:t>
      </w:r>
      <m:oMath>
        <m:r>
          <m:t>1</m:t>
        </m:r>
        <m:r>
          <m:rPr>
            <m:sty m:val="p"/>
          </m:rPr>
          <m:t>/</m:t>
        </m:r>
        <m:r>
          <m:t>f</m:t>
        </m:r>
      </m:oMath>
      <w:r>
        <w:t xml:space="preserve"> </w:t>
      </w:r>
      <w:r>
        <w:t xml:space="preserve">background, itself a substantive</w:t>
      </w:r>
      <w:r>
        <w:t xml:space="preserve"> </w:t>
      </w:r>
      <w:r>
        <w:t xml:space="preserve">individual difference</w:t>
      </w:r>
      <w:r>
        <w:t xml:space="preserve"> </w:t>
      </w:r>
      <w:r>
        <w:t xml:space="preserve">(Donoghue et al. 2020; Ouyang et al. 2020)</w:t>
      </w:r>
      <w:r>
        <w:t xml:space="preserve">. We therefore re-parameterised each</w:t>
      </w:r>
      <w:r>
        <w:t xml:space="preserve"> </w:t>
      </w:r>
      <w:r>
        <w:t xml:space="preserve">participant’s baseline spectrum with a specparam decomposition</w:t>
      </w:r>
      <w:r>
        <w:t xml:space="preserve"> </w:t>
      </w:r>
      <w:r>
        <w:t xml:space="preserve">(Donoghue et al. 2020)</w:t>
      </w:r>
      <w:r>
        <w:t xml:space="preserve"> </w:t>
      </w:r>
      <w:r>
        <w:t xml:space="preserve">into an</w:t>
      </w:r>
      <w:r>
        <w:t xml:space="preserve"> </w:t>
      </w:r>
      <w:r>
        <w:t xml:space="preserve">aperiodic component (exponent and offset),</w:t>
      </w:r>
      <w:r>
        <w:t xml:space="preserve"> </w:t>
      </w:r>
      <m:oMath>
        <m:r>
          <m:t>1</m:t>
        </m:r>
        <m:r>
          <m:rPr>
            <m:sty m:val="p"/>
          </m:rPr>
          <m:t>/</m:t>
        </m:r>
        <m:r>
          <m:t>f</m:t>
        </m:r>
      </m:oMath>
      <w:r>
        <w:t xml:space="preserve">-adjusted theta, alpha and beta power and</w:t>
      </w:r>
      <w:r>
        <w:t xml:space="preserve"> </w:t>
      </w:r>
      <w:r>
        <w:t xml:space="preserve">the specparam individual alpha frequency, the centre of the tallest fitted peak between 7</w:t>
      </w:r>
      <w:r>
        <w:t xml:space="preserve"> </w:t>
      </w:r>
      <w:r>
        <w:t xml:space="preserve">and 13 Hz inclusive. Part A was then re-fit with these quantities in place of the raw</w:t>
      </w:r>
      <w:r>
        <w:t xml:space="preserve"> </w:t>
      </w:r>
      <w:r>
        <w:t xml:space="preserve">bands.</w:t>
      </w:r>
      <w:r>
        <w:t xml:space="preserve"> </w:t>
      </w:r>
      <w:r>
        <w:t xml:space="preserve">The decomposition is our own R implementation, fitted over 2–40 Hz in fixed (knee-free)</w:t>
      </w:r>
      <w:r>
        <w:t xml:space="preserve"> </w:t>
      </w:r>
      <w:r>
        <w:t xml:space="preserve">mode, and its settings and the consequences of the 30 Hz low-pass for the fit are given</w:t>
      </w:r>
      <w:r>
        <w:t xml:space="preserve"> </w:t>
      </w:r>
      <w:r>
        <w:t xml:space="preserve">in the online supplementary material (Section S4), where they can be judged against the</w:t>
      </w:r>
      <w:r>
        <w:t xml:space="preserve"> </w:t>
      </w:r>
      <w:r>
        <w:t xml:space="preserve">recommendations of</w:t>
      </w:r>
      <w:r>
        <w:t xml:space="preserve"> </w:t>
      </w:r>
      <w:r>
        <w:t xml:space="preserve">Gerster et al. (2022)</w:t>
      </w:r>
      <w:r>
        <w:t xml:space="preserve">. Only tall peaks pass the threshold of two standard</w:t>
      </w:r>
      <w:r>
        <w:t xml:space="preserve"> </w:t>
      </w:r>
      <w:r>
        <w:t xml:space="preserve">deviations of the flattened spectrum (Section S4), so a theta peak was fitted in</w:t>
      </w:r>
      <w:r>
        <w:t xml:space="preserve"> </w:t>
      </w:r>
      <w:r>
        <w:t xml:space="preserve">1, a peak within the individual-alpha window in</w:t>
      </w:r>
      <w:r>
        <w:t xml:space="preserve"> </w:t>
      </w:r>
      <w:r>
        <w:t xml:space="preserve">54 and a beta peak in 9 of the</w:t>
      </w:r>
      <w:r>
        <w:t xml:space="preserve"> </w:t>
      </w:r>
      <w:r>
        <w:t xml:space="preserve">60 eyes-closed recordings. The adjusted theta and beta predictors are</w:t>
      </w:r>
      <w:r>
        <w:t xml:space="preserve"> </w:t>
      </w:r>
      <w:r>
        <w:t xml:space="preserve">therefore close to constant, and we do not interpret their coefficients or their</w:t>
      </w:r>
      <w:r>
        <w:t xml:space="preserve"> </w:t>
      </w:r>
      <w:r>
        <w:t xml:space="preserve">positions in the selection path. This aperiodic variant is a robustness check of the</w:t>
      </w:r>
      <w:r>
        <w:t xml:space="preserve"> </w:t>
      </w:r>
      <w:r>
        <w:t xml:space="preserve">raw-band model, specified after data collection like the rest of the analysis plan (see</w:t>
      </w:r>
      <w:r>
        <w:t xml:space="preserve"> </w:t>
      </w:r>
      <w:r>
        <w:rPr>
          <w:i/>
          <w:iCs/>
        </w:rPr>
        <w:t xml:space="preserve">Transparency and preregistration</w:t>
      </w:r>
      <w:r>
        <w:t xml:space="preserve">), and it is not a second pass over the predictor</w:t>
      </w:r>
      <w:r>
        <w:t xml:space="preserve"> </w:t>
      </w:r>
      <w:r>
        <w:t xml:space="preserve">space.</w:t>
      </w:r>
    </w:p>
    <w:p>
      <w:pPr>
        <w:pStyle w:val="BodyText"/>
      </w:pPr>
      <w:r>
        <w:t xml:space="preserve">The two reference models are compared by leave-one-out cross-validation</w:t>
      </w:r>
      <w:r>
        <w:t xml:space="preserve"> </w:t>
      </w:r>
      <w:r>
        <w:t xml:space="preserve">(Vehtari et al. 2017)</w:t>
      </w:r>
      <w:r>
        <w:t xml:space="preserve">.</w:t>
      </w:r>
      <w:r>
        <w:t xml:space="preserve"> </w:t>
      </w:r>
      <w:r>
        <w:t xml:space="preserve">Because they differ only in participant-level predictors, which a held-out trial’s own</w:t>
      </w:r>
      <w:r>
        <w:t xml:space="preserve"> </w:t>
      </w:r>
      <w:r>
        <w:t xml:space="preserve">participant intercept already absorbs, they are also compared by</w:t>
      </w:r>
      <w:r>
        <w:t xml:space="preserve"> </w:t>
      </w:r>
      <m:oMath>
        <m:r>
          <m:t>K</m:t>
        </m:r>
      </m:oMath>
      <w:r>
        <w:t xml:space="preserve">-fold cross-validation</w:t>
      </w:r>
      <w:r>
        <w:t xml:space="preserve"> </w:t>
      </w:r>
      <w:r>
        <w:t xml:space="preserve">with folds blocked on participants (</w:t>
      </w:r>
      <m:oMath>
        <m:r>
          <m:t>K</m:t>
        </m:r>
        <m:r>
          <m:rPr>
            <m:sty m:val="p"/>
          </m:rPr>
          <m:t>=</m:t>
        </m:r>
        <m:r>
          <m:t>10</m:t>
        </m:r>
      </m:oMath>
      <w:r>
        <w:t xml:space="preserve">, the same folds for both models, participants</w:t>
      </w:r>
      <w:r>
        <w:t xml:space="preserve"> </w:t>
      </w:r>
      <w:r>
        <w:t xml:space="preserve">dealt round-robin over a seeded shuffle), the remedy</w:t>
      </w:r>
      <w:r>
        <w:t xml:space="preserve"> </w:t>
      </w:r>
      <w:r>
        <w:t xml:space="preserve">Roberts et al. (2017)</w:t>
      </w:r>
      <w:r>
        <w:t xml:space="preserve"> </w:t>
      </w:r>
      <w:r>
        <w:t xml:space="preserve">recommend wherever such</w:t>
      </w:r>
      <w:r>
        <w:t xml:space="preserve"> </w:t>
      </w:r>
      <w:r>
        <w:t xml:space="preserve">dependence exists. We report the difference in expected log predictive density (elpd) with a standard error</w:t>
      </w:r>
      <w:r>
        <w:t xml:space="preserve"> </w:t>
      </w:r>
      <w:r>
        <w:t xml:space="preserve">clustered on participants, summing the pointwise contributions within participant before</w:t>
      </w:r>
      <w:r>
        <w:t xml:space="preserve"> </w:t>
      </w:r>
      <w:r>
        <w:t xml:space="preserve">taking the standard error across participants, and read a difference as decisive only</w:t>
      </w:r>
      <w:r>
        <w:t xml:space="preserve"> </w:t>
      </w:r>
      <w:r>
        <w:t xml:space="preserve">when it exceeds twice that standard error. Why the trial-level criterion cannot settle</w:t>
      </w:r>
      <w:r>
        <w:t xml:space="preserve"> </w:t>
      </w:r>
      <w:r>
        <w:t xml:space="preserve">the comparison on its own, and the naive standard error alongside, are given in the</w:t>
      </w:r>
      <w:r>
        <w:t xml:space="preserve"> </w:t>
      </w:r>
      <w:r>
        <w:t xml:space="preserve">online supplementary material (Section S5).</w:t>
      </w:r>
    </w:p>
    <w:p>
      <w:pPr>
        <w:pStyle w:val="BodyText"/>
      </w:pPr>
      <w:r>
        <w:t xml:space="preserve">Second, the joint Part A model retains every candidate predictor for inference, and</w:t>
      </w:r>
      <w:r>
        <w:t xml:space="preserve"> </w:t>
      </w:r>
      <w:r>
        <w:t xml:space="preserve">projection-predictive variable selection</w:t>
      </w:r>
      <w:r>
        <w:t xml:space="preserve"> </w:t>
      </w:r>
      <w:r>
        <w:t xml:space="preserve">(Piironen and Vehtari 2017; Piironen et al. 2020)</w:t>
      </w:r>
      <w:r>
        <w:t xml:space="preserve"> </w:t>
      </w:r>
      <w:r>
        <w:t xml:space="preserve">asks which subset</w:t>
      </w:r>
      <w:r>
        <w:t xml:space="preserve"> </w:t>
      </w:r>
      <w:r>
        <w:t xml:space="preserve">accounts for its predictive performance by projecting the reference posterior onto</w:t>
      </w:r>
      <w:r>
        <w:t xml:space="preserve"> </w:t>
      </w:r>
      <w:r>
        <w:t xml:space="preserve">nested submodels, each inheriting the reference model’s regularisation. Because the</w:t>
      </w:r>
      <w:r>
        <w:t xml:space="preserve"> </w:t>
      </w:r>
      <w:r>
        <w:t xml:space="preserve">reference model is a multilevel Bernoulli model with a correlated random slope, we use</w:t>
      </w:r>
      <w:r>
        <w:t xml:space="preserve"> </w:t>
      </w:r>
      <w:r>
        <w:t xml:space="preserve">the latent projection</w:t>
      </w:r>
      <w:r>
        <w:t xml:space="preserve"> </w:t>
      </w:r>
      <w:r>
        <w:t xml:space="preserve">(Catalina et al. 2021; McLatchie et al. 2025)</w:t>
      </w:r>
      <w:r>
        <w:t xml:space="preserve">, which fits each projected submodel</w:t>
      </w:r>
      <w:r>
        <w:t xml:space="preserve"> </w:t>
      </w:r>
      <w:r>
        <w:t xml:space="preserve">on the linear-predictor scale and evaluates its performance on the response scale (the</w:t>
      </w:r>
      <w:r>
        <w:t xml:space="preserve"> </w:t>
      </w:r>
      <w:r>
        <w:t xml:space="preserve">reason the traditional projection fails for this model is given in Section S5). The</w:t>
      </w:r>
      <w:r>
        <w:t xml:space="preserve"> </w:t>
      </w:r>
      <w:r>
        <w:t xml:space="preserve">forward search is cross-validated in full over 10</w:t>
      </w:r>
      <w:r>
        <w:t xml:space="preserve"> </w:t>
      </w:r>
      <w:r>
        <w:t xml:space="preserve">participant-grouped folds</w:t>
      </w:r>
      <w:r>
        <w:t xml:space="preserve"> </w:t>
      </w:r>
      <w:r>
        <w:t xml:space="preserve">(Roberts et al. 2017)</w:t>
      </w:r>
      <w:r>
        <w:t xml:space="preserve">, and the suggested submodel size is projpred’s</w:t>
      </w:r>
      <w:r>
        <w:t xml:space="preserve"> </w:t>
      </w:r>
      <w:r>
        <w:t xml:space="preserve">standard heuristic, the smallest size whose cross-validated elpd lies within one standard</w:t>
      </w:r>
      <w:r>
        <w:t xml:space="preserve"> </w:t>
      </w:r>
      <w:r>
        <w:t xml:space="preserve">error of the reference model’s</w:t>
      </w:r>
      <w:r>
        <w:t xml:space="preserve"> </w:t>
      </w:r>
      <w:r>
        <w:t xml:space="preserve">(Piironen et al. 2020)</w:t>
      </w:r>
      <w:r>
        <w:t xml:space="preserve">. A predictor that the minimal submodel</w:t>
      </w:r>
      <w:r>
        <w:t xml:space="preserve"> </w:t>
      </w:r>
      <w:r>
        <w:t xml:space="preserve">does not retain is not thereby shown to be null. The selection summarises which</w:t>
      </w:r>
      <w:r>
        <w:t xml:space="preserve"> </w:t>
      </w:r>
      <w:r>
        <w:t xml:space="preserve">predictors account for the reference model’s predictive performance, and the full Part A</w:t>
      </w:r>
      <w:r>
        <w:t xml:space="preserve"> </w:t>
      </w:r>
      <w:r>
        <w:t xml:space="preserve">posterior remains the inferential statement</w:t>
      </w:r>
      <w:r>
        <w:t xml:space="preserve"> </w:t>
      </w:r>
      <w:r>
        <w:t xml:space="preserve">(Piironen et al. 2020)</w:t>
      </w:r>
      <w:r>
        <w:t xml:space="preserve">. The raw-band and aperiodic</w:t>
      </w:r>
      <w:r>
        <w:t xml:space="preserve"> </w:t>
      </w:r>
      <w:r>
        <w:t xml:space="preserve">reference models’ selections are reported side by side.</w:t>
      </w:r>
    </w:p>
    <w:bookmarkEnd w:id="28"/>
    <w:bookmarkStart w:id="30" w:name="transparency-and-preregistration"/>
    <w:p>
      <w:pPr>
        <w:pStyle w:val="Heading2"/>
      </w:pPr>
      <w:r>
        <w:t xml:space="preserve">Transparency and preregistration</w:t>
      </w:r>
    </w:p>
    <w:p>
      <w:pPr>
        <w:pStyle w:val="FirstParagraph"/>
      </w:pPr>
      <w:r>
        <w:t xml:space="preserve">The study design, materials and session protocol were preregistered before data</w:t>
      </w:r>
      <w:r>
        <w:t xml:space="preserve"> </w:t>
      </w:r>
      <w:r>
        <w:t xml:space="preserve">collection (</w:t>
      </w:r>
      <w:hyperlink r:id="rId29">
        <w:r>
          <w:rPr>
            <w:rStyle w:val="Hyperlink"/>
          </w:rPr>
          <w:t xml:space="preserve">https://osf.io/tjr54</w:t>
        </w:r>
      </w:hyperlink>
      <w:r>
        <w:t xml:space="preserve">), with no statistical analysis plan, so the Bayesian</w:t>
      </w:r>
      <w:r>
        <w:t xml:space="preserve"> </w:t>
      </w:r>
      <w:r>
        <w:t xml:space="preserve">multilevel models, the informative priors, the specparam/aperiodic re-parameterisation</w:t>
      </w:r>
      <w:r>
        <w:t xml:space="preserve"> </w:t>
      </w:r>
      <w:r>
        <w:t xml:space="preserve">and the projection-predictive selection reported here were specified after the data were</w:t>
      </w:r>
      <w:r>
        <w:t xml:space="preserve"> </w:t>
      </w:r>
      <w:r>
        <w:t xml:space="preserve">collected and are exploratory</w:t>
      </w:r>
      <w:r>
        <w:t xml:space="preserve"> </w:t>
      </w:r>
      <w:r>
        <w:t xml:space="preserve">(Nosek et al. 2018;</w:t>
      </w:r>
      <w:r>
        <w:t xml:space="preserve"> </w:t>
      </w:r>
      <w:r>
        <w:t xml:space="preserve">Wagenmakers et al.</w:t>
      </w:r>
      <w:r>
        <w:t xml:space="preserve"> </w:t>
      </w:r>
      <w:r>
        <w:t xml:space="preserve">2012)</w:t>
      </w:r>
      <w:r>
        <w:t xml:space="preserve">. The preregistration</w:t>
      </w:r>
      <w:r>
        <w:t xml:space="preserve"> </w:t>
      </w:r>
      <w:r>
        <w:t xml:space="preserve">motivated the Session-1 battery as an index of attention relevant to the selection of a</w:t>
      </w:r>
      <w:r>
        <w:t xml:space="preserve"> </w:t>
      </w:r>
      <w:r>
        <w:t xml:space="preserve">source of transfer, and reframing the same three tasks as working-memory,</w:t>
      </w:r>
      <w:r>
        <w:t xml:space="preserve"> </w:t>
      </w:r>
      <w:r>
        <w:t xml:space="preserve">inhibitory-control and statistical-learning measures departs from that rationale. Data</w:t>
      </w:r>
      <w:r>
        <w:t xml:space="preserve"> </w:t>
      </w:r>
      <w:r>
        <w:t xml:space="preserve">collection was preregistered for two sites, Norway and Spain, and only the Norwegian</w:t>
      </w:r>
      <w:r>
        <w:t xml:space="preserve"> </w:t>
      </w:r>
      <w:r>
        <w:t xml:space="preserve">cohort (first-language Norwegian, second-language English) is analysed here, so the</w:t>
      </w:r>
      <w:r>
        <w:t xml:space="preserve"> </w:t>
      </w:r>
      <w:r>
        <w:t xml:space="preserve">findings generalise only to first-language-Norwegian learners. Finally, the preregistered</w:t>
      </w:r>
      <w:r>
        <w:t xml:space="preserve"> </w:t>
      </w:r>
      <w:r>
        <w:t xml:space="preserve">protocol required participants to score above 80% on a post-training behavioural test in</w:t>
      </w:r>
      <w:r>
        <w:t xml:space="preserve"> </w:t>
      </w:r>
      <w:r>
        <w:t xml:space="preserve">each grammar session before they could proceed. After a few participants had been tested,</w:t>
      </w:r>
      <w:r>
        <w:t xml:space="preserve"> </w:t>
      </w:r>
      <w:r>
        <w:t xml:space="preserve">we recognised that this criterion was too strict and modified the procedure: when the</w:t>
      </w:r>
      <w:r>
        <w:t xml:space="preserve"> </w:t>
      </w:r>
      <w:r>
        <w:t xml:space="preserve">first test score was below 80%, pretraining, training and the test were repeated; after</w:t>
      </w:r>
      <w:r>
        <w:t xml:space="preserve"> </w:t>
      </w:r>
      <w:r>
        <w:t xml:space="preserve">the second attempt, participants proceeded to the experiment regardless of their score.</w:t>
      </w:r>
      <w:r>
        <w:t xml:space="preserve"> </w:t>
      </w:r>
      <w:r>
        <w:t xml:space="preserve">Participants were shown their percentage correct at the end of each test attempt. The 80%</w:t>
      </w:r>
      <w:r>
        <w:t xml:space="preserve"> </w:t>
      </w:r>
      <w:r>
        <w:t xml:space="preserve">threshold therefore describes the first-attempt gate, not a requirement imposed on the</w:t>
      </w:r>
      <w:r>
        <w:t xml:space="preserve"> </w:t>
      </w:r>
      <w:r>
        <w:t xml:space="preserve">second attempt. The gate shapes which participant-sessions contribute learning data and</w:t>
      </w:r>
      <w:r>
        <w:t xml:space="preserve"> </w:t>
      </w:r>
      <w:r>
        <w:t xml:space="preserve">is part of the attrition described above.</w:t>
      </w:r>
    </w:p>
    <w:bookmarkEnd w:id="30"/>
    <w:bookmarkEnd w:id="31"/>
    <w:bookmarkStart w:id="53" w:name="results"/>
    <w:p>
      <w:pPr>
        <w:pStyle w:val="Heading1"/>
      </w:pPr>
      <w:r>
        <w:t xml:space="preserve">Results</w:t>
      </w:r>
    </w:p>
    <w:p>
      <w:pPr>
        <w:pStyle w:val="FirstParagraph"/>
      </w:pPr>
      <w:r>
        <w:t xml:space="preserve">Convergence diagnostics for every model reported below are given in</w:t>
      </w:r>
      <w:r>
        <w:t xml:space="preserve"> </w:t>
      </w:r>
      <w:hyperlink w:anchor="tbl-convergence">
        <w:r>
          <w:rPr>
            <w:rStyle w:val="Hyperlink"/>
          </w:rPr>
          <w:t xml:space="preserve">Table 3</w:t>
        </w:r>
      </w:hyperlink>
      <w:r>
        <w:t xml:space="preserve">, in the appendix, as realised values, since a realised value distinguishes a model that converged comfortably from one that converged marginally. All 12 models were assessed against the same gate and 12 passed it, with rank-normalised</w:t>
      </w:r>
      <w:r>
        <w:t xml:space="preserve"> </w:t>
      </w:r>
      <m:oMath>
        <m:acc>
          <m:accPr>
            <m:chr m:val="̂"/>
          </m:accPr>
          <m:e>
            <m:r>
              <m:t>R</m:t>
            </m:r>
          </m:e>
        </m:acc>
      </m:oMath>
      <w:r>
        <w:t xml:space="preserve"> </w:t>
      </w:r>
      <w:r>
        <w:t xml:space="preserve">below 1.01, effective sample sizes above 400 in both the bulk and the tail, and no divergent transitions.</w:t>
      </w:r>
    </w:p>
    <w:bookmarkStart w:id="41" w:name="descriptive-overview"/>
    <w:p>
      <w:pPr>
        <w:pStyle w:val="Heading2"/>
      </w:pPr>
      <w:r>
        <w:t xml:space="preserve">Descriptive overview</w:t>
      </w:r>
    </w:p>
    <w:p>
      <w:pPr>
        <w:pStyle w:val="FirstParagraph"/>
      </w:pPr>
      <w:r>
        <w:t xml:space="preserve">Before the models,</w:t>
      </w:r>
      <w:r>
        <w:t xml:space="preserve"> </w:t>
      </w:r>
      <w:hyperlink w:anchor="fig-accuracy-trajectory">
        <w:r>
          <w:rPr>
            <w:rStyle w:val="Hyperlink"/>
          </w:rPr>
          <w:t xml:space="preserve">Figure 4</w:t>
        </w:r>
      </w:hyperlink>
      <w:r>
        <w:t xml:space="preserve"> </w:t>
      </w:r>
      <w:r>
        <w:t xml:space="preserve">plots the raw learning trajectory, the direct</w:t>
      </w:r>
      <w:r>
        <w:t xml:space="preserve"> </w:t>
      </w:r>
      <w:r>
        <w:t xml:space="preserve">check on the linear-in-session assumption the models make,</w:t>
      </w:r>
      <w:r>
        <w:t xml:space="preserve"> </w:t>
      </w:r>
      <w:hyperlink w:anchor="fig-predictor-corr">
        <w:r>
          <w:rPr>
            <w:rStyle w:val="Hyperlink"/>
          </w:rPr>
          <w:t xml:space="preserve">Figure 5</w:t>
        </w:r>
      </w:hyperlink>
      <w:r>
        <w:t xml:space="preserve"> </w:t>
      </w:r>
      <w:r>
        <w:t xml:space="preserve">shows the</w:t>
      </w:r>
      <w:r>
        <w:t xml:space="preserve"> </w:t>
      </w:r>
      <w:r>
        <w:t xml:space="preserve">baseline predictors’ intercorrelations and</w:t>
      </w:r>
      <w:r>
        <w:t xml:space="preserve"> </w:t>
      </w:r>
      <w:hyperlink w:anchor="tbl-predictor-desc">
        <w:r>
          <w:rPr>
            <w:rStyle w:val="Hyperlink"/>
          </w:rPr>
          <w:t xml:space="preserve">Table 1</w:t>
        </w:r>
      </w:hyperlink>
      <w:r>
        <w:t xml:space="preserve"> </w:t>
      </w:r>
      <w:r>
        <w:t xml:space="preserve">gives the same predictors</w:t>
      </w:r>
      <w:r>
        <w:t xml:space="preserve"> </w:t>
      </w:r>
      <w:r>
        <w:t xml:space="preserve">numerically. The per-measure distributions (Figure S1) and the resting-state spectra</w:t>
      </w:r>
      <w:r>
        <w:t xml:space="preserve"> </w:t>
      </w:r>
      <w:r>
        <w:t xml:space="preserve">behind the band-power and individual-alpha-frequency measures (Figure S2) are given in</w:t>
      </w:r>
      <w:r>
        <w:t xml:space="preserve"> </w:t>
      </w:r>
      <w:r>
        <w:t xml:space="preserve">the online supplementary material (Section S8). The frames of these displays are wider</w:t>
      </w:r>
      <w:r>
        <w:t xml:space="preserve"> </w:t>
      </w:r>
      <w:r>
        <w:t xml:space="preserve">than the 56 participants of the fitted raw-band model and are stated</w:t>
      </w:r>
      <w:r>
        <w:t xml:space="preserve"> </w:t>
      </w:r>
      <w:r>
        <w:t xml:space="preserve">in their notes.</w:t>
      </w:r>
    </w:p>
    <w:p>
      <w:pPr>
        <w:pStyle w:val="BodyText"/>
      </w:pPr>
      <w:r>
        <w:t xml:space="preserve">One feature of the learning trajectory bears on how</w:t>
      </w:r>
      <w:r>
        <w:t xml:space="preserve"> </w:t>
      </w:r>
      <w:r>
        <w:rPr>
          <w:i/>
          <w:iCs/>
        </w:rPr>
        <w:t xml:space="preserve">rate</w:t>
      </w:r>
      <w:r>
        <w:t xml:space="preserve"> </w:t>
      </w:r>
      <w:r>
        <w:t xml:space="preserve">and</w:t>
      </w:r>
      <w:r>
        <w:t xml:space="preserve"> </w:t>
      </w:r>
      <w:r>
        <w:rPr>
          <w:i/>
          <w:iCs/>
        </w:rPr>
        <w:t xml:space="preserve">attainment</w:t>
      </w:r>
      <w:r>
        <w:t xml:space="preserve"> </w:t>
      </w:r>
      <w:r>
        <w:t xml:space="preserve">should be read,</w:t>
      </w:r>
      <w:r>
        <w:t xml:space="preserve"> </w:t>
      </w:r>
      <w:r>
        <w:t xml:space="preserve">since both terms would otherwise suggest improvement. Mean accuracy is highest</w:t>
      </w:r>
      <w:r>
        <w:t xml:space="preserve"> </w:t>
      </w:r>
      <w:r>
        <w:t xml:space="preserve">at each property’s first session and lower at its last, in every property and both</w:t>
      </w:r>
      <w:r>
        <w:t xml:space="preserve"> </w:t>
      </w:r>
      <w:r>
        <w:t xml:space="preserve">mini-languages. The session term is credibly negative in both models. In the pooled</w:t>
      </w:r>
      <w:r>
        <w:t xml:space="preserve"> </w:t>
      </w:r>
      <w:r>
        <w:t xml:space="preserve">model the slope for the reference property, differential object marking, is</w:t>
      </w:r>
      <w:r>
        <w:t xml:space="preserve"> </w:t>
      </w:r>
      <m:oMath>
        <m:r>
          <m:t>b</m:t>
        </m:r>
        <m:r>
          <m:rPr>
            <m:sty m:val="p"/>
          </m:rPr>
          <m:t>=</m:t>
        </m:r>
        <m:r>
          <m:rPr>
            <m:sty m:val="p"/>
          </m:rPr>
          <m:t>−</m:t>
        </m:r>
        <m:r>
          <m:t>1.16</m:t>
        </m:r>
      </m:oMath>
      <w:r>
        <w:t xml:space="preserve">, 95% CrI</w:t>
      </w:r>
      <w:r>
        <w:t xml:space="preserve"> </w:t>
      </w:r>
      <m:oMath>
        <m:r>
          <m:rPr>
            <m:sty m:val="p"/>
          </m:rPr>
          <m:t>[</m:t>
        </m:r>
        <m:r>
          <m:rPr>
            <m:sty m:val="p"/>
          </m:rPr>
          <m:t>−</m:t>
        </m:r>
        <m:r>
          <m:t>1.37</m:t>
        </m:r>
        <m:r>
          <m:rPr>
            <m:sty m:val="p"/>
          </m:rPr>
          <m:t>,</m:t>
        </m:r>
        <m:r>
          <m:rPr>
            <m:sty m:val="p"/>
          </m:rPr>
          <m:t>−</m:t>
        </m:r>
        <m:r>
          <m:t>0.96</m:t>
        </m:r>
        <m:r>
          <m:rPr>
            <m:sty m:val="p"/>
          </m:rPr>
          <m:t>]</m:t>
        </m:r>
      </m:oMath>
      <w:r>
        <w:t xml:space="preserve">,</w:t>
      </w:r>
      <w:r>
        <w:t xml:space="preserve"> </w:t>
      </w:r>
      <m:oMath>
        <m:sSub>
          <m:e>
            <m:r>
              <m:t>p</m:t>
            </m:r>
          </m:e>
          <m:sub>
            <m:r>
              <m:t>d</m:t>
            </m:r>
          </m:sub>
        </m:sSub>
        <m:r>
          <m:rPr>
            <m:sty m:val="p"/>
          </m:rPr>
          <m:t>&gt;</m:t>
        </m:r>
        <m:r>
          <m:t>99.9</m:t>
        </m:r>
        <m:r>
          <m:rPr>
            <m:sty m:val="p"/>
          </m:rPr>
          <m:t>%</m:t>
        </m:r>
      </m:oMath>
      <w:r>
        <w:t xml:space="preserve">, and the</w:t>
      </w:r>
      <w:r>
        <w:t xml:space="preserve"> </w:t>
      </w:r>
      <w:r>
        <w:t xml:space="preserve">gender-agreement and verb–object number-agreement slopes differ from it by</w:t>
      </w:r>
      <w:r>
        <w:t xml:space="preserve"> </w:t>
      </w:r>
      <m:oMath>
        <m:r>
          <m:t>b</m:t>
        </m:r>
        <m:r>
          <m:rPr>
            <m:sty m:val="p"/>
          </m:rPr>
          <m:t>=</m:t>
        </m:r>
        <m:r>
          <m:t>0.43</m:t>
        </m:r>
      </m:oMath>
      <w:r>
        <w:t xml:space="preserve">, 95% CrI</w:t>
      </w:r>
      <w:r>
        <w:t xml:space="preserve"> </w:t>
      </w:r>
      <m:oMath>
        <m:r>
          <m:rPr>
            <m:sty m:val="p"/>
          </m:rPr>
          <m:t>[</m:t>
        </m:r>
        <m:r>
          <m:t>0.34</m:t>
        </m:r>
        <m:r>
          <m:rPr>
            <m:sty m:val="p"/>
          </m:rPr>
          <m:t>,</m:t>
        </m:r>
        <m:r>
          <m:t>0.51</m:t>
        </m:r>
        <m:r>
          <m:rPr>
            <m:sty m:val="p"/>
          </m:rPr>
          <m:t>]</m:t>
        </m:r>
      </m:oMath>
      <w:r>
        <w:t xml:space="preserve">,</w:t>
      </w:r>
      <w:r>
        <w:t xml:space="preserve"> </w:t>
      </w:r>
      <m:oMath>
        <m:sSub>
          <m:e>
            <m:r>
              <m:t>p</m:t>
            </m:r>
          </m:e>
          <m:sub>
            <m:r>
              <m:t>d</m:t>
            </m:r>
          </m:sub>
        </m:sSub>
        <m:r>
          <m:rPr>
            <m:sty m:val="p"/>
          </m:rPr>
          <m:t>&gt;</m:t>
        </m:r>
        <m:r>
          <m:t>99.9</m:t>
        </m:r>
        <m:r>
          <m:rPr>
            <m:sty m:val="p"/>
          </m:rPr>
          <m:t>%</m:t>
        </m:r>
      </m:oMath>
      <w:r>
        <w:t xml:space="preserve"> </w:t>
      </w:r>
      <w:r>
        <w:t xml:space="preserve">and</w:t>
      </w:r>
      <w:r>
        <w:t xml:space="preserve"> </w:t>
      </w:r>
      <m:oMath>
        <m:r>
          <m:t>b</m:t>
        </m:r>
        <m:r>
          <m:rPr>
            <m:sty m:val="p"/>
          </m:rPr>
          <m:t>=</m:t>
        </m:r>
        <m:r>
          <m:t>0.20</m:t>
        </m:r>
      </m:oMath>
      <w:r>
        <w:t xml:space="preserve">, 95% CrI</w:t>
      </w:r>
      <w:r>
        <w:t xml:space="preserve"> </w:t>
      </w:r>
      <m:oMath>
        <m:r>
          <m:rPr>
            <m:sty m:val="p"/>
          </m:rPr>
          <m:t>[</m:t>
        </m:r>
        <m:r>
          <m:t>0.06</m:t>
        </m:r>
        <m:r>
          <m:rPr>
            <m:sty m:val="p"/>
          </m:rPr>
          <m:t>,</m:t>
        </m:r>
        <m:r>
          <m:t>0.34</m:t>
        </m:r>
        <m:r>
          <m:rPr>
            <m:sty m:val="p"/>
          </m:rPr>
          <m:t>]</m:t>
        </m:r>
      </m:oMath>
      <w:r>
        <w:t xml:space="preserve">,</w:t>
      </w:r>
      <w:r>
        <w:t xml:space="preserve"> </w:t>
      </w:r>
      <m:oMath>
        <m:sSub>
          <m:e>
            <m:r>
              <m:t>p</m:t>
            </m:r>
          </m:e>
          <m:sub>
            <m:r>
              <m:t>d</m:t>
            </m:r>
          </m:sub>
        </m:sSub>
        <m:r>
          <m:rPr>
            <m:sty m:val="p"/>
          </m:rPr>
          <m:t>=</m:t>
        </m:r>
        <m:r>
          <m:t>99.7</m:t>
        </m:r>
        <m:r>
          <m:rPr>
            <m:sty m:val="p"/>
          </m:rPr>
          <m:t>%</m:t>
        </m:r>
      </m:oMath>
      <w:r>
        <w:t xml:space="preserve">.</w:t>
      </w:r>
      <w:r>
        <w:t xml:space="preserve"> </w:t>
      </w:r>
      <w:r>
        <w:t xml:space="preserve">Within gender agreement fitted alone the slope is</w:t>
      </w:r>
      <w:r>
        <w:t xml:space="preserve"> </w:t>
      </w:r>
      <m:oMath>
        <m:r>
          <m:t>b</m:t>
        </m:r>
        <m:r>
          <m:rPr>
            <m:sty m:val="p"/>
          </m:rPr>
          <m:t>=</m:t>
        </m:r>
        <m:r>
          <m:rPr>
            <m:sty m:val="p"/>
          </m:rPr>
          <m:t>−</m:t>
        </m:r>
        <m:r>
          <m:t>0.41</m:t>
        </m:r>
      </m:oMath>
      <w:r>
        <w:t xml:space="preserve">, 95% CrI</w:t>
      </w:r>
      <w:r>
        <w:t xml:space="preserve"> </w:t>
      </w:r>
      <m:oMath>
        <m:r>
          <m:rPr>
            <m:sty m:val="p"/>
          </m:rPr>
          <m:t>[</m:t>
        </m:r>
        <m:r>
          <m:rPr>
            <m:sty m:val="p"/>
          </m:rPr>
          <m:t>−</m:t>
        </m:r>
        <m:r>
          <m:t>0.56</m:t>
        </m:r>
        <m:r>
          <m:rPr>
            <m:sty m:val="p"/>
          </m:rPr>
          <m:t>,</m:t>
        </m:r>
        <m:r>
          <m:rPr>
            <m:sty m:val="p"/>
          </m:rPr>
          <m:t>−</m:t>
        </m:r>
        <m:r>
          <m:t>0.26</m:t>
        </m:r>
        <m:r>
          <m:rPr>
            <m:sty m:val="p"/>
          </m:rPr>
          <m:t>]</m:t>
        </m:r>
      </m:oMath>
      <w:r>
        <w:t xml:space="preserve">,</w:t>
      </w:r>
      <w:r>
        <w:t xml:space="preserve"> </w:t>
      </w:r>
      <m:oMath>
        <m:sSub>
          <m:e>
            <m:r>
              <m:t>p</m:t>
            </m:r>
          </m:e>
          <m:sub>
            <m:r>
              <m:t>d</m:t>
            </m:r>
          </m:sub>
        </m:sSub>
        <m:r>
          <m:rPr>
            <m:sty m:val="p"/>
          </m:rPr>
          <m:t>&gt;</m:t>
        </m:r>
        <m:r>
          <m:t>99.9</m:t>
        </m:r>
        <m:r>
          <m:rPr>
            <m:sty m:val="p"/>
          </m:rPr>
          <m:t>%</m:t>
        </m:r>
      </m:oMath>
      <w:r>
        <w:t xml:space="preserve">. The pooled</w:t>
      </w:r>
      <w:r>
        <w:t xml:space="preserve"> </w:t>
      </w:r>
      <w:r>
        <w:t xml:space="preserve">decline partly reflects the cumulative design, in which later sessions sample harder</w:t>
      </w:r>
      <w:r>
        <w:t xml:space="preserve"> </w:t>
      </w:r>
      <w:r>
        <w:t xml:space="preserve">material (see</w:t>
      </w:r>
      <w:r>
        <w:t xml:space="preserve"> </w:t>
      </w:r>
      <w:r>
        <w:rPr>
          <w:i/>
          <w:iCs/>
        </w:rPr>
        <w:t xml:space="preserve">Learning outcome and model structure</w:t>
      </w:r>
      <w:r>
        <w:t xml:space="preserve">). Within gender agreement, which is</w:t>
      </w:r>
      <w:r>
        <w:t xml:space="preserve"> </w:t>
      </w:r>
      <w:r>
        <w:t xml:space="preserve">sampled throughout, it is an unexplained feature of these data. Throughout,</w:t>
      </w:r>
      <w:r>
        <w:t xml:space="preserve"> </w:t>
      </w:r>
      <w:r>
        <w:rPr>
          <w:i/>
          <w:iCs/>
        </w:rPr>
        <w:t xml:space="preserve">rate</w:t>
      </w:r>
      <w:r>
        <w:t xml:space="preserve"> </w:t>
      </w:r>
      <w:r>
        <w:t xml:space="preserve">is the</w:t>
      </w:r>
      <w:r>
        <w:t xml:space="preserve"> </w:t>
      </w:r>
      <w:r>
        <w:t xml:space="preserve">slope of this trajectory and</w:t>
      </w:r>
      <w:r>
        <w:t xml:space="preserve"> </w:t>
      </w:r>
      <w:r>
        <w:rPr>
          <w:i/>
          <w:iCs/>
        </w:rPr>
        <w:t xml:space="preserve">attainment</w:t>
      </w:r>
      <w:r>
        <w:t xml:space="preserve"> </w:t>
      </w:r>
      <w:r>
        <w:t xml:space="preserve">its model-implied end point, whichever way the</w:t>
      </w:r>
      <w:r>
        <w:t xml:space="preserve"> </w:t>
      </w:r>
      <w:r>
        <w:t xml:space="preserve">trajectory runs.</w:t>
      </w:r>
    </w:p>
    <w:tbl>
      <w:tblPr>
        <w:tblStyle w:val="Table"/>
        <w:tblW w:type="pct" w:w="5000"/>
        <w:tblLayout w:type="fixed"/>
        <w:tblLook w:firstRow="0" w:lastRow="0" w:firstColumn="0" w:lastColumn="0" w:noHBand="0" w:noVBand="0" w:val="0000"/>
      </w:tblPr>
      <w:tblGrid>
        <w:gridCol w:w="7920"/>
      </w:tblGrid>
      <w:tr>
        <w:tc>
          <w:tcPr/>
          <w:bookmarkStart w:id="35" w:name="fig-accuracy-trajectory"/>
          <w:p>
            <w:pPr>
              <w:pStyle w:val="Compact"/>
              <w:jc w:val="center"/>
            </w:pPr>
            <w:r>
              <w:drawing>
                <wp:inline>
                  <wp:extent cx="5334000" cy="2786673"/>
                  <wp:effectExtent b="0" l="0" r="0" t="0"/>
                  <wp:docPr descr="" title="" id="33" name="Picture"/>
                  <a:graphic>
                    <a:graphicData uri="http://schemas.openxmlformats.org/drawingml/2006/picture">
                      <pic:pic>
                        <pic:nvPicPr>
                          <pic:cNvPr descr="paper_2_neuroplasticity_files/figure-docx/fig-accuracy-trajectory-1.png" id="34" name="Picture"/>
                          <pic:cNvPicPr>
                            <a:picLocks noChangeArrowheads="1" noChangeAspect="1"/>
                          </pic:cNvPicPr>
                        </pic:nvPicPr>
                        <pic:blipFill>
                          <a:blip r:embed="rId32"/>
                          <a:stretch>
                            <a:fillRect/>
                          </a:stretch>
                        </pic:blipFill>
                        <pic:spPr bwMode="auto">
                          <a:xfrm>
                            <a:off x="0" y="0"/>
                            <a:ext cx="5334000" cy="278667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Observed Grammaticality-Judgement Accuracy Across Sessions, by Grammatical Property and Mini-Language</w:t>
            </w:r>
          </w:p>
          <w:bookmarkEnd w:id="35"/>
        </w:tc>
      </w:tr>
    </w:tbl>
    <w:tbl>
      <w:tblPr>
        <w:tblStyle w:val="Table"/>
        <w:tblW w:type="pct" w:w="5000"/>
        <w:tblLayout w:type="fixed"/>
        <w:tblLook w:firstRow="0" w:lastRow="0" w:firstColumn="0" w:lastColumn="0" w:noHBand="0" w:noVBand="0" w:val="0000"/>
      </w:tblPr>
      <w:tblGrid>
        <w:gridCol w:w="7920"/>
      </w:tblGrid>
      <w:tr>
        <w:tc>
          <w:tcPr/>
          <w:bookmarkStart w:id="39" w:name="fig-predictor-corr"/>
          <w:p>
            <w:pPr>
              <w:pStyle w:val="Compact"/>
              <w:jc w:val="center"/>
            </w:pPr>
            <w:r>
              <w:drawing>
                <wp:inline>
                  <wp:extent cx="5168766" cy="4620126"/>
                  <wp:effectExtent b="0" l="0" r="0" t="0"/>
                  <wp:docPr descr="" title="" id="37" name="Picture"/>
                  <a:graphic>
                    <a:graphicData uri="http://schemas.openxmlformats.org/drawingml/2006/picture">
                      <pic:pic>
                        <pic:nvPicPr>
                          <pic:cNvPr descr="paper_2_neuroplasticity_files/figure-docx/fig-predictor-corr-1.png" id="38" name="Picture"/>
                          <pic:cNvPicPr>
                            <a:picLocks noChangeArrowheads="1" noChangeAspect="1"/>
                          </pic:cNvPicPr>
                        </pic:nvPicPr>
                        <pic:blipFill>
                          <a:blip r:embed="rId36"/>
                          <a:stretch>
                            <a:fillRect/>
                          </a:stretch>
                        </pic:blipFill>
                        <pic:spPr bwMode="auto">
                          <a:xfrm>
                            <a:off x="0" y="0"/>
                            <a:ext cx="516876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Pearson Correlations Among the Baseline Predictors</w:t>
            </w:r>
          </w:p>
          <w:bookmarkEnd w:id="39"/>
        </w:tc>
      </w:tr>
    </w:tbl>
    <w:tbl>
      <w:tblPr>
        <w:tblStyle w:val="Table"/>
        <w:tblW w:type="pct" w:w="5000"/>
        <w:tblLayout w:type="fixed"/>
        <w:tblLook w:firstRow="0" w:lastRow="0" w:firstColumn="0" w:lastColumn="0" w:noHBand="0" w:noVBand="0" w:val="0000"/>
      </w:tblPr>
      <w:tblGrid>
        <w:gridCol w:w="7920"/>
      </w:tblGrid>
      <w:tr>
        <w:tc>
          <w:tcPr/>
          <w:bookmarkStart w:id="40" w:name="tbl-predictor-desc"/>
          <w:p>
            <w:pPr>
              <w:jc w:val="center"/>
            </w:pPr>
            <w:pPr>
              <w:jc w:val="left"/>
              <w:spacing w:before="200"/>
              <w:pStyle w:val="ImageCaption"/>
            </w:pPr>
            <w:r>
              <w:t xml:space="preserve">Table 1: Descriptive Statistics for the Baseline Predictors</w:t>
            </w:r>
          </w:p>
          <w:tbl>
            <w:tblPr>
              <w:tblStyle w:val="Table"/>
              <w:tblW w:type="pct" w:w="5000"/>
              <w:tblLayout w:type="fixed"/>
              <w:tblLook w:firstRow="1" w:lastRow="0" w:firstColumn="0" w:lastColumn="0" w:noHBand="0" w:noVBand="0" w:val="0020"/>
            </w:tblPr>
            <w:tblGrid>
              <w:gridCol w:w="4499"/>
              <w:gridCol w:w="359"/>
              <w:gridCol w:w="629"/>
              <w:gridCol w:w="539"/>
              <w:gridCol w:w="629"/>
              <w:gridCol w:w="629"/>
              <w:gridCol w:w="629"/>
            </w:tblGrid>
            <w:tr>
              <w:trPr>
                <w:tblHeader w:val="on"/>
              </w:trPr>
              <w:tc>
                <w:tcPr/>
                <w:p>
                  <w:pPr>
                    <w:pStyle w:val="Compact"/>
                    <w:jc w:val="left"/>
                    <w:jc w:val="center"/>
                  </w:pPr>
                  <w:r>
                    <w:t xml:space="preserve">Predictor</w:t>
                  </w:r>
                </w:p>
              </w:tc>
              <w:tc>
                <w:tcPr/>
                <w:p>
                  <w:pPr>
                    <w:pStyle w:val="Compact"/>
                    <w:jc w:val="right"/>
                    <w:jc w:val="center"/>
                  </w:pPr>
                  <m:oMath>
                    <m:r>
                      <m:t>n</m:t>
                    </m:r>
                  </m:oMath>
                  <w:r>
                    <w:t xml:space="preserve">​</w:t>
                  </w:r>
                </w:p>
              </w:tc>
              <w:tc>
                <w:tcPr/>
                <w:p>
                  <w:pPr>
                    <w:pStyle w:val="Compact"/>
                    <w:jc w:val="right"/>
                    <w:jc w:val="center"/>
                  </w:pPr>
                  <m:oMath>
                    <m:r>
                      <m:t>M</m:t>
                    </m:r>
                  </m:oMath>
                  <w:r>
                    <w:t xml:space="preserve">​</w:t>
                  </w:r>
                </w:p>
              </w:tc>
              <w:tc>
                <w:tcPr/>
                <w:p>
                  <w:pPr>
                    <w:pStyle w:val="Compact"/>
                    <w:jc w:val="right"/>
                    <w:jc w:val="center"/>
                  </w:pPr>
                  <m:oMath>
                    <m:r>
                      <m:t>S</m:t>
                    </m:r>
                    <m:r>
                      <m:t>D</m:t>
                    </m:r>
                  </m:oMath>
                  <w:r>
                    <w:t xml:space="preserve">​</w:t>
                  </w:r>
                </w:p>
              </w:tc>
              <w:tc>
                <w:tcPr/>
                <w:p>
                  <w:pPr>
                    <w:pStyle w:val="Compact"/>
                    <w:jc w:val="right"/>
                    <w:jc w:val="center"/>
                  </w:pPr>
                  <m:oMath>
                    <m:r>
                      <m:t>M</m:t>
                    </m:r>
                    <m:r>
                      <m:t>d</m:t>
                    </m:r>
                    <m:r>
                      <m:t>n</m:t>
                    </m:r>
                  </m:oMath>
                  <w:r>
                    <w:t xml:space="preserve">​</w:t>
                  </w:r>
                </w:p>
              </w:tc>
              <w:tc>
                <w:tcPr/>
                <w:p>
                  <w:pPr>
                    <w:pStyle w:val="Compact"/>
                    <w:jc w:val="right"/>
                    <w:jc w:val="center"/>
                  </w:pPr>
                  <w:r>
                    <w:t xml:space="preserve">Min</w:t>
                  </w:r>
                </w:p>
              </w:tc>
              <w:tc>
                <w:tcPr/>
                <w:p>
                  <w:pPr>
                    <w:pStyle w:val="Compact"/>
                    <w:jc w:val="right"/>
                    <w:jc w:val="center"/>
                  </w:pPr>
                  <w:r>
                    <w:t xml:space="preserve">Max</w:t>
                  </w:r>
                </w:p>
              </w:tc>
            </w:tr>
            <w:tr>
              <w:tc>
                <w:tcPr/>
                <w:p>
                  <w:pPr>
                    <w:pStyle w:val="Compact"/>
                    <w:jc w:val="left"/>
                    <w:jc w:val="center"/>
                  </w:pPr>
                  <w:r>
                    <w:t xml:space="preserve">Working memory: digit span (items correct)</w:t>
                  </w:r>
                </w:p>
              </w:tc>
              <w:tc>
                <w:tcPr/>
                <w:p>
                  <w:pPr>
                    <w:pStyle w:val="Compact"/>
                    <w:jc w:val="right"/>
                    <w:jc w:val="center"/>
                  </w:pPr>
                  <w:r>
                    <w:t xml:space="preserve">58</w:t>
                  </w:r>
                </w:p>
              </w:tc>
              <w:tc>
                <w:tcPr/>
                <w:p>
                  <w:pPr>
                    <w:pStyle w:val="Compact"/>
                    <w:jc w:val="right"/>
                    <w:jc w:val="center"/>
                  </w:pPr>
                  <w:r>
                    <w:t xml:space="preserve">25.86</w:t>
                  </w:r>
                </w:p>
              </w:tc>
              <w:tc>
                <w:tcPr/>
                <w:p>
                  <w:pPr>
                    <w:pStyle w:val="Compact"/>
                    <w:jc w:val="right"/>
                    <w:jc w:val="center"/>
                  </w:pPr>
                  <w:r>
                    <w:t xml:space="preserve">7.03</w:t>
                  </w:r>
                </w:p>
              </w:tc>
              <w:tc>
                <w:tcPr/>
                <w:p>
                  <w:pPr>
                    <w:pStyle w:val="Compact"/>
                    <w:jc w:val="right"/>
                    <w:jc w:val="center"/>
                  </w:pPr>
                  <w:r>
                    <w:t xml:space="preserve">25.00</w:t>
                  </w:r>
                </w:p>
              </w:tc>
              <w:tc>
                <w:tcPr/>
                <w:p>
                  <w:pPr>
                    <w:pStyle w:val="Compact"/>
                    <w:jc w:val="right"/>
                    <w:jc w:val="center"/>
                  </w:pPr>
                  <w:r>
                    <w:t xml:space="preserve">10.00</w:t>
                  </w:r>
                </w:p>
              </w:tc>
              <w:tc>
                <w:tcPr/>
                <w:p>
                  <w:pPr>
                    <w:pStyle w:val="Compact"/>
                    <w:jc w:val="right"/>
                    <w:jc w:val="center"/>
                  </w:pPr>
                  <w:r>
                    <w:t xml:space="preserve">43.00</w:t>
                  </w:r>
                </w:p>
              </w:tc>
            </w:tr>
            <w:tr>
              <w:tc>
                <w:tcPr/>
                <w:p>
                  <w:pPr>
                    <w:pStyle w:val="Compact"/>
                    <w:jc w:val="left"/>
                    <w:jc w:val="center"/>
                  </w:pPr>
                  <w:r>
                    <w:t xml:space="preserve">Inhibitory control: Stroop interference (ms)</w:t>
                  </w:r>
                </w:p>
              </w:tc>
              <w:tc>
                <w:tcPr/>
                <w:p>
                  <w:pPr>
                    <w:pStyle w:val="Compact"/>
                    <w:jc w:val="right"/>
                    <w:jc w:val="center"/>
                  </w:pPr>
                  <w:r>
                    <w:t xml:space="preserve">57</w:t>
                  </w:r>
                </w:p>
              </w:tc>
              <w:tc>
                <w:tcPr/>
                <w:p>
                  <w:pPr>
                    <w:pStyle w:val="Compact"/>
                    <w:jc w:val="right"/>
                    <w:jc w:val="center"/>
                  </w:pPr>
                  <w:r>
                    <w:t xml:space="preserve">116.27</w:t>
                  </w:r>
                </w:p>
              </w:tc>
              <w:tc>
                <w:tcPr/>
                <w:p>
                  <w:pPr>
                    <w:pStyle w:val="Compact"/>
                    <w:jc w:val="right"/>
                    <w:jc w:val="center"/>
                  </w:pPr>
                  <w:r>
                    <w:t xml:space="preserve">76.51</w:t>
                  </w:r>
                </w:p>
              </w:tc>
              <w:tc>
                <w:tcPr/>
                <w:p>
                  <w:pPr>
                    <w:pStyle w:val="Compact"/>
                    <w:jc w:val="right"/>
                    <w:jc w:val="center"/>
                  </w:pPr>
                  <w:r>
                    <w:t xml:space="preserve">101.63</w:t>
                  </w:r>
                </w:p>
              </w:tc>
              <w:tc>
                <w:tcPr/>
                <w:p>
                  <w:pPr>
                    <w:pStyle w:val="Compact"/>
                    <w:jc w:val="right"/>
                    <w:jc w:val="center"/>
                  </w:pPr>
                  <w:r>
                    <w:t xml:space="preserve">-41.72</w:t>
                  </w:r>
                </w:p>
              </w:tc>
              <w:tc>
                <w:tcPr/>
                <w:p>
                  <w:pPr>
                    <w:pStyle w:val="Compact"/>
                    <w:jc w:val="right"/>
                    <w:jc w:val="center"/>
                  </w:pPr>
                  <w:r>
                    <w:t xml:space="preserve">306.64</w:t>
                  </w:r>
                </w:p>
              </w:tc>
            </w:tr>
            <w:tr>
              <w:tc>
                <w:tcPr/>
                <w:p>
                  <w:pPr>
                    <w:pStyle w:val="Compact"/>
                    <w:jc w:val="left"/>
                    <w:jc w:val="center"/>
                  </w:pPr>
                  <w:r>
                    <w:t xml:space="preserve">Statistical learning: ASRT difference (ms)</w:t>
                  </w:r>
                </w:p>
              </w:tc>
              <w:tc>
                <w:tcPr/>
                <w:p>
                  <w:pPr>
                    <w:pStyle w:val="Compact"/>
                    <w:jc w:val="right"/>
                    <w:jc w:val="center"/>
                  </w:pPr>
                  <w:r>
                    <w:t xml:space="preserve">58</w:t>
                  </w:r>
                </w:p>
              </w:tc>
              <w:tc>
                <w:tcPr/>
                <w:p>
                  <w:pPr>
                    <w:pStyle w:val="Compact"/>
                    <w:jc w:val="right"/>
                    <w:jc w:val="center"/>
                  </w:pPr>
                  <w:r>
                    <w:t xml:space="preserve">44.65</w:t>
                  </w:r>
                </w:p>
              </w:tc>
              <w:tc>
                <w:tcPr/>
                <w:p>
                  <w:pPr>
                    <w:pStyle w:val="Compact"/>
                    <w:jc w:val="right"/>
                    <w:jc w:val="center"/>
                  </w:pPr>
                  <w:r>
                    <w:t xml:space="preserve">55.14</w:t>
                  </w:r>
                </w:p>
              </w:tc>
              <w:tc>
                <w:tcPr/>
                <w:p>
                  <w:pPr>
                    <w:pStyle w:val="Compact"/>
                    <w:jc w:val="right"/>
                    <w:jc w:val="center"/>
                  </w:pPr>
                  <w:r>
                    <w:t xml:space="preserve">15.04</w:t>
                  </w:r>
                </w:p>
              </w:tc>
              <w:tc>
                <w:tcPr/>
                <w:p>
                  <w:pPr>
                    <w:pStyle w:val="Compact"/>
                    <w:jc w:val="right"/>
                    <w:jc w:val="center"/>
                  </w:pPr>
                  <w:r>
                    <w:t xml:space="preserve">-2.38</w:t>
                  </w:r>
                </w:p>
              </w:tc>
              <w:tc>
                <w:tcPr/>
                <w:p>
                  <w:pPr>
                    <w:pStyle w:val="Compact"/>
                    <w:jc w:val="right"/>
                    <w:jc w:val="center"/>
                  </w:pPr>
                  <w:r>
                    <w:t xml:space="preserve">198.43</w:t>
                  </w:r>
                </w:p>
              </w:tc>
            </w:tr>
            <w:tr>
              <w:tc>
                <w:tcPr/>
                <w:p>
                  <w:pPr>
                    <w:pStyle w:val="Compact"/>
                    <w:jc w:val="left"/>
                    <w:jc w:val="center"/>
                  </w:pPr>
                  <w:r>
                    <w:t xml:space="preserve">Delta power (microvolts squared)</w:t>
                  </w:r>
                </w:p>
              </w:tc>
              <w:tc>
                <w:tcPr/>
                <w:p>
                  <w:pPr>
                    <w:pStyle w:val="Compact"/>
                    <w:jc w:val="right"/>
                    <w:jc w:val="center"/>
                  </w:pPr>
                  <w:r>
                    <w:t xml:space="preserve">58</w:t>
                  </w:r>
                </w:p>
              </w:tc>
              <w:tc>
                <w:tcPr/>
                <w:p>
                  <w:pPr>
                    <w:pStyle w:val="Compact"/>
                    <w:jc w:val="right"/>
                    <w:jc w:val="center"/>
                  </w:pPr>
                  <w:r>
                    <w:t xml:space="preserve">8.88</w:t>
                  </w:r>
                </w:p>
              </w:tc>
              <w:tc>
                <w:tcPr/>
                <w:p>
                  <w:pPr>
                    <w:pStyle w:val="Compact"/>
                    <w:jc w:val="right"/>
                    <w:jc w:val="center"/>
                  </w:pPr>
                  <w:r>
                    <w:t xml:space="preserve">5.92</w:t>
                  </w:r>
                </w:p>
              </w:tc>
              <w:tc>
                <w:tcPr/>
                <w:p>
                  <w:pPr>
                    <w:pStyle w:val="Compact"/>
                    <w:jc w:val="right"/>
                    <w:jc w:val="center"/>
                  </w:pPr>
                  <w:r>
                    <w:t xml:space="preserve">6.91</w:t>
                  </w:r>
                </w:p>
              </w:tc>
              <w:tc>
                <w:tcPr/>
                <w:p>
                  <w:pPr>
                    <w:pStyle w:val="Compact"/>
                    <w:jc w:val="right"/>
                    <w:jc w:val="center"/>
                  </w:pPr>
                  <w:r>
                    <w:t xml:space="preserve">2.34</w:t>
                  </w:r>
                </w:p>
              </w:tc>
              <w:tc>
                <w:tcPr/>
                <w:p>
                  <w:pPr>
                    <w:pStyle w:val="Compact"/>
                    <w:jc w:val="right"/>
                    <w:jc w:val="center"/>
                  </w:pPr>
                  <w:r>
                    <w:t xml:space="preserve">31.07</w:t>
                  </w:r>
                </w:p>
              </w:tc>
            </w:tr>
            <w:tr>
              <w:tc>
                <w:tcPr/>
                <w:p>
                  <w:pPr>
                    <w:pStyle w:val="Compact"/>
                    <w:jc w:val="left"/>
                    <w:jc w:val="center"/>
                  </w:pPr>
                  <w:r>
                    <w:t xml:space="preserve">Theta power (microvolts squared)</w:t>
                  </w:r>
                </w:p>
              </w:tc>
              <w:tc>
                <w:tcPr/>
                <w:p>
                  <w:pPr>
                    <w:pStyle w:val="Compact"/>
                    <w:jc w:val="right"/>
                    <w:jc w:val="center"/>
                  </w:pPr>
                  <w:r>
                    <w:t xml:space="preserve">58</w:t>
                  </w:r>
                </w:p>
              </w:tc>
              <w:tc>
                <w:tcPr/>
                <w:p>
                  <w:pPr>
                    <w:pStyle w:val="Compact"/>
                    <w:jc w:val="right"/>
                    <w:jc w:val="center"/>
                  </w:pPr>
                  <w:r>
                    <w:t xml:space="preserve">9.03</w:t>
                  </w:r>
                </w:p>
              </w:tc>
              <w:tc>
                <w:tcPr/>
                <w:p>
                  <w:pPr>
                    <w:pStyle w:val="Compact"/>
                    <w:jc w:val="right"/>
                    <w:jc w:val="center"/>
                  </w:pPr>
                  <w:r>
                    <w:t xml:space="preserve">11.42</w:t>
                  </w:r>
                </w:p>
              </w:tc>
              <w:tc>
                <w:tcPr/>
                <w:p>
                  <w:pPr>
                    <w:pStyle w:val="Compact"/>
                    <w:jc w:val="right"/>
                    <w:jc w:val="center"/>
                  </w:pPr>
                  <w:r>
                    <w:t xml:space="preserve">4.62</w:t>
                  </w:r>
                </w:p>
              </w:tc>
              <w:tc>
                <w:tcPr/>
                <w:p>
                  <w:pPr>
                    <w:pStyle w:val="Compact"/>
                    <w:jc w:val="right"/>
                    <w:jc w:val="center"/>
                  </w:pPr>
                  <w:r>
                    <w:t xml:space="preserve">1.33</w:t>
                  </w:r>
                </w:p>
              </w:tc>
              <w:tc>
                <w:tcPr/>
                <w:p>
                  <w:pPr>
                    <w:pStyle w:val="Compact"/>
                    <w:jc w:val="right"/>
                    <w:jc w:val="center"/>
                  </w:pPr>
                  <w:r>
                    <w:t xml:space="preserve">65.16</w:t>
                  </w:r>
                </w:p>
              </w:tc>
            </w:tr>
            <w:tr>
              <w:tc>
                <w:tcPr/>
                <w:p>
                  <w:pPr>
                    <w:pStyle w:val="Compact"/>
                    <w:jc w:val="left"/>
                    <w:jc w:val="center"/>
                  </w:pPr>
                  <w:r>
                    <w:t xml:space="preserve">Alpha power (microvolts squared)</w:t>
                  </w:r>
                </w:p>
              </w:tc>
              <w:tc>
                <w:tcPr/>
                <w:p>
                  <w:pPr>
                    <w:pStyle w:val="Compact"/>
                    <w:jc w:val="right"/>
                    <w:jc w:val="center"/>
                  </w:pPr>
                  <w:r>
                    <w:t xml:space="preserve">58</w:t>
                  </w:r>
                </w:p>
              </w:tc>
              <w:tc>
                <w:tcPr/>
                <w:p>
                  <w:pPr>
                    <w:pStyle w:val="Compact"/>
                    <w:jc w:val="right"/>
                    <w:jc w:val="center"/>
                  </w:pPr>
                  <w:r>
                    <w:t xml:space="preserve">48.28</w:t>
                  </w:r>
                </w:p>
              </w:tc>
              <w:tc>
                <w:tcPr/>
                <w:p>
                  <w:pPr>
                    <w:pStyle w:val="Compact"/>
                    <w:jc w:val="right"/>
                    <w:jc w:val="center"/>
                  </w:pPr>
                  <w:r>
                    <w:t xml:space="preserve">49.85</w:t>
                  </w:r>
                </w:p>
              </w:tc>
              <w:tc>
                <w:tcPr/>
                <w:p>
                  <w:pPr>
                    <w:pStyle w:val="Compact"/>
                    <w:jc w:val="right"/>
                    <w:jc w:val="center"/>
                  </w:pPr>
                  <w:r>
                    <w:t xml:space="preserve">30.66</w:t>
                  </w:r>
                </w:p>
              </w:tc>
              <w:tc>
                <w:tcPr/>
                <w:p>
                  <w:pPr>
                    <w:pStyle w:val="Compact"/>
                    <w:jc w:val="right"/>
                    <w:jc w:val="center"/>
                  </w:pPr>
                  <w:r>
                    <w:t xml:space="preserve">1.29</w:t>
                  </w:r>
                </w:p>
              </w:tc>
              <w:tc>
                <w:tcPr/>
                <w:p>
                  <w:pPr>
                    <w:pStyle w:val="Compact"/>
                    <w:jc w:val="right"/>
                    <w:jc w:val="center"/>
                  </w:pPr>
                  <w:r>
                    <w:t xml:space="preserve">224.41</w:t>
                  </w:r>
                </w:p>
              </w:tc>
            </w:tr>
            <w:tr>
              <w:tc>
                <w:tcPr/>
                <w:p>
                  <w:pPr>
                    <w:pStyle w:val="Compact"/>
                    <w:jc w:val="left"/>
                    <w:jc w:val="center"/>
                  </w:pPr>
                  <w:r>
                    <w:t xml:space="preserve">Beta power (microvolts squared)</w:t>
                  </w:r>
                </w:p>
              </w:tc>
              <w:tc>
                <w:tcPr/>
                <w:p>
                  <w:pPr>
                    <w:pStyle w:val="Compact"/>
                    <w:jc w:val="right"/>
                    <w:jc w:val="center"/>
                  </w:pPr>
                  <w:r>
                    <w:t xml:space="preserve">58</w:t>
                  </w:r>
                </w:p>
              </w:tc>
              <w:tc>
                <w:tcPr/>
                <w:p>
                  <w:pPr>
                    <w:pStyle w:val="Compact"/>
                    <w:jc w:val="right"/>
                    <w:jc w:val="center"/>
                  </w:pPr>
                  <w:r>
                    <w:t xml:space="preserve">9.52</w:t>
                  </w:r>
                </w:p>
              </w:tc>
              <w:tc>
                <w:tcPr/>
                <w:p>
                  <w:pPr>
                    <w:pStyle w:val="Compact"/>
                    <w:jc w:val="right"/>
                    <w:jc w:val="center"/>
                  </w:pPr>
                  <w:r>
                    <w:t xml:space="preserve">6.14</w:t>
                  </w:r>
                </w:p>
              </w:tc>
              <w:tc>
                <w:tcPr/>
                <w:p>
                  <w:pPr>
                    <w:pStyle w:val="Compact"/>
                    <w:jc w:val="right"/>
                    <w:jc w:val="center"/>
                  </w:pPr>
                  <w:r>
                    <w:t xml:space="preserve">8.09</w:t>
                  </w:r>
                </w:p>
              </w:tc>
              <w:tc>
                <w:tcPr/>
                <w:p>
                  <w:pPr>
                    <w:pStyle w:val="Compact"/>
                    <w:jc w:val="right"/>
                    <w:jc w:val="center"/>
                  </w:pPr>
                  <w:r>
                    <w:t xml:space="preserve">2.26</w:t>
                  </w:r>
                </w:p>
              </w:tc>
              <w:tc>
                <w:tcPr/>
                <w:p>
                  <w:pPr>
                    <w:pStyle w:val="Compact"/>
                    <w:jc w:val="right"/>
                    <w:jc w:val="center"/>
                  </w:pPr>
                  <w:r>
                    <w:t xml:space="preserve">37.60</w:t>
                  </w:r>
                </w:p>
              </w:tc>
            </w:tr>
            <w:tr>
              <w:tc>
                <w:tcPr/>
                <w:p>
                  <w:pPr>
                    <w:pStyle w:val="Compact"/>
                    <w:jc w:val="left"/>
                    <w:jc w:val="center"/>
                  </w:pPr>
                  <w:r>
                    <w:t xml:space="preserve">Gamma power (microvolts squared, not interpreted)</w:t>
                  </w:r>
                </w:p>
              </w:tc>
              <w:tc>
                <w:tcPr/>
                <w:p>
                  <w:pPr>
                    <w:pStyle w:val="Compact"/>
                    <w:jc w:val="right"/>
                    <w:jc w:val="center"/>
                  </w:pPr>
                  <w:r>
                    <w:t xml:space="preserve">58</w:t>
                  </w:r>
                </w:p>
              </w:tc>
              <w:tc>
                <w:tcPr/>
                <w:p>
                  <w:pPr>
                    <w:pStyle w:val="Compact"/>
                    <w:jc w:val="right"/>
                    <w:jc w:val="center"/>
                  </w:pPr>
                  <w:r>
                    <w:t xml:space="preserve">0.66</w:t>
                  </w:r>
                </w:p>
              </w:tc>
              <w:tc>
                <w:tcPr/>
                <w:p>
                  <w:pPr>
                    <w:pStyle w:val="Compact"/>
                    <w:jc w:val="right"/>
                    <w:jc w:val="center"/>
                  </w:pPr>
                  <w:r>
                    <w:t xml:space="preserve">0.52</w:t>
                  </w:r>
                </w:p>
              </w:tc>
              <w:tc>
                <w:tcPr/>
                <w:p>
                  <w:pPr>
                    <w:pStyle w:val="Compact"/>
                    <w:jc w:val="right"/>
                    <w:jc w:val="center"/>
                  </w:pPr>
                  <w:r>
                    <w:t xml:space="preserve">0.50</w:t>
                  </w:r>
                </w:p>
              </w:tc>
              <w:tc>
                <w:tcPr/>
                <w:p>
                  <w:pPr>
                    <w:pStyle w:val="Compact"/>
                    <w:jc w:val="right"/>
                    <w:jc w:val="center"/>
                  </w:pPr>
                  <w:r>
                    <w:t xml:space="preserve">0.14</w:t>
                  </w:r>
                </w:p>
              </w:tc>
              <w:tc>
                <w:tcPr/>
                <w:p>
                  <w:pPr>
                    <w:pStyle w:val="Compact"/>
                    <w:jc w:val="right"/>
                    <w:jc w:val="center"/>
                  </w:pPr>
                  <w:r>
                    <w:t xml:space="preserve">3.10</w:t>
                  </w:r>
                </w:p>
              </w:tc>
            </w:tr>
            <w:tr>
              <w:tc>
                <w:tcPr/>
                <w:p>
                  <w:pPr>
                    <w:pStyle w:val="Compact"/>
                    <w:jc w:val="left"/>
                    <w:jc w:val="center"/>
                  </w:pPr>
                  <w:r>
                    <w:t xml:space="preserve">Individual alpha frequency (Hz)</w:t>
                  </w:r>
                </w:p>
              </w:tc>
              <w:tc>
                <w:tcPr/>
                <w:p>
                  <w:pPr>
                    <w:pStyle w:val="Compact"/>
                    <w:jc w:val="right"/>
                    <w:jc w:val="center"/>
                  </w:pPr>
                  <w:r>
                    <w:t xml:space="preserve">58</w:t>
                  </w:r>
                </w:p>
              </w:tc>
              <w:tc>
                <w:tcPr/>
                <w:p>
                  <w:pPr>
                    <w:pStyle w:val="Compact"/>
                    <w:jc w:val="right"/>
                    <w:jc w:val="center"/>
                  </w:pPr>
                  <w:r>
                    <w:t xml:space="preserve">10.18</w:t>
                  </w:r>
                </w:p>
              </w:tc>
              <w:tc>
                <w:tcPr/>
                <w:p>
                  <w:pPr>
                    <w:pStyle w:val="Compact"/>
                    <w:jc w:val="right"/>
                    <w:jc w:val="center"/>
                  </w:pPr>
                  <w:r>
                    <w:t xml:space="preserve">1.09</w:t>
                  </w:r>
                </w:p>
              </w:tc>
              <w:tc>
                <w:tcPr/>
                <w:p>
                  <w:pPr>
                    <w:pStyle w:val="Compact"/>
                    <w:jc w:val="right"/>
                    <w:jc w:val="center"/>
                  </w:pPr>
                  <w:r>
                    <w:t xml:space="preserve">10.50</w:t>
                  </w:r>
                </w:p>
              </w:tc>
              <w:tc>
                <w:tcPr/>
                <w:p>
                  <w:pPr>
                    <w:pStyle w:val="Compact"/>
                    <w:jc w:val="right"/>
                    <w:jc w:val="center"/>
                  </w:pPr>
                  <w:r>
                    <w:t xml:space="preserve">7.00</w:t>
                  </w:r>
                </w:p>
              </w:tc>
              <w:tc>
                <w:tcPr/>
                <w:p>
                  <w:pPr>
                    <w:pStyle w:val="Compact"/>
                    <w:jc w:val="right"/>
                    <w:jc w:val="center"/>
                  </w:pPr>
                  <w:r>
                    <w:t xml:space="preserve">12.00</w:t>
                  </w:r>
                </w:p>
              </w:tc>
            </w:tr>
          </w:tbl>
          <w:bookmarkEnd w:id="40"/>
          <w:p/>
        </w:tc>
      </w:tr>
    </w:tbl>
    <w:bookmarkEnd w:id="41"/>
    <w:bookmarkStart w:id="47" w:name="Xe62e416f341529a0d0d152441c6da885073b06c"/>
    <w:p>
      <w:pPr>
        <w:pStyle w:val="Heading2"/>
      </w:pPr>
      <w:r>
        <w:t xml:space="preserve">Part A: Predictors of the learning trajectory</w:t>
      </w:r>
    </w:p>
    <w:p>
      <w:pPr>
        <w:pStyle w:val="FirstParagraph"/>
      </w:pPr>
      <w:r>
        <w:t xml:space="preserve">Each predictor enters twice: as a main effect, indexing the overall level of accuracy, and</w:t>
      </w:r>
      <w:r>
        <w:t xml:space="preserve"> </w:t>
      </w:r>
      <w:r>
        <w:t xml:space="preserve">in interaction with session, indexing the learning</w:t>
      </w:r>
      <w:r>
        <w:t xml:space="preserve"> </w:t>
      </w:r>
      <w:r>
        <w:rPr>
          <w:i/>
          <w:iCs/>
        </w:rPr>
        <w:t xml:space="preserve">rate</w:t>
      </w:r>
      <w:r>
        <w:t xml:space="preserve">. Because session is standardised,</w:t>
      </w:r>
      <w:r>
        <w:t xml:space="preserve"> </w:t>
      </w:r>
      <w:r>
        <w:t xml:space="preserve">the main effect is the association at the pooled-frame mean session (see Method). Working</w:t>
      </w:r>
      <w:r>
        <w:t xml:space="preserve"> </w:t>
      </w:r>
      <w:r>
        <w:t xml:space="preserve">memory was</w:t>
      </w:r>
      <w:r>
        <w:t xml:space="preserve"> </w:t>
      </w:r>
      <w:r>
        <w:t xml:space="preserve">the clearest predictor. Higher baseline digit span went with higher overall accuracy,</w:t>
      </w:r>
      <w:r>
        <w:t xml:space="preserve"> </w:t>
      </w:r>
      <w:r>
        <w:t xml:space="preserve">credibly so for the fully sampled gender-agreement property</w:t>
      </w:r>
      <w:r>
        <w:t xml:space="preserve"> </w:t>
      </w:r>
      <w:r>
        <w:t xml:space="preserve">(</w:t>
      </w:r>
      <m:oMath>
        <m:r>
          <m:t>b</m:t>
        </m:r>
        <m:r>
          <m:rPr>
            <m:sty m:val="p"/>
          </m:rPr>
          <m:t>=</m:t>
        </m:r>
        <m:r>
          <m:t>0.43</m:t>
        </m:r>
      </m:oMath>
      <w:r>
        <w:t xml:space="preserve">, 95% CrI</w:t>
      </w:r>
      <w:r>
        <w:t xml:space="preserve"> </w:t>
      </w:r>
      <m:oMath>
        <m:r>
          <m:rPr>
            <m:sty m:val="p"/>
          </m:rPr>
          <m:t>[</m:t>
        </m:r>
        <m:r>
          <m:t>0.09</m:t>
        </m:r>
        <m:r>
          <m:rPr>
            <m:sty m:val="p"/>
          </m:rPr>
          <m:t>,</m:t>
        </m:r>
        <m:r>
          <m:t>0.74</m:t>
        </m:r>
        <m:r>
          <m:rPr>
            <m:sty m:val="p"/>
          </m:rPr>
          <m:t>]</m:t>
        </m:r>
      </m:oMath>
      <w:r>
        <w:t xml:space="preserve">,</w:t>
      </w:r>
      <w:r>
        <w:t xml:space="preserve"> </w:t>
      </w:r>
      <m:oMath>
        <m:sSub>
          <m:e>
            <m:r>
              <m:t>p</m:t>
            </m:r>
          </m:e>
          <m:sub>
            <m:r>
              <m:t>d</m:t>
            </m:r>
          </m:sub>
        </m:sSub>
        <m:r>
          <m:rPr>
            <m:sty m:val="p"/>
          </m:rPr>
          <m:t>=</m:t>
        </m:r>
        <m:r>
          <m:t>99.5</m:t>
        </m:r>
        <m:r>
          <m:rPr>
            <m:sty m:val="p"/>
          </m:rPr>
          <m:t>%</m:t>
        </m:r>
      </m:oMath>
      <w:r>
        <w:t xml:space="preserve">) and positively,</w:t>
      </w:r>
      <w:r>
        <w:t xml:space="preserve"> </w:t>
      </w:r>
      <w:r>
        <w:t xml:space="preserve">though with an interval that narrowly included zero, in the pooled model</w:t>
      </w:r>
      <w:r>
        <w:t xml:space="preserve"> </w:t>
      </w:r>
      <w:r>
        <w:t xml:space="preserve">(</w:t>
      </w:r>
      <m:oMath>
        <m:r>
          <m:t>b</m:t>
        </m:r>
        <m:r>
          <m:rPr>
            <m:sty m:val="p"/>
          </m:rPr>
          <m:t>=</m:t>
        </m:r>
        <m:r>
          <m:t>0.290</m:t>
        </m:r>
      </m:oMath>
      <w:r>
        <w:t xml:space="preserve">, 95% CrI</w:t>
      </w:r>
      <w:r>
        <w:t xml:space="preserve"> </w:t>
      </w:r>
      <m:oMath>
        <m:r>
          <m:rPr>
            <m:sty m:val="p"/>
          </m:rPr>
          <m:t>[</m:t>
        </m:r>
        <m:r>
          <m:rPr>
            <m:sty m:val="p"/>
          </m:rPr>
          <m:t>−</m:t>
        </m:r>
        <m:r>
          <m:t>0.004</m:t>
        </m:r>
        <m:r>
          <m:rPr>
            <m:sty m:val="p"/>
          </m:rPr>
          <m:t>,</m:t>
        </m:r>
        <m:r>
          <m:t>0.563</m:t>
        </m:r>
        <m:r>
          <m:rPr>
            <m:sty m:val="p"/>
          </m:rPr>
          <m:t>]</m:t>
        </m:r>
      </m:oMath>
      <w:r>
        <w:t xml:space="preserve">,</w:t>
      </w:r>
      <w:r>
        <w:t xml:space="preserve"> </w:t>
      </w:r>
      <m:oMath>
        <m:sSub>
          <m:e>
            <m:r>
              <m:t>p</m:t>
            </m:r>
          </m:e>
          <m:sub>
            <m:r>
              <m:t>d</m:t>
            </m:r>
          </m:sub>
        </m:sSub>
        <m:r>
          <m:rPr>
            <m:sty m:val="p"/>
          </m:rPr>
          <m:t>=</m:t>
        </m:r>
        <m:r>
          <m:t>97.3</m:t>
        </m:r>
        <m:r>
          <m:rPr>
            <m:sty m:val="p"/>
          </m:rPr>
          <m:t>%</m:t>
        </m:r>
      </m:oMath>
      <w:r>
        <w:t xml:space="preserve">). Inhibitory control</w:t>
      </w:r>
      <w:r>
        <w:t xml:space="preserve"> </w:t>
      </w:r>
      <w:r>
        <w:t xml:space="preserve">(</w:t>
      </w:r>
      <m:oMath>
        <m:r>
          <m:t>b</m:t>
        </m:r>
        <m:r>
          <m:rPr>
            <m:sty m:val="p"/>
          </m:rPr>
          <m:t>=</m:t>
        </m:r>
        <m:r>
          <m:t>0.06</m:t>
        </m:r>
      </m:oMath>
      <w:r>
        <w:t xml:space="preserve">, 95% CrI</w:t>
      </w:r>
      <w:r>
        <w:t xml:space="preserve"> </w:t>
      </w:r>
      <m:oMath>
        <m:r>
          <m:rPr>
            <m:sty m:val="p"/>
          </m:rPr>
          <m:t>[</m:t>
        </m:r>
        <m:r>
          <m:rPr>
            <m:sty m:val="p"/>
          </m:rPr>
          <m:t>−</m:t>
        </m:r>
        <m:r>
          <m:t>0.17</m:t>
        </m:r>
        <m:r>
          <m:rPr>
            <m:sty m:val="p"/>
          </m:rPr>
          <m:t>,</m:t>
        </m:r>
        <m:r>
          <m:t>0.28</m:t>
        </m:r>
        <m:r>
          <m:rPr>
            <m:sty m:val="p"/>
          </m:rPr>
          <m:t>]</m:t>
        </m:r>
      </m:oMath>
      <w:r>
        <w:t xml:space="preserve">,</w:t>
      </w:r>
      <w:r>
        <w:t xml:space="preserve"> </w:t>
      </w:r>
      <m:oMath>
        <m:sSub>
          <m:e>
            <m:r>
              <m:t>p</m:t>
            </m:r>
          </m:e>
          <m:sub>
            <m:r>
              <m:t>d</m:t>
            </m:r>
          </m:sub>
        </m:sSub>
        <m:r>
          <m:rPr>
            <m:sty m:val="p"/>
          </m:rPr>
          <m:t>=</m:t>
        </m:r>
        <m:r>
          <m:t>68.9</m:t>
        </m:r>
        <m:r>
          <m:rPr>
            <m:sty m:val="p"/>
          </m:rPr>
          <m:t>%</m:t>
        </m:r>
      </m:oMath>
      <w:r>
        <w:t xml:space="preserve">) and statistical learning</w:t>
      </w:r>
      <w:r>
        <w:t xml:space="preserve"> </w:t>
      </w:r>
      <w:r>
        <w:t xml:space="preserve">(</w:t>
      </w:r>
      <m:oMath>
        <m:r>
          <m:t>b</m:t>
        </m:r>
        <m:r>
          <m:rPr>
            <m:sty m:val="p"/>
          </m:rPr>
          <m:t>=</m:t>
        </m:r>
        <m:r>
          <m:t>0.01</m:t>
        </m:r>
      </m:oMath>
      <w:r>
        <w:t xml:space="preserve">, 95% CrI</w:t>
      </w:r>
      <w:r>
        <w:t xml:space="preserve"> </w:t>
      </w:r>
      <m:oMath>
        <m:r>
          <m:rPr>
            <m:sty m:val="p"/>
          </m:rPr>
          <m:t>[</m:t>
        </m:r>
        <m:r>
          <m:rPr>
            <m:sty m:val="p"/>
          </m:rPr>
          <m:t>−</m:t>
        </m:r>
        <m:r>
          <m:t>0.25</m:t>
        </m:r>
        <m:r>
          <m:rPr>
            <m:sty m:val="p"/>
          </m:rPr>
          <m:t>,</m:t>
        </m:r>
        <m:r>
          <m:t>0.27</m:t>
        </m:r>
        <m:r>
          <m:rPr>
            <m:sty m:val="p"/>
          </m:rPr>
          <m:t>]</m:t>
        </m:r>
      </m:oMath>
      <w:r>
        <w:t xml:space="preserve">,</w:t>
      </w:r>
      <w:r>
        <w:t xml:space="preserve"> </w:t>
      </w:r>
      <m:oMath>
        <m:sSub>
          <m:e>
            <m:r>
              <m:t>p</m:t>
            </m:r>
          </m:e>
          <m:sub>
            <m:r>
              <m:t>d</m:t>
            </m:r>
          </m:sub>
        </m:sSub>
        <m:r>
          <m:rPr>
            <m:sty m:val="p"/>
          </m:rPr>
          <m:t>=</m:t>
        </m:r>
        <m:r>
          <m:t>53.4</m:t>
        </m:r>
        <m:r>
          <m:rPr>
            <m:sty m:val="p"/>
          </m:rPr>
          <m:t>%</m:t>
        </m:r>
      </m:oMath>
      <w:r>
        <w:t xml:space="preserve">) were not credibly related to</w:t>
      </w:r>
      <w:r>
        <w:t xml:space="preserve"> </w:t>
      </w:r>
      <w:r>
        <w:t xml:space="preserve">accuracy, in line with their weak-to-null evidence base.</w:t>
      </w:r>
    </w:p>
    <w:p>
      <w:pPr>
        <w:pStyle w:val="BodyText"/>
      </w:pPr>
      <w:r>
        <w:t xml:space="preserve">Of the baseline resting-state measures, the band powers yielded no credible coefficient</w:t>
      </w:r>
      <w:r>
        <w:t xml:space="preserve"> </w:t>
      </w:r>
      <w:r>
        <w:t xml:space="preserve">(</w:t>
      </w:r>
      <w:hyperlink w:anchor="fig-predictor-forest">
        <w:r>
          <w:rPr>
            <w:rStyle w:val="Hyperlink"/>
          </w:rPr>
          <w:t xml:space="preserve">Figure 6</w:t>
        </w:r>
      </w:hyperlink>
      <w:r>
        <w:t xml:space="preserve">), but that null must be read against how strongly they are</w:t>
      </w:r>
      <w:r>
        <w:t xml:space="preserve"> </w:t>
      </w:r>
      <w:r>
        <w:t xml:space="preserve">intercorrelated. Entering the bands simultaneously means each coefficient is the unique</w:t>
      </w:r>
      <w:r>
        <w:t xml:space="preserve"> </w:t>
      </w:r>
      <w:r>
        <w:t xml:space="preserve">contribution of that band with the others held constant, and the four low-frequency bands</w:t>
      </w:r>
      <w:r>
        <w:t xml:space="preserve"> </w:t>
      </w:r>
      <w:r>
        <w:t xml:space="preserve">share a great deal of variance (</w:t>
      </w:r>
      <w:hyperlink w:anchor="fig-predictor-corr">
        <w:r>
          <w:rPr>
            <w:rStyle w:val="Hyperlink"/>
          </w:rPr>
          <w:t xml:space="preserve">Figure 5</w:t>
        </w:r>
      </w:hyperlink>
      <w:r>
        <w:t xml:space="preserve">). Their variance inflation factors,</w:t>
      </w:r>
      <w:r>
        <w:t xml:space="preserve"> </w:t>
      </w:r>
      <w:r>
        <w:t xml:space="preserve">computed over the 57 participants with complete predictor data in the</w:t>
      </w:r>
      <w:r>
        <w:t xml:space="preserve"> </w:t>
      </w:r>
      <w:r>
        <w:t xml:space="preserve">descriptive frame, are</w:t>
      </w:r>
      <w:r>
        <w:t xml:space="preserve"> </w:t>
      </w:r>
      <w:r>
        <w:t xml:space="preserve">4.5 to 6.8, which widens their posterior intervals by</w:t>
      </w:r>
      <w:r>
        <w:t xml:space="preserve"> </w:t>
      </w:r>
      <w:r>
        <w:t xml:space="preserve">roughly 2.1 to 2.6 times relative to an orthogonal</w:t>
      </w:r>
      <w:r>
        <w:t xml:space="preserve"> </w:t>
      </w:r>
      <w:r>
        <w:t xml:space="preserve">predictor. Their null coefficients are therefore weakly identified and uninformative</w:t>
      </w:r>
      <w:r>
        <w:t xml:space="preserve"> </w:t>
      </w:r>
      <w:r>
        <w:t xml:space="preserve">about whether those rhythms relate to learning. Two of the neural predictors escape this:</w:t>
      </w:r>
      <w:r>
        <w:t xml:space="preserve"> </w:t>
      </w:r>
      <w:r>
        <w:t xml:space="preserve">gamma</w:t>
      </w:r>
      <w:r>
        <w:t xml:space="preserve"> </w:t>
      </w:r>
      <w:r>
        <w:t xml:space="preserve">(VIF 1.51) and the individual alpha frequency (VIF 1.29) are</w:t>
      </w:r>
      <w:r>
        <w:t xml:space="preserve"> </w:t>
      </w:r>
      <w:r>
        <w:t xml:space="preserve">nearly uncorrelated with the rest, so their estimates stand on their own. The one</w:t>
      </w:r>
      <w:r>
        <w:t xml:space="preserve"> </w:t>
      </w:r>
      <w:r>
        <w:t xml:space="preserve">suggestive signal was the individual alpha frequency, whose association with</w:t>
      </w:r>
      <w:r>
        <w:t xml:space="preserve"> </w:t>
      </w:r>
      <w:r>
        <w:t xml:space="preserve">gender-agreement accuracy was</w:t>
      </w:r>
      <w:r>
        <w:t xml:space="preserve"> </w:t>
      </w:r>
      <m:oMath>
        <m:r>
          <m:t>b</m:t>
        </m:r>
        <m:r>
          <m:rPr>
            <m:sty m:val="p"/>
          </m:rPr>
          <m:t>=</m:t>
        </m:r>
        <m:r>
          <m:t>0.27</m:t>
        </m:r>
      </m:oMath>
      <w:r>
        <w:t xml:space="preserve">, 95% CrI</w:t>
      </w:r>
      <w:r>
        <w:t xml:space="preserve"> </w:t>
      </w:r>
      <m:oMath>
        <m:r>
          <m:rPr>
            <m:sty m:val="p"/>
          </m:rPr>
          <m:t>[</m:t>
        </m:r>
        <m:r>
          <m:rPr>
            <m:sty m:val="p"/>
          </m:rPr>
          <m:t>−</m:t>
        </m:r>
        <m:r>
          <m:t>0.04</m:t>
        </m:r>
        <m:r>
          <m:rPr>
            <m:sty m:val="p"/>
          </m:rPr>
          <m:t>,</m:t>
        </m:r>
        <m:r>
          <m:t>0.58</m:t>
        </m:r>
        <m:r>
          <m:rPr>
            <m:sty m:val="p"/>
          </m:rPr>
          <m:t>]</m:t>
        </m:r>
      </m:oMath>
      <w:r>
        <w:t xml:space="preserve">,</w:t>
      </w:r>
      <w:r>
        <w:t xml:space="preserve"> </w:t>
      </w:r>
      <m:oMath>
        <m:sSub>
          <m:e>
            <m:r>
              <m:t>p</m:t>
            </m:r>
          </m:e>
          <m:sub>
            <m:r>
              <m:t>d</m:t>
            </m:r>
          </m:sub>
        </m:sSub>
        <m:r>
          <m:rPr>
            <m:sty m:val="p"/>
          </m:rPr>
          <m:t>=</m:t>
        </m:r>
        <m:r>
          <m:t>95.3</m:t>
        </m:r>
        <m:r>
          <m:rPr>
            <m:sty m:val="p"/>
          </m:rPr>
          <m:t>%</m:t>
        </m:r>
      </m:oMath>
      <w:r>
        <w:t xml:space="preserve">. The cross-check the</w:t>
      </w:r>
      <w:r>
        <w:t xml:space="preserve"> </w:t>
      </w:r>
      <w:r>
        <w:t xml:space="preserve">Method promised points the same way without settling it. In the aperiodic</w:t>
      </w:r>
      <w:r>
        <w:t xml:space="preserve"> </w:t>
      </w:r>
      <w:r>
        <w:t xml:space="preserve">re-parameterisation of the same stratum, fitted to a smaller sample, the</w:t>
      </w:r>
      <w:r>
        <w:t xml:space="preserve"> </w:t>
      </w:r>
      <w:r>
        <w:t xml:space="preserve">specparam-estimated individual alpha frequency was</w:t>
      </w:r>
      <w:r>
        <w:t xml:space="preserve"> </w:t>
      </w:r>
      <m:oMath>
        <m:r>
          <m:t>b</m:t>
        </m:r>
        <m:r>
          <m:rPr>
            <m:sty m:val="p"/>
          </m:rPr>
          <m:t>=</m:t>
        </m:r>
        <m:r>
          <m:t>0.24</m:t>
        </m:r>
      </m:oMath>
      <w:r>
        <w:t xml:space="preserve">, 95% CrI</w:t>
      </w:r>
      <w:r>
        <w:t xml:space="preserve"> </w:t>
      </w:r>
      <m:oMath>
        <m:r>
          <m:rPr>
            <m:sty m:val="p"/>
          </m:rPr>
          <m:t>[</m:t>
        </m:r>
        <m:r>
          <m:rPr>
            <m:sty m:val="p"/>
          </m:rPr>
          <m:t>−</m:t>
        </m:r>
        <m:r>
          <m:t>0.10</m:t>
        </m:r>
        <m:r>
          <m:rPr>
            <m:sty m:val="p"/>
          </m:rPr>
          <m:t>,</m:t>
        </m:r>
        <m:r>
          <m:t>0.57</m:t>
        </m:r>
        <m:r>
          <m:rPr>
            <m:sty m:val="p"/>
          </m:rPr>
          <m:t>]</m:t>
        </m:r>
      </m:oMath>
      <w:r>
        <w:t xml:space="preserve">,</w:t>
      </w:r>
      <w:r>
        <w:t xml:space="preserve"> </w:t>
      </w:r>
      <m:oMath>
        <m:sSub>
          <m:e>
            <m:r>
              <m:t>p</m:t>
            </m:r>
          </m:e>
          <m:sub>
            <m:r>
              <m:t>d</m:t>
            </m:r>
          </m:sub>
        </m:sSub>
        <m:r>
          <m:rPr>
            <m:sty m:val="p"/>
          </m:rPr>
          <m:t>=</m:t>
        </m:r>
        <m:r>
          <m:t>91.7</m:t>
        </m:r>
        <m:r>
          <m:rPr>
            <m:sty m:val="p"/>
          </m:rPr>
          <m:t>%</m:t>
        </m:r>
      </m:oMath>
      <w:r>
        <w:t xml:space="preserve">, and the</w:t>
      </w:r>
      <w:r>
        <w:t xml:space="preserve"> </w:t>
      </w:r>
      <w:r>
        <w:t xml:space="preserve">aperiodic exponent, the quantity the decomposition adds, was</w:t>
      </w:r>
      <w:r>
        <w:t xml:space="preserve"> </w:t>
      </w:r>
      <m:oMath>
        <m:r>
          <m:t>b</m:t>
        </m:r>
        <m:r>
          <m:rPr>
            <m:sty m:val="p"/>
          </m:rPr>
          <m:t>=</m:t>
        </m:r>
        <m:r>
          <m:t>0.07</m:t>
        </m:r>
      </m:oMath>
      <w:r>
        <w:t xml:space="preserve">, 95% CrI</w:t>
      </w:r>
      <w:r>
        <w:t xml:space="preserve"> </w:t>
      </w:r>
      <m:oMath>
        <m:r>
          <m:rPr>
            <m:sty m:val="p"/>
          </m:rPr>
          <m:t>[</m:t>
        </m:r>
        <m:r>
          <m:rPr>
            <m:sty m:val="p"/>
          </m:rPr>
          <m:t>−</m:t>
        </m:r>
        <m:r>
          <m:t>0.30</m:t>
        </m:r>
        <m:r>
          <m:rPr>
            <m:sty m:val="p"/>
          </m:rPr>
          <m:t>,</m:t>
        </m:r>
        <m:r>
          <m:t>0.43</m:t>
        </m:r>
        <m:r>
          <m:rPr>
            <m:sty m:val="p"/>
          </m:rPr>
          <m:t>]</m:t>
        </m:r>
      </m:oMath>
      <w:r>
        <w:t xml:space="preserve">,</w:t>
      </w:r>
      <w:r>
        <w:t xml:space="preserve"> </w:t>
      </w:r>
      <m:oMath>
        <m:sSub>
          <m:e>
            <m:r>
              <m:t>p</m:t>
            </m:r>
          </m:e>
          <m:sub>
            <m:r>
              <m:t>d</m:t>
            </m:r>
          </m:sub>
        </m:sSub>
        <m:r>
          <m:rPr>
            <m:sty m:val="p"/>
          </m:rPr>
          <m:t>=</m:t>
        </m:r>
        <m:r>
          <m:t>64.7</m:t>
        </m:r>
        <m:r>
          <m:rPr>
            <m:sty m:val="p"/>
          </m:rPr>
          <m:t>%</m:t>
        </m:r>
      </m:oMath>
      <w:r>
        <w:t xml:space="preserve">. The learning-</w:t>
      </w:r>
      <w:r>
        <w:rPr>
          <w:i/>
          <w:iCs/>
        </w:rPr>
        <w:t xml:space="preserve">rate</w:t>
      </w:r>
      <w:r>
        <w:t xml:space="preserve"> </w:t>
      </w:r>
      <w:r>
        <w:t xml:space="preserve">interactions were uniformly weak (for working memory,</w:t>
      </w:r>
      <w:r>
        <w:t xml:space="preserve"> </w:t>
      </w:r>
      <m:oMath>
        <m:r>
          <m:t>b</m:t>
        </m:r>
        <m:r>
          <m:rPr>
            <m:sty m:val="p"/>
          </m:rPr>
          <m:t>=</m:t>
        </m:r>
        <m:r>
          <m:rPr>
            <m:sty m:val="p"/>
          </m:rPr>
          <m:t>−</m:t>
        </m:r>
        <m:r>
          <m:t>0.10</m:t>
        </m:r>
      </m:oMath>
      <w:r>
        <w:t xml:space="preserve">, 95% CrI</w:t>
      </w:r>
      <w:r>
        <w:t xml:space="preserve"> </w:t>
      </w:r>
      <m:oMath>
        <m:r>
          <m:rPr>
            <m:sty m:val="p"/>
          </m:rPr>
          <m:t>[</m:t>
        </m:r>
        <m:r>
          <m:rPr>
            <m:sty m:val="p"/>
          </m:rPr>
          <m:t>−</m:t>
        </m:r>
        <m:r>
          <m:t>0.27</m:t>
        </m:r>
        <m:r>
          <m:rPr>
            <m:sty m:val="p"/>
          </m:rPr>
          <m:t>,</m:t>
        </m:r>
        <m:r>
          <m:t>0.07</m:t>
        </m:r>
        <m:r>
          <m:rPr>
            <m:sty m:val="p"/>
          </m:rPr>
          <m:t>]</m:t>
        </m:r>
      </m:oMath>
      <w:r>
        <w:t xml:space="preserve">,</w:t>
      </w:r>
      <w:r>
        <w:t xml:space="preserve"> </w:t>
      </w:r>
      <m:oMath>
        <m:sSub>
          <m:e>
            <m:r>
              <m:t>p</m:t>
            </m:r>
          </m:e>
          <m:sub>
            <m:r>
              <m:t>d</m:t>
            </m:r>
          </m:sub>
        </m:sSub>
        <m:r>
          <m:rPr>
            <m:sty m:val="p"/>
          </m:rPr>
          <m:t>=</m:t>
        </m:r>
        <m:r>
          <m:t>87.6</m:t>
        </m:r>
        <m:r>
          <m:rPr>
            <m:sty m:val="p"/>
          </m:rPr>
          <m:t>%</m:t>
        </m:r>
      </m:oMath>
      <w:r>
        <w:t xml:space="preserve">),</w:t>
      </w:r>
      <w:r>
        <w:t xml:space="preserve"> </w:t>
      </w:r>
      <w:r>
        <w:t xml:space="preserve">consistent with priors that placed their small informative mass on the main effects and</w:t>
      </w:r>
      <w:r>
        <w:t xml:space="preserve"> </w:t>
      </w:r>
      <w:r>
        <w:t xml:space="preserve">shrank the rate terms towards zero. The largest was the statistical-learning-by-session</w:t>
      </w:r>
      <w:r>
        <w:t xml:space="preserve"> </w:t>
      </w:r>
      <w:r>
        <w:t xml:space="preserve">term in the gender-agreement model</w:t>
      </w:r>
      <w:r>
        <w:t xml:space="preserve"> </w:t>
      </w:r>
      <w:r>
        <w:t xml:space="preserve">(</w:t>
      </w:r>
      <m:oMath>
        <m:r>
          <m:t>b</m:t>
        </m:r>
        <m:r>
          <m:rPr>
            <m:sty m:val="p"/>
          </m:rPr>
          <m:t>=</m:t>
        </m:r>
        <m:r>
          <m:t>0.11</m:t>
        </m:r>
      </m:oMath>
      <w:r>
        <w:t xml:space="preserve">, 95% CrI</w:t>
      </w:r>
      <w:r>
        <w:t xml:space="preserve"> </w:t>
      </w:r>
      <m:oMath>
        <m:r>
          <m:rPr>
            <m:sty m:val="p"/>
          </m:rPr>
          <m:t>[</m:t>
        </m:r>
        <m:r>
          <m:rPr>
            <m:sty m:val="p"/>
          </m:rPr>
          <m:t>−</m:t>
        </m:r>
        <m:r>
          <m:t>0.02</m:t>
        </m:r>
        <m:r>
          <m:rPr>
            <m:sty m:val="p"/>
          </m:rPr>
          <m:t>,</m:t>
        </m:r>
        <m:r>
          <m:t>0.23</m:t>
        </m:r>
        <m:r>
          <m:rPr>
            <m:sty m:val="p"/>
          </m:rPr>
          <m:t>]</m:t>
        </m:r>
      </m:oMath>
      <w:r>
        <w:t xml:space="preserve">,</w:t>
      </w:r>
      <w:r>
        <w:t xml:space="preserve"> </w:t>
      </w:r>
      <m:oMath>
        <m:sSub>
          <m:e>
            <m:r>
              <m:t>p</m:t>
            </m:r>
          </m:e>
          <m:sub>
            <m:r>
              <m:t>d</m:t>
            </m:r>
          </m:sub>
        </m:sSub>
        <m:r>
          <m:rPr>
            <m:sty m:val="p"/>
          </m:rPr>
          <m:t>=</m:t>
        </m:r>
        <m:r>
          <m:t>95.3</m:t>
        </m:r>
        <m:r>
          <m:rPr>
            <m:sty m:val="p"/>
          </m:rPr>
          <m:t>%</m:t>
        </m:r>
      </m:oMath>
      <w:r>
        <w:t xml:space="preserve">), with</w:t>
      </w:r>
      <w:r>
        <w:t xml:space="preserve"> </w:t>
      </w:r>
      <w:r>
        <w:t xml:space="preserve">the adjusted-alpha-by-session term of the aperiodic refit of that stratum comparable</w:t>
      </w:r>
      <w:r>
        <w:t xml:space="preserve"> </w:t>
      </w:r>
      <w:r>
        <w:t xml:space="preserve">(</w:t>
      </w:r>
      <m:oMath>
        <m:r>
          <m:t>b</m:t>
        </m:r>
        <m:r>
          <m:rPr>
            <m:sty m:val="p"/>
          </m:rPr>
          <m:t>=</m:t>
        </m:r>
        <m:r>
          <m:t>0.18</m:t>
        </m:r>
      </m:oMath>
      <w:r>
        <w:t xml:space="preserve">, 95% CrI</w:t>
      </w:r>
      <w:r>
        <w:t xml:space="preserve"> </w:t>
      </w:r>
      <m:oMath>
        <m:r>
          <m:rPr>
            <m:sty m:val="p"/>
          </m:rPr>
          <m:t>[</m:t>
        </m:r>
        <m:r>
          <m:rPr>
            <m:sty m:val="p"/>
          </m:rPr>
          <m:t>−</m:t>
        </m:r>
        <m:r>
          <m:t>0.02</m:t>
        </m:r>
        <m:r>
          <m:rPr>
            <m:sty m:val="p"/>
          </m:rPr>
          <m:t>,</m:t>
        </m:r>
        <m:r>
          <m:t>0.37</m:t>
        </m:r>
        <m:r>
          <m:rPr>
            <m:sty m:val="p"/>
          </m:rPr>
          <m:t>]</m:t>
        </m:r>
      </m:oMath>
      <w:r>
        <w:t xml:space="preserve">,</w:t>
      </w:r>
      <w:r>
        <w:t xml:space="preserve"> </w:t>
      </w:r>
      <m:oMath>
        <m:sSub>
          <m:e>
            <m:r>
              <m:t>p</m:t>
            </m:r>
          </m:e>
          <m:sub>
            <m:r>
              <m:t>d</m:t>
            </m:r>
          </m:sub>
        </m:sSub>
        <m:r>
          <m:rPr>
            <m:sty m:val="p"/>
          </m:rPr>
          <m:t>=</m:t>
        </m:r>
        <m:r>
          <m:t>96.1</m:t>
        </m:r>
        <m:r>
          <m:rPr>
            <m:sty m:val="p"/>
          </m:rPr>
          <m:t>%</m:t>
        </m:r>
      </m:oMath>
      <w:r>
        <w:t xml:space="preserve">).</w:t>
      </w:r>
      <w:r>
        <w:t xml:space="preserve"> </w:t>
      </w:r>
      <w:r>
        <w:t xml:space="preserve">Neither is interpreted, for the reason given below.</w:t>
      </w:r>
    </w:p>
    <w:p>
      <w:pPr>
        <w:pStyle w:val="BodyText"/>
      </w:pPr>
      <w:r>
        <w:t xml:space="preserve">Under weakly informative priors, the regularising priors on the resting-state bands are</w:t>
      </w:r>
      <w:r>
        <w:t xml:space="preserve"> </w:t>
      </w:r>
      <w:r>
        <w:t xml:space="preserve">seen to have shrunk them towards zero and tightened their intervals (across all</w:t>
      </w:r>
      <w:r>
        <w:t xml:space="preserve"> </w:t>
      </w:r>
      <w:r>
        <w:t xml:space="preserve">coefficients, the weakly informative intervals were about 54% wider</w:t>
      </w:r>
      <w:r>
        <w:t xml:space="preserve"> </w:t>
      </w:r>
      <w:r>
        <w:t xml:space="preserve">at the median). No band-power predictor was credible under either prior. The individual</w:t>
      </w:r>
      <w:r>
        <w:t xml:space="preserve"> </w:t>
      </w:r>
      <w:r>
        <w:t xml:space="preserve">alpha frequency, however, is prior-sensitive. Under the weakly informative prior, its</w:t>
      </w:r>
      <w:r>
        <w:t xml:space="preserve"> </w:t>
      </w:r>
      <w:r>
        <w:t xml:space="preserve">gender-agreement interval excluded zero</w:t>
      </w:r>
      <w:r>
        <w:t xml:space="preserve"> </w:t>
      </w:r>
      <w:r>
        <w:t xml:space="preserve">(</w:t>
      </w:r>
      <m:oMath>
        <m:r>
          <m:t>b</m:t>
        </m:r>
        <m:r>
          <m:rPr>
            <m:sty m:val="p"/>
          </m:rPr>
          <m:t>=</m:t>
        </m:r>
        <m:r>
          <m:t>0.47</m:t>
        </m:r>
      </m:oMath>
      <w:r>
        <w:t xml:space="preserve">, 95% CrI</w:t>
      </w:r>
      <w:r>
        <w:t xml:space="preserve"> </w:t>
      </w:r>
      <m:oMath>
        <m:r>
          <m:rPr>
            <m:sty m:val="p"/>
          </m:rPr>
          <m:t>[</m:t>
        </m:r>
        <m:r>
          <m:t>0.01</m:t>
        </m:r>
        <m:r>
          <m:rPr>
            <m:sty m:val="p"/>
          </m:rPr>
          <m:t>,</m:t>
        </m:r>
        <m:r>
          <m:t>0.94</m:t>
        </m:r>
        <m:r>
          <m:rPr>
            <m:sty m:val="p"/>
          </m:rPr>
          <m:t>]</m:t>
        </m:r>
      </m:oMath>
      <w:r>
        <w:t xml:space="preserve">), whereas under the</w:t>
      </w:r>
      <w:r>
        <w:t xml:space="preserve"> </w:t>
      </w:r>
      <w:r>
        <w:t xml:space="preserve">regularising prior it did not</w:t>
      </w:r>
      <w:r>
        <w:t xml:space="preserve"> </w:t>
      </w:r>
      <w:r>
        <w:t xml:space="preserve">(</w:t>
      </w:r>
      <m:oMath>
        <m:r>
          <m:t>b</m:t>
        </m:r>
        <m:r>
          <m:rPr>
            <m:sty m:val="p"/>
          </m:rPr>
          <m:t>=</m:t>
        </m:r>
        <m:r>
          <m:t>0.27</m:t>
        </m:r>
      </m:oMath>
      <w:r>
        <w:t xml:space="preserve">, 95% CrI</w:t>
      </w:r>
      <w:r>
        <w:t xml:space="preserve"> </w:t>
      </w:r>
      <m:oMath>
        <m:r>
          <m:rPr>
            <m:sty m:val="p"/>
          </m:rPr>
          <m:t>[</m:t>
        </m:r>
        <m:r>
          <m:rPr>
            <m:sty m:val="p"/>
          </m:rPr>
          <m:t>−</m:t>
        </m:r>
        <m:r>
          <m:t>0.04</m:t>
        </m:r>
        <m:r>
          <m:rPr>
            <m:sty m:val="p"/>
          </m:rPr>
          <m:t>,</m:t>
        </m:r>
        <m:r>
          <m:t>0.58</m:t>
        </m:r>
        <m:r>
          <m:rPr>
            <m:sty m:val="p"/>
          </m:rPr>
          <m:t>]</m:t>
        </m:r>
      </m:oMath>
      <w:r>
        <w:t xml:space="preserve">). The regularised</w:t>
      </w:r>
      <w:r>
        <w:t xml:space="preserve"> </w:t>
      </w:r>
      <w:r>
        <w:t xml:space="preserve">estimate is treated as primary, and we read the association as suggestive. The</w:t>
      </w:r>
      <w:r>
        <w:t xml:space="preserve"> </w:t>
      </w:r>
      <w:r>
        <w:t xml:space="preserve">working-memory main effect was, if anything, larger under the weakly informative prior,</w:t>
      </w:r>
      <w:r>
        <w:t xml:space="preserve"> </w:t>
      </w:r>
      <w:r>
        <w:t xml:space="preserve">and its pooled interval then excluded zero</w:t>
      </w:r>
      <w:r>
        <w:t xml:space="preserve"> </w:t>
      </w:r>
      <w:r>
        <w:t xml:space="preserve">(</w:t>
      </w:r>
      <m:oMath>
        <m:r>
          <m:t>b</m:t>
        </m:r>
        <m:r>
          <m:rPr>
            <m:sty m:val="p"/>
          </m:rPr>
          <m:t>=</m:t>
        </m:r>
        <m:r>
          <m:t>0.418</m:t>
        </m:r>
      </m:oMath>
      <w:r>
        <w:t xml:space="preserve">, 95% CrI</w:t>
      </w:r>
      <w:r>
        <w:t xml:space="preserve"> </w:t>
      </w:r>
      <m:oMath>
        <m:r>
          <m:rPr>
            <m:sty m:val="p"/>
          </m:rPr>
          <m:t>[</m:t>
        </m:r>
        <m:r>
          <m:t>0.003</m:t>
        </m:r>
        <m:r>
          <m:rPr>
            <m:sty m:val="p"/>
          </m:rPr>
          <m:t>,</m:t>
        </m:r>
        <m:r>
          <m:t>0.836</m:t>
        </m:r>
        <m:r>
          <m:rPr>
            <m:sty m:val="p"/>
          </m:rPr>
          <m:t>]</m:t>
        </m:r>
      </m:oMath>
      <w:r>
        <w:t xml:space="preserve">). The</w:t>
      </w:r>
      <w:r>
        <w:t xml:space="preserve"> </w:t>
      </w:r>
      <w:r>
        <w:t xml:space="preserve">predictor-by-session interactions likewise remained non-credible under weakly informative</w:t>
      </w:r>
      <w:r>
        <w:t xml:space="preserve"> </w:t>
      </w:r>
      <w:r>
        <w:t xml:space="preserve">priors (largest</w:t>
      </w:r>
      <w:r>
        <w:t xml:space="preserve"> </w:t>
      </w:r>
      <m:oMath>
        <m:sSub>
          <m:e>
            <m:r>
              <m:t>p</m:t>
            </m:r>
          </m:e>
          <m:sub>
            <m:r>
              <m:t>d</m:t>
            </m:r>
          </m:sub>
        </m:sSub>
      </m:oMath>
      <w:r>
        <w:t xml:space="preserve"> </w:t>
      </w:r>
      <w:r>
        <w:t xml:space="preserve">= .96), so the level-not-rate asymmetry is a</w:t>
      </w:r>
      <w:r>
        <w:t xml:space="preserve"> </w:t>
      </w:r>
      <w:r>
        <w:t xml:space="preserve">property of the data and does not depend on the prior specification.</w:t>
      </w:r>
    </w:p>
    <w:p>
      <w:pPr>
        <w:pStyle w:val="BodyText"/>
      </w:pPr>
      <w:r>
        <w:t xml:space="preserve">To establish which predictors account for the reference model’s predictive performance, projection-predictive selection was run on both the pooled and the gender-agreement reference models and on the aperiodic re-parameterisation, and it returned the same parsimonious answer throughout. In the raw-band model, the suggested size was 6: the design scaffold (by-participant intercept and session slope, session, grammatical property and their interaction) together with working memory (digit span). Digit span was the first individual-difference predictor selected, entering at step 6 of the forward search, exactly the suggested size. Inhibitory control (step 8), statistical learning (step 10) and the resting-state band predictors entered only beyond the suggested size, so they are not among the terms the search retained. The forward search was capped at projpred’s default path length, so the lowest-ranked terms, including the individual alpha frequency, reported above as a suggestive baseline signal, fell below that cap and were not positively ruled out in that stratum.</w:t>
      </w:r>
    </w:p>
    <w:p>
      <w:pPr>
        <w:pStyle w:val="BodyText"/>
      </w:pPr>
      <w:r>
        <w:t xml:space="preserve">The gender-agreement stratum, fitted to that property alone, gives the same answer: a suggested size of 4, with working memory again the first individual-difference predictor to enter, at step 4, and inhibitory control and statistical learning entering beyond it (steps 6 and 8). That search ran over the full candidate set rather than projpred’s default path length, so gamma power and the individual alpha frequency were evaluated and not truncated away, and they rank last of all (steps 18 and 20). The full-length search was run only for this stratum, the one the individual-difference claim rests on. There, neither term added anything the retained predictors had missed, and how far beyond the suggested size a term lands is not interpreted.</w:t>
      </w:r>
    </w:p>
    <w:p>
      <w:pPr>
        <w:pStyle w:val="BodyText"/>
      </w:pPr>
      <w:r>
        <w:t xml:space="preserve">The aperiodic re-parameterisation reproduced this ordering (suggested size 6), with the aperiodic exponent and offset entering at steps 12 and 14, well beyond the suggested size, so the</w:t>
      </w:r>
      <w:r>
        <w:t xml:space="preserve"> </w:t>
      </w:r>
      <m:oMath>
        <m:r>
          <m:t>1</m:t>
        </m:r>
        <m:r>
          <m:rPr>
            <m:sty m:val="p"/>
          </m:rPr>
          <m:t>/</m:t>
        </m:r>
        <m:r>
          <m:t>f</m:t>
        </m:r>
      </m:oMath>
      <w:r>
        <w:t xml:space="preserve"> </w:t>
      </w:r>
      <w:r>
        <w:t xml:space="preserve">background added no predictive information the raw bands had missed. The same path cap left the adjusted beta power and the specparam individual alpha frequency unreached, with the same caveat.</w:t>
      </w:r>
    </w:p>
    <w:p>
      <w:pPr>
        <w:pStyle w:val="BodyText"/>
      </w:pPr>
      <w:r>
        <w:t xml:space="preserve">The two parameterisations were also compared by PSIS-LOO on the sample they share. Because the specparam re-parameterisation is defined for 50 of the 56 participants, the raw-band model was refit on that common subsample so the two are compared on identical observations. The aperiodic-minus-raw difference in expected log predictive density was 0.2 (SE 0.5) in the pooled stratum and -0.1 (SE 1.0) for gender agreement, in each case smaller than twice its standard error</w:t>
      </w:r>
      <w:r>
        <w:t xml:space="preserve"> </w:t>
      </w:r>
      <w:r>
        <w:t xml:space="preserve">(Vehtari et al. 2017)</w:t>
      </w:r>
      <w:r>
        <w:t xml:space="preserve">. As noted in the Method, this leave-one-trial-out criterion cannot detect participant-level predictors, so the near-zero difference is not read as evidence that the two characterisations are equivalent.</w:t>
      </w:r>
    </w:p>
    <w:p>
      <w:pPr>
        <w:pStyle w:val="BodyText"/>
      </w:pPr>
      <w:r>
        <w:t xml:space="preserve">We then ran the participant-grouped comparison directly, refitting both models on the common sample under the 10-fold participant-blocked scheme described in the Method. The aperiodic-minus-raw difference was -56.5 in the pooled stratum and -20.9 for gender agreement. These are reported with standard errors clustered on participants (51.3 and 31.4), which exceed the naive independent-observation standard errors by factors of 6.5 and 4.3, since the pointwise contributions are dependent within a participant. Neither difference reaches twice its clustered standard error, so neither characterisation predicts a held-out participant’s trajectory detectably better than the other, and although both differences favour the raw bands in direction we draw no conclusion from the sign. At these standard errors only a difference beyond about 103 nats in the pooled stratum and 63 for gender agreement would be read as decisive, so this tie bounds the comparison without establishing equivalence.</w:t>
      </w:r>
    </w:p>
    <w:p>
      <w:pPr>
        <w:pStyle w:val="BodyText"/>
      </w:pPr>
      <w:r>
        <w:t xml:space="preserve">Model-implied end-of-training attainment was 0.63 (95% CrI [0.57, 0.70]) pooled and 0.88 (95% CrI [0.83, 0.92]) for gender agreement. The by-participant level at the pooled-frame mean session (the intercept) was estimated with high reliability (pooled .84, gender-only .79). The learning-rate slope was estimated less reliably (pooled .75, gender-only .42), and because the gender-only rate is the least reliably estimated of these quantities we do not interpret rate-based individual-difference claims from that model.</w:t>
      </w:r>
    </w:p>
    <w:p>
      <w:pPr>
        <w:pStyle w:val="BodyText"/>
      </w:pPr>
      <w:hyperlink w:anchor="tbl-reliability">
        <w:r>
          <w:rPr>
            <w:rStyle w:val="Hyperlink"/>
          </w:rPr>
          <w:t xml:space="preserve">Table 2</w:t>
        </w:r>
      </w:hyperlink>
      <w:r>
        <w:t xml:space="preserve"> </w:t>
      </w:r>
      <w:r>
        <w:t xml:space="preserve">gives these outcome reliabilities in full, and</w:t>
      </w:r>
      <w:r>
        <w:t xml:space="preserve"> </w:t>
      </w:r>
      <w:hyperlink w:anchor="tbl-predictor-reliability">
        <w:r>
          <w:rPr>
            <w:rStyle w:val="Hyperlink"/>
          </w:rPr>
          <w:t xml:space="preserve">Table 4</w:t>
        </w:r>
      </w:hyperlink>
      <w:r>
        <w:t xml:space="preserve"> </w:t>
      </w:r>
      <w:r>
        <w:t xml:space="preserve">the internal consistency of the three baseline cognitive</w:t>
      </w:r>
      <w:r>
        <w:t xml:space="preserve"> </w:t>
      </w:r>
      <w:r>
        <w:t xml:space="preserve">indices. Both matter, because the association between a predictor and an outcome is</w:t>
      </w:r>
      <w:r>
        <w:t xml:space="preserve"> </w:t>
      </w:r>
      <w:r>
        <w:t xml:space="preserve">bounded by the reliability of each. Two of the three cognitive indices are moreover</w:t>
      </w:r>
      <w:r>
        <w:t xml:space="preserve"> </w:t>
      </w:r>
      <w:r>
        <w:t xml:space="preserve">difference scores, a form whose reliability is typically lower than that of its</w:t>
      </w:r>
      <w:r>
        <w:t xml:space="preserve"> </w:t>
      </w:r>
      <w:r>
        <w:t xml:space="preserve">components</w:t>
      </w:r>
      <w:r>
        <w:t xml:space="preserve"> </w:t>
      </w:r>
      <w:r>
        <w:t xml:space="preserve">(Draheim et al. 2019; Hedge et al. 2018)</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predictor-forest"/>
          <w:p>
            <w:pPr>
              <w:pStyle w:val="Compact"/>
              <w:jc w:val="center"/>
            </w:pPr>
            <w:r>
              <w:drawing>
                <wp:inline>
                  <wp:extent cx="5334000" cy="4923692"/>
                  <wp:effectExtent b="0" l="0" r="0" t="0"/>
                  <wp:docPr descr="" title="" id="43" name="Picture"/>
                  <a:graphic>
                    <a:graphicData uri="http://schemas.openxmlformats.org/drawingml/2006/picture">
                      <pic:pic>
                        <pic:nvPicPr>
                          <pic:cNvPr descr="paper_2_neuroplasticity_files/figure-docx/fig-predictor-forest-1.png" id="44" name="Picture"/>
                          <pic:cNvPicPr>
                            <a:picLocks noChangeArrowheads="1" noChangeAspect="1"/>
                          </pic:cNvPicPr>
                        </pic:nvPicPr>
                        <pic:blipFill>
                          <a:blip r:embed="rId42"/>
                          <a:stretch>
                            <a:fillRect/>
                          </a:stretch>
                        </pic:blipFill>
                        <pic:spPr bwMode="auto">
                          <a:xfrm>
                            <a:off x="0" y="0"/>
                            <a:ext cx="5334000" cy="4923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 A Predictor Effects on Overall Accuracy and Learning Rate</w:t>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reliability"/>
          <w:p>
            <w:pPr>
              <w:jc w:val="center"/>
            </w:pPr>
            <w:pPr>
              <w:jc w:val="left"/>
              <w:spacing w:before="200"/>
              <w:pStyle w:val="ImageCaption"/>
            </w:pPr>
            <w:r>
              <w:t xml:space="preserve">Table 2: By-Participant Reliability of the Learning Trajectory</w:t>
            </w:r>
          </w:p>
          <w:tbl>
            <w:tblPr>
              <w:tblStyle w:val="Table"/>
              <w:tblW w:type="pct" w:w="5000"/>
              <w:tblLayout w:type="fixed"/>
              <w:tblLook w:firstRow="1" w:lastRow="0" w:firstColumn="0" w:lastColumn="0" w:noHBand="0" w:noVBand="0" w:val="0020"/>
            </w:tblPr>
            <w:tblGrid>
              <w:gridCol w:w="1188"/>
              <w:gridCol w:w="2871"/>
              <w:gridCol w:w="891"/>
              <w:gridCol w:w="1782"/>
              <w:gridCol w:w="1188"/>
            </w:tblGrid>
            <w:tr>
              <w:trPr>
                <w:tblHeader w:val="on"/>
              </w:trPr>
              <w:tc>
                <w:tcPr/>
                <w:p>
                  <w:pPr>
                    <w:pStyle w:val="Compact"/>
                    <w:jc w:val="left"/>
                    <w:jc w:val="center"/>
                  </w:pPr>
                  <w:r>
                    <w:t xml:space="preserve">Model</w:t>
                  </w:r>
                </w:p>
              </w:tc>
              <w:tc>
                <w:tcPr/>
                <w:p>
                  <w:pPr>
                    <w:pStyle w:val="Compact"/>
                    <w:jc w:val="left"/>
                    <w:jc w:val="center"/>
                  </w:pPr>
                  <w:r>
                    <w:t xml:space="preserve">Quantity</w:t>
                  </w:r>
                </w:p>
              </w:tc>
              <w:tc>
                <w:tcPr/>
                <w:p>
                  <w:pPr>
                    <w:pStyle w:val="Compact"/>
                    <w:jc w:val="right"/>
                    <w:jc w:val="center"/>
                  </w:pPr>
                  <w:r>
                    <w:t xml:space="preserve">Group SD</w:t>
                  </w:r>
                </w:p>
              </w:tc>
              <w:tc>
                <w:tcPr/>
                <w:p>
                  <w:pPr>
                    <w:pStyle w:val="Compact"/>
                    <w:jc w:val="right"/>
                    <w:jc w:val="center"/>
                  </w:pPr>
                  <w:r>
                    <w:t xml:space="preserve">Mean posterior SE</w:t>
                  </w:r>
                </w:p>
              </w:tc>
              <w:tc>
                <w:tcPr/>
                <w:p>
                  <w:pPr>
                    <w:pStyle w:val="Compact"/>
                    <w:jc w:val="right"/>
                    <w:jc w:val="center"/>
                  </w:pPr>
                  <w:r>
                    <w:t xml:space="preserve">Reliability</w:t>
                  </w:r>
                </w:p>
              </w:tc>
            </w:tr>
            <w:tr>
              <w:tc>
                <w:tcPr/>
                <w:p>
                  <w:pPr>
                    <w:pStyle w:val="Compact"/>
                    <w:jc w:val="left"/>
                    <w:jc w:val="center"/>
                  </w:pPr>
                  <w:r>
                    <w:t xml:space="preserve">Pooled</w:t>
                  </w:r>
                </w:p>
              </w:tc>
              <w:tc>
                <w:tcPr/>
                <w:p>
                  <w:pPr>
                    <w:pStyle w:val="Compact"/>
                    <w:jc w:val="left"/>
                    <w:jc w:val="center"/>
                  </w:pPr>
                  <w:r>
                    <w:t xml:space="preserve">Overall accuracy (intercept)</w:t>
                  </w:r>
                </w:p>
              </w:tc>
              <w:tc>
                <w:tcPr/>
                <w:p>
                  <w:pPr>
                    <w:pStyle w:val="Compact"/>
                    <w:jc w:val="right"/>
                    <w:jc w:val="center"/>
                  </w:pPr>
                  <w:r>
                    <w:t xml:space="preserve">1.30</w:t>
                  </w:r>
                </w:p>
              </w:tc>
              <w:tc>
                <w:tcPr/>
                <w:p>
                  <w:pPr>
                    <w:pStyle w:val="Compact"/>
                    <w:jc w:val="right"/>
                    <w:jc w:val="center"/>
                  </w:pPr>
                  <w:r>
                    <w:t xml:space="preserve">0.47</w:t>
                  </w:r>
                </w:p>
              </w:tc>
              <w:tc>
                <w:tcPr/>
                <w:p>
                  <w:pPr>
                    <w:pStyle w:val="Compact"/>
                    <w:jc w:val="right"/>
                    <w:jc w:val="center"/>
                  </w:pPr>
                  <w:r>
                    <w:t xml:space="preserve">.84</w:t>
                  </w:r>
                </w:p>
              </w:tc>
            </w:tr>
            <w:tr>
              <w:tc>
                <w:tcPr/>
                <w:p>
                  <w:pPr>
                    <w:pStyle w:val="Compact"/>
                    <w:jc w:val="left"/>
                    <w:jc w:val="center"/>
                  </w:pPr>
                  <w:r>
                    <w:t xml:space="preserve">Pooled</w:t>
                  </w:r>
                </w:p>
              </w:tc>
              <w:tc>
                <w:tcPr/>
                <w:p>
                  <w:pPr>
                    <w:pStyle w:val="Compact"/>
                    <w:jc w:val="left"/>
                    <w:jc w:val="center"/>
                  </w:pPr>
                  <w:r>
                    <w:t xml:space="preserve">Learning rate (session)</w:t>
                  </w:r>
                </w:p>
              </w:tc>
              <w:tc>
                <w:tcPr/>
                <w:p>
                  <w:pPr>
                    <w:pStyle w:val="Compact"/>
                    <w:jc w:val="right"/>
                    <w:jc w:val="center"/>
                  </w:pPr>
                  <w:r>
                    <w:t xml:space="preserve">0.71</w:t>
                  </w:r>
                </w:p>
              </w:tc>
              <w:tc>
                <w:tcPr/>
                <w:p>
                  <w:pPr>
                    <w:pStyle w:val="Compact"/>
                    <w:jc w:val="right"/>
                    <w:jc w:val="center"/>
                  </w:pPr>
                  <w:r>
                    <w:t xml:space="preserve">0.33</w:t>
                  </w:r>
                </w:p>
              </w:tc>
              <w:tc>
                <w:tcPr/>
                <w:p>
                  <w:pPr>
                    <w:pStyle w:val="Compact"/>
                    <w:jc w:val="right"/>
                    <w:jc w:val="center"/>
                  </w:pPr>
                  <w:r>
                    <w:t xml:space="preserve">.75</w:t>
                  </w:r>
                </w:p>
              </w:tc>
            </w:tr>
            <w:tr>
              <w:tc>
                <w:tcPr/>
                <w:p>
                  <w:pPr>
                    <w:pStyle w:val="Compact"/>
                    <w:jc w:val="left"/>
                    <w:jc w:val="center"/>
                  </w:pPr>
                  <w:r>
                    <w:t xml:space="preserve">Gender only</w:t>
                  </w:r>
                </w:p>
              </w:tc>
              <w:tc>
                <w:tcPr/>
                <w:p>
                  <w:pPr>
                    <w:pStyle w:val="Compact"/>
                    <w:jc w:val="left"/>
                    <w:jc w:val="center"/>
                  </w:pPr>
                  <w:r>
                    <w:t xml:space="preserve">Overall accuracy (intercept)</w:t>
                  </w:r>
                </w:p>
              </w:tc>
              <w:tc>
                <w:tcPr/>
                <w:p>
                  <w:pPr>
                    <w:pStyle w:val="Compact"/>
                    <w:jc w:val="right"/>
                    <w:jc w:val="center"/>
                  </w:pPr>
                  <w:r>
                    <w:t xml:space="preserve">1.47</w:t>
                  </w:r>
                </w:p>
              </w:tc>
              <w:tc>
                <w:tcPr/>
                <w:p>
                  <w:pPr>
                    <w:pStyle w:val="Compact"/>
                    <w:jc w:val="right"/>
                    <w:jc w:val="center"/>
                  </w:pPr>
                  <w:r>
                    <w:t xml:space="preserve">0.59</w:t>
                  </w:r>
                </w:p>
              </w:tc>
              <w:tc>
                <w:tcPr/>
                <w:p>
                  <w:pPr>
                    <w:pStyle w:val="Compact"/>
                    <w:jc w:val="right"/>
                    <w:jc w:val="center"/>
                  </w:pPr>
                  <w:r>
                    <w:t xml:space="preserve">.79</w:t>
                  </w:r>
                </w:p>
              </w:tc>
            </w:tr>
            <w:tr>
              <w:tc>
                <w:tcPr/>
                <w:p>
                  <w:pPr>
                    <w:pStyle w:val="Compact"/>
                    <w:jc w:val="left"/>
                    <w:jc w:val="center"/>
                  </w:pPr>
                  <w:r>
                    <w:t xml:space="preserve">Gender only</w:t>
                  </w:r>
                </w:p>
              </w:tc>
              <w:tc>
                <w:tcPr/>
                <w:p>
                  <w:pPr>
                    <w:pStyle w:val="Compact"/>
                    <w:jc w:val="left"/>
                    <w:jc w:val="center"/>
                  </w:pPr>
                  <w:r>
                    <w:t xml:space="preserve">Learning rate (session)</w:t>
                  </w:r>
                </w:p>
              </w:tc>
              <w:tc>
                <w:tcPr/>
                <w:p>
                  <w:pPr>
                    <w:pStyle w:val="Compact"/>
                    <w:jc w:val="right"/>
                    <w:jc w:val="center"/>
                  </w:pPr>
                  <w:r>
                    <w:t xml:space="preserve">0.39</w:t>
                  </w:r>
                </w:p>
              </w:tc>
              <w:tc>
                <w:tcPr/>
                <w:p>
                  <w:pPr>
                    <w:pStyle w:val="Compact"/>
                    <w:jc w:val="right"/>
                    <w:jc w:val="center"/>
                  </w:pPr>
                  <w:r>
                    <w:t xml:space="preserve">0.28</w:t>
                  </w:r>
                </w:p>
              </w:tc>
              <w:tc>
                <w:tcPr/>
                <w:p>
                  <w:pPr>
                    <w:pStyle w:val="Compact"/>
                    <w:jc w:val="right"/>
                    <w:jc w:val="center"/>
                  </w:pPr>
                  <w:r>
                    <w:t xml:space="preserve">.42</w:t>
                  </w:r>
                </w:p>
              </w:tc>
            </w:tr>
          </w:tbl>
          <w:bookmarkEnd w:id="46"/>
          <w:p/>
        </w:tc>
      </w:tr>
    </w:tbl>
    <w:bookmarkEnd w:id="47"/>
    <w:bookmarkStart w:id="52" w:name="Xbc6a84d8514ffc9e61cafa19d0cdbc32d799fd9"/>
    <w:p>
      <w:pPr>
        <w:pStyle w:val="Heading2"/>
      </w:pPr>
      <w:r>
        <w:t xml:space="preserve">Part B: Change in executive function over training</w:t>
      </w:r>
    </w:p>
    <w:p>
      <w:pPr>
        <w:pStyle w:val="FirstParagraph"/>
      </w:pPr>
      <w:r>
        <w:t xml:space="preserve">Comparing the first and fifth sessions, working-memory span increased over training,</w:t>
      </w:r>
      <w:r>
        <w:t xml:space="preserve"> </w:t>
      </w:r>
      <m:oMath>
        <m:r>
          <m:t>b</m:t>
        </m:r>
        <m:r>
          <m:rPr>
            <m:sty m:val="p"/>
          </m:rPr>
          <m:t>=</m:t>
        </m:r>
        <m:r>
          <m:t>0.29</m:t>
        </m:r>
      </m:oMath>
      <w:r>
        <w:t xml:space="preserve">, 95% CrI</w:t>
      </w:r>
      <w:r>
        <w:t xml:space="preserve"> </w:t>
      </w:r>
      <m:oMath>
        <m:r>
          <m:rPr>
            <m:sty m:val="p"/>
          </m:rPr>
          <m:t>[</m:t>
        </m:r>
        <m:r>
          <m:t>0.09</m:t>
        </m:r>
        <m:r>
          <m:rPr>
            <m:sty m:val="p"/>
          </m:rPr>
          <m:t>,</m:t>
        </m:r>
        <m:r>
          <m:t>0.48</m:t>
        </m:r>
        <m:r>
          <m:rPr>
            <m:sty m:val="p"/>
          </m:rPr>
          <m:t>]</m:t>
        </m:r>
      </m:oMath>
      <w:r>
        <w:t xml:space="preserve">,</w:t>
      </w:r>
      <w:r>
        <w:t xml:space="preserve"> </w:t>
      </w:r>
      <m:oMath>
        <m:sSub>
          <m:e>
            <m:r>
              <m:t>p</m:t>
            </m:r>
          </m:e>
          <m:sub>
            <m:r>
              <m:t>d</m:t>
            </m:r>
          </m:sub>
        </m:sSub>
        <m:r>
          <m:rPr>
            <m:sty m:val="p"/>
          </m:rPr>
          <m:t>=</m:t>
        </m:r>
        <m:r>
          <m:t>99.8</m:t>
        </m:r>
        <m:r>
          <m:rPr>
            <m:sty m:val="p"/>
          </m:rPr>
          <m:t>%</m:t>
        </m:r>
      </m:oMath>
      <w:r>
        <w:t xml:space="preserve">. The Stroop</w:t>
      </w:r>
      <w:r>
        <w:t xml:space="preserve"> </w:t>
      </w:r>
      <w:r>
        <w:t xml:space="preserve">interference effect</w:t>
      </w:r>
      <w:r>
        <w:t xml:space="preserve"> </w:t>
      </w:r>
      <w:r>
        <w:t xml:space="preserve">(</w:t>
      </w:r>
      <m:oMath>
        <m:r>
          <m:t>b</m:t>
        </m:r>
        <m:r>
          <m:rPr>
            <m:sty m:val="p"/>
          </m:rPr>
          <m:t>=</m:t>
        </m:r>
        <m:r>
          <m:rPr>
            <m:sty m:val="p"/>
          </m:rPr>
          <m:t>−</m:t>
        </m:r>
        <m:r>
          <m:t>0.14</m:t>
        </m:r>
      </m:oMath>
      <w:r>
        <w:t xml:space="preserve">, 95% CrI</w:t>
      </w:r>
      <w:r>
        <w:t xml:space="preserve"> </w:t>
      </w:r>
      <m:oMath>
        <m:r>
          <m:rPr>
            <m:sty m:val="p"/>
          </m:rPr>
          <m:t>[</m:t>
        </m:r>
        <m:r>
          <m:rPr>
            <m:sty m:val="p"/>
          </m:rPr>
          <m:t>−</m:t>
        </m:r>
        <m:r>
          <m:t>0.49</m:t>
        </m:r>
        <m:r>
          <m:rPr>
            <m:sty m:val="p"/>
          </m:rPr>
          <m:t>,</m:t>
        </m:r>
        <m:r>
          <m:t>0.22</m:t>
        </m:r>
        <m:r>
          <m:rPr>
            <m:sty m:val="p"/>
          </m:rPr>
          <m:t>]</m:t>
        </m:r>
      </m:oMath>
      <w:r>
        <w:t xml:space="preserve">,</w:t>
      </w:r>
      <w:r>
        <w:t xml:space="preserve"> </w:t>
      </w:r>
      <m:oMath>
        <m:sSub>
          <m:e>
            <m:r>
              <m:t>p</m:t>
            </m:r>
          </m:e>
          <m:sub>
            <m:r>
              <m:t>d</m:t>
            </m:r>
          </m:sub>
        </m:sSub>
        <m:r>
          <m:rPr>
            <m:sty m:val="p"/>
          </m:rPr>
          <m:t>=</m:t>
        </m:r>
        <m:r>
          <m:t>78.4</m:t>
        </m:r>
        <m:r>
          <m:rPr>
            <m:sty m:val="p"/>
          </m:rPr>
          <m:t>%</m:t>
        </m:r>
      </m:oMath>
      <w:r>
        <w:t xml:space="preserve">) and the</w:t>
      </w:r>
      <w:r>
        <w:t xml:space="preserve"> </w:t>
      </w:r>
      <w:r>
        <w:t xml:space="preserve">statistical-learning effect</w:t>
      </w:r>
      <w:r>
        <w:t xml:space="preserve"> </w:t>
      </w:r>
      <w:r>
        <w:t xml:space="preserve">(</w:t>
      </w:r>
      <m:oMath>
        <m:r>
          <m:t>b</m:t>
        </m:r>
        <m:r>
          <m:rPr>
            <m:sty m:val="p"/>
          </m:rPr>
          <m:t>=</m:t>
        </m:r>
        <m:r>
          <m:rPr>
            <m:sty m:val="p"/>
          </m:rPr>
          <m:t>−</m:t>
        </m:r>
        <m:r>
          <m:t>0.13</m:t>
        </m:r>
      </m:oMath>
      <w:r>
        <w:t xml:space="preserve">, 95% CrI</w:t>
      </w:r>
      <w:r>
        <w:t xml:space="preserve"> </w:t>
      </w:r>
      <m:oMath>
        <m:r>
          <m:rPr>
            <m:sty m:val="p"/>
          </m:rPr>
          <m:t>[</m:t>
        </m:r>
        <m:r>
          <m:rPr>
            <m:sty m:val="p"/>
          </m:rPr>
          <m:t>−</m:t>
        </m:r>
        <m:r>
          <m:t>0.47</m:t>
        </m:r>
        <m:r>
          <m:rPr>
            <m:sty m:val="p"/>
          </m:rPr>
          <m:t>,</m:t>
        </m:r>
        <m:r>
          <m:t>0.21</m:t>
        </m:r>
        <m:r>
          <m:rPr>
            <m:sty m:val="p"/>
          </m:rPr>
          <m:t>]</m:t>
        </m:r>
      </m:oMath>
      <w:r>
        <w:t xml:space="preserve">,</w:t>
      </w:r>
      <w:r>
        <w:t xml:space="preserve"> </w:t>
      </w:r>
      <m:oMath>
        <m:sSub>
          <m:e>
            <m:r>
              <m:t>p</m:t>
            </m:r>
          </m:e>
          <m:sub>
            <m:r>
              <m:t>d</m:t>
            </m:r>
          </m:sub>
        </m:sSub>
        <m:r>
          <m:rPr>
            <m:sty m:val="p"/>
          </m:rPr>
          <m:t>=</m:t>
        </m:r>
        <m:r>
          <m:t>78.4</m:t>
        </m:r>
        <m:r>
          <m:rPr>
            <m:sty m:val="p"/>
          </m:rPr>
          <m:t>%</m:t>
        </m:r>
      </m:oMath>
      <w:r>
        <w:t xml:space="preserve">) showed no</w:t>
      </w:r>
      <w:r>
        <w:t xml:space="preserve"> </w:t>
      </w:r>
      <w:r>
        <w:t xml:space="preserve">credible change. In the joint model that lets each index control the others, the pattern</w:t>
      </w:r>
      <w:r>
        <w:t xml:space="preserve"> </w:t>
      </w:r>
      <w:r>
        <w:t xml:space="preserve">pointed the same way. The joint-model digit-span change was</w:t>
      </w:r>
      <w:r>
        <w:t xml:space="preserve"> </w:t>
      </w:r>
      <m:oMath>
        <m:r>
          <m:t>b</m:t>
        </m:r>
        <m:r>
          <m:rPr>
            <m:sty m:val="p"/>
          </m:rPr>
          <m:t>=</m:t>
        </m:r>
        <m:r>
          <m:t>0.29</m:t>
        </m:r>
      </m:oMath>
      <w:r>
        <w:t xml:space="preserve">, 95% CrI</w:t>
      </w:r>
      <w:r>
        <w:t xml:space="preserve"> </w:t>
      </w:r>
      <m:oMath>
        <m:r>
          <m:rPr>
            <m:sty m:val="p"/>
          </m:rPr>
          <m:t>[</m:t>
        </m:r>
        <m:r>
          <m:rPr>
            <m:sty m:val="p"/>
          </m:rPr>
          <m:t>−</m:t>
        </m:r>
        <m:r>
          <m:t>0.05</m:t>
        </m:r>
        <m:r>
          <m:rPr>
            <m:sty m:val="p"/>
          </m:rPr>
          <m:t>,</m:t>
        </m:r>
        <m:r>
          <m:t>0.64</m:t>
        </m:r>
        <m:r>
          <m:rPr>
            <m:sty m:val="p"/>
          </m:rPr>
          <m:t>]</m:t>
        </m:r>
      </m:oMath>
      <w:r>
        <w:t xml:space="preserve">,</w:t>
      </w:r>
      <w:r>
        <w:t xml:space="preserve"> </w:t>
      </w:r>
      <m:oMath>
        <m:sSub>
          <m:e>
            <m:r>
              <m:t>p</m:t>
            </m:r>
          </m:e>
          <m:sub>
            <m:r>
              <m:t>d</m:t>
            </m:r>
          </m:sub>
        </m:sSub>
        <m:r>
          <m:rPr>
            <m:sty m:val="p"/>
          </m:rPr>
          <m:t>=</m:t>
        </m:r>
        <m:r>
          <m:t>95.3</m:t>
        </m:r>
        <m:r>
          <m:rPr>
            <m:sty m:val="p"/>
          </m:rPr>
          <m:t>%</m:t>
        </m:r>
      </m:oMath>
      <w:r>
        <w:t xml:space="preserve">, an interval that,</w:t>
      </w:r>
      <w:r>
        <w:t xml:space="preserve"> </w:t>
      </w:r>
      <w:r>
        <w:t xml:space="preserve">unlike the single-index model’s, includes zero. The estimate is less precise in the</w:t>
      </w:r>
      <w:r>
        <w:t xml:space="preserve"> </w:t>
      </w:r>
      <w:r>
        <w:t xml:space="preserve">joint specification, which shares one residual standard deviation across the three</w:t>
      </w:r>
      <w:r>
        <w:t xml:space="preserve"> </w:t>
      </w:r>
      <w:r>
        <w:t xml:space="preserve">measures and adds a by-participant change slope. Relative to that change, the</w:t>
      </w:r>
      <w:r>
        <w:t xml:space="preserve"> </w:t>
      </w:r>
      <w:r>
        <w:t xml:space="preserve">pre/post shift was smaller for the Stroop interference effect</w:t>
      </w:r>
      <w:r>
        <w:t xml:space="preserve"> </w:t>
      </w:r>
      <w:r>
        <w:t xml:space="preserve">(</w:t>
      </w:r>
      <m:oMath>
        <m:r>
          <m:t>b</m:t>
        </m:r>
        <m:r>
          <m:rPr>
            <m:sty m:val="p"/>
          </m:rPr>
          <m:t>=</m:t>
        </m:r>
        <m:r>
          <m:rPr>
            <m:sty m:val="p"/>
          </m:rPr>
          <m:t>−</m:t>
        </m:r>
        <m:r>
          <m:t>0.43</m:t>
        </m:r>
      </m:oMath>
      <w:r>
        <w:t xml:space="preserve">, 95% CrI</w:t>
      </w:r>
      <w:r>
        <w:t xml:space="preserve"> </w:t>
      </w:r>
      <m:oMath>
        <m:r>
          <m:rPr>
            <m:sty m:val="p"/>
          </m:rPr>
          <m:t>[</m:t>
        </m:r>
        <m:r>
          <m:rPr>
            <m:sty m:val="p"/>
          </m:rPr>
          <m:t>−</m:t>
        </m:r>
        <m:r>
          <m:t>0.92</m:t>
        </m:r>
        <m:r>
          <m:rPr>
            <m:sty m:val="p"/>
          </m:rPr>
          <m:t>,</m:t>
        </m:r>
        <m:r>
          <m:t>0.06</m:t>
        </m:r>
        <m:r>
          <m:rPr>
            <m:sty m:val="p"/>
          </m:rPr>
          <m:t>]</m:t>
        </m:r>
      </m:oMath>
      <w:r>
        <w:t xml:space="preserve">,</w:t>
      </w:r>
      <w:r>
        <w:t xml:space="preserve"> </w:t>
      </w:r>
      <m:oMath>
        <m:sSub>
          <m:e>
            <m:r>
              <m:t>p</m:t>
            </m:r>
          </m:e>
          <m:sub>
            <m:r>
              <m:t>d</m:t>
            </m:r>
          </m:sub>
        </m:sSub>
        <m:r>
          <m:rPr>
            <m:sty m:val="p"/>
          </m:rPr>
          <m:t>=</m:t>
        </m:r>
        <m:r>
          <m:t>95.7</m:t>
        </m:r>
        <m:r>
          <m:rPr>
            <m:sty m:val="p"/>
          </m:rPr>
          <m:t>%</m:t>
        </m:r>
      </m:oMath>
      <w:r>
        <w:t xml:space="preserve">)</w:t>
      </w:r>
      <w:r>
        <w:t xml:space="preserve"> </w:t>
      </w:r>
      <w:r>
        <w:t xml:space="preserve">and for the statistical-learning effect</w:t>
      </w:r>
      <w:r>
        <w:t xml:space="preserve"> </w:t>
      </w:r>
      <w:r>
        <w:t xml:space="preserve">(</w:t>
      </w:r>
      <m:oMath>
        <m:r>
          <m:t>b</m:t>
        </m:r>
        <m:r>
          <m:rPr>
            <m:sty m:val="p"/>
          </m:rPr>
          <m:t>=</m:t>
        </m:r>
        <m:r>
          <m:rPr>
            <m:sty m:val="p"/>
          </m:rPr>
          <m:t>−</m:t>
        </m:r>
        <m:r>
          <m:t>0.42</m:t>
        </m:r>
      </m:oMath>
      <w:r>
        <w:t xml:space="preserve">, 95% CrI</w:t>
      </w:r>
      <w:r>
        <w:t xml:space="preserve"> </w:t>
      </w:r>
      <m:oMath>
        <m:r>
          <m:rPr>
            <m:sty m:val="p"/>
          </m:rPr>
          <m:t>[</m:t>
        </m:r>
        <m:r>
          <m:rPr>
            <m:sty m:val="p"/>
          </m:rPr>
          <m:t>−</m:t>
        </m:r>
        <m:r>
          <m:t>0.92</m:t>
        </m:r>
        <m:r>
          <m:rPr>
            <m:sty m:val="p"/>
          </m:rPr>
          <m:t>,</m:t>
        </m:r>
        <m:r>
          <m:t>0.05</m:t>
        </m:r>
        <m:r>
          <m:rPr>
            <m:sty m:val="p"/>
          </m:rPr>
          <m:t>]</m:t>
        </m:r>
      </m:oMath>
      <w:r>
        <w:t xml:space="preserve">,</w:t>
      </w:r>
      <w:r>
        <w:t xml:space="preserve"> </w:t>
      </w:r>
      <m:oMath>
        <m:sSub>
          <m:e>
            <m:r>
              <m:t>p</m:t>
            </m:r>
          </m:e>
          <m:sub>
            <m:r>
              <m:t>d</m:t>
            </m:r>
          </m:sub>
        </m:sSub>
        <m:r>
          <m:rPr>
            <m:sty m:val="p"/>
          </m:rPr>
          <m:t>=</m:t>
        </m:r>
        <m:r>
          <m:t>95.7</m:t>
        </m:r>
        <m:r>
          <m:rPr>
            <m:sty m:val="p"/>
          </m:rPr>
          <m:t>%</m:t>
        </m:r>
      </m:oMath>
      <w:r>
        <w:t xml:space="preserve">).</w:t>
      </w:r>
      <w:r>
        <w:t xml:space="preserve"> </w:t>
      </w:r>
      <w:r>
        <w:t xml:space="preserve">These specificity contrasts have credible intervals that include zero (probabilities of</w:t>
      </w:r>
      <w:r>
        <w:t xml:space="preserve"> </w:t>
      </w:r>
      <w:r>
        <w:t xml:space="preserve">direction 95.7%</w:t>
      </w:r>
      <w:r>
        <w:t xml:space="preserve"> </w:t>
      </w:r>
      <w:r>
        <w:t xml:space="preserve">and 95.7%), so</w:t>
      </w:r>
      <w:r>
        <w:t xml:space="preserve"> </w:t>
      </w:r>
      <w:r>
        <w:t xml:space="preserve">the evidence that the gain is working-memory-specific is suggestive without being decisive.</w:t>
      </w:r>
      <w:r>
        <w:t xml:space="preserve"> </w:t>
      </w:r>
      <w:hyperlink w:anchor="fig-prepost">
        <w:r>
          <w:rPr>
            <w:rStyle w:val="Hyperlink"/>
          </w:rPr>
          <w:t xml:space="preserve">Figure 7</w:t>
        </w:r>
      </w:hyperlink>
      <w:r>
        <w:t xml:space="preserve"> </w:t>
      </w:r>
      <w:r>
        <w:t xml:space="preserve">shows these effects.</w:t>
      </w:r>
    </w:p>
    <w:p>
      <w:pPr>
        <w:pStyle w:val="BodyText"/>
      </w:pPr>
      <w:r>
        <w:t xml:space="preserve">Two features of the comparison qualify it further. First, the digit-span-versus-Stroop</w:t>
      </w:r>
      <w:r>
        <w:t xml:space="preserve"> </w:t>
      </w:r>
      <w:r>
        <w:t xml:space="preserve">contrast is inflated by the polarity opposition described in the Method, since a generic</w:t>
      </w:r>
      <w:r>
        <w:t xml:space="preserve"> </w:t>
      </w:r>
      <w:r>
        <w:t xml:space="preserve">improvement pushes digit span up and Stroop interference down.</w:t>
      </w:r>
      <w:r>
        <w:t xml:space="preserve"> </w:t>
      </w:r>
      <w:r>
        <w:t xml:space="preserve">Refitting the joint model with the Stroop index reversed before standardisation, so that a positive change means improvement on all three indices, gives a digit-span change of</w:t>
      </w:r>
      <w:r>
        <w:t xml:space="preserve"> </w:t>
      </w:r>
      <m:oMath>
        <m:r>
          <m:t>b</m:t>
        </m:r>
        <m:r>
          <m:rPr>
            <m:sty m:val="p"/>
          </m:rPr>
          <m:t>=</m:t>
        </m:r>
        <m:r>
          <m:t>0.30</m:t>
        </m:r>
      </m:oMath>
      <w:r>
        <w:t xml:space="preserve">, 95% CrI</w:t>
      </w:r>
      <w:r>
        <w:t xml:space="preserve"> </w:t>
      </w:r>
      <m:oMath>
        <m:r>
          <m:rPr>
            <m:sty m:val="p"/>
          </m:rPr>
          <m:t>[</m:t>
        </m:r>
        <m:r>
          <m:rPr>
            <m:sty m:val="p"/>
          </m:rPr>
          <m:t>−</m:t>
        </m:r>
        <m:r>
          <m:t>0.04</m:t>
        </m:r>
        <m:r>
          <m:rPr>
            <m:sty m:val="p"/>
          </m:rPr>
          <m:t>,</m:t>
        </m:r>
        <m:r>
          <m:t>0.64</m:t>
        </m:r>
        <m:r>
          <m:rPr>
            <m:sty m:val="p"/>
          </m:rPr>
          <m:t>]</m:t>
        </m:r>
      </m:oMath>
      <w:r>
        <w:t xml:space="preserve">,</w:t>
      </w:r>
      <w:r>
        <w:t xml:space="preserve"> </w:t>
      </w:r>
      <m:oMath>
        <m:sSub>
          <m:e>
            <m:r>
              <m:t>p</m:t>
            </m:r>
          </m:e>
          <m:sub>
            <m:r>
              <m:t>d</m:t>
            </m:r>
          </m:sub>
        </m:sSub>
        <m:r>
          <m:rPr>
            <m:sty m:val="p"/>
          </m:rPr>
          <m:t>=</m:t>
        </m:r>
        <m:r>
          <m:t>95.7</m:t>
        </m:r>
        <m:r>
          <m:rPr>
            <m:sty m:val="p"/>
          </m:rPr>
          <m:t>%</m:t>
        </m:r>
      </m:oMath>
      <w:r>
        <w:t xml:space="preserve">, a Stroop contrast of</w:t>
      </w:r>
      <w:r>
        <w:t xml:space="preserve"> </w:t>
      </w:r>
      <m:oMath>
        <m:r>
          <m:t>b</m:t>
        </m:r>
        <m:r>
          <m:rPr>
            <m:sty m:val="p"/>
          </m:rPr>
          <m:t>=</m:t>
        </m:r>
        <m:r>
          <m:rPr>
            <m:sty m:val="p"/>
          </m:rPr>
          <m:t>−</m:t>
        </m:r>
        <m:r>
          <m:t>0.15</m:t>
        </m:r>
      </m:oMath>
      <w:r>
        <w:t xml:space="preserve">, 95% CrI</w:t>
      </w:r>
      <w:r>
        <w:t xml:space="preserve"> </w:t>
      </w:r>
      <m:oMath>
        <m:r>
          <m:rPr>
            <m:sty m:val="p"/>
          </m:rPr>
          <m:t>[</m:t>
        </m:r>
        <m:r>
          <m:rPr>
            <m:sty m:val="p"/>
          </m:rPr>
          <m:t>−</m:t>
        </m:r>
        <m:r>
          <m:t>0.62</m:t>
        </m:r>
        <m:r>
          <m:rPr>
            <m:sty m:val="p"/>
          </m:rPr>
          <m:t>,</m:t>
        </m:r>
        <m:r>
          <m:t>0.33</m:t>
        </m:r>
        <m:r>
          <m:rPr>
            <m:sty m:val="p"/>
          </m:rPr>
          <m:t>]</m:t>
        </m:r>
      </m:oMath>
      <w:r>
        <w:t xml:space="preserve">,</w:t>
      </w:r>
      <w:r>
        <w:t xml:space="preserve"> </w:t>
      </w:r>
      <m:oMath>
        <m:sSub>
          <m:e>
            <m:r>
              <m:t>p</m:t>
            </m:r>
          </m:e>
          <m:sub>
            <m:r>
              <m:t>d</m:t>
            </m:r>
          </m:sub>
        </m:sSub>
        <m:r>
          <m:rPr>
            <m:sty m:val="p"/>
          </m:rPr>
          <m:t>=</m:t>
        </m:r>
        <m:r>
          <m:t>72.9</m:t>
        </m:r>
        <m:r>
          <m:rPr>
            <m:sty m:val="p"/>
          </m:rPr>
          <m:t>%</m:t>
        </m:r>
      </m:oMath>
      <w:r>
        <w:t xml:space="preserve"> </w:t>
      </w:r>
      <w:r>
        <w:t xml:space="preserve">and a statistical-learning contrast of</w:t>
      </w:r>
      <w:r>
        <w:t xml:space="preserve"> </w:t>
      </w:r>
      <m:oMath>
        <m:r>
          <m:t>b</m:t>
        </m:r>
        <m:r>
          <m:rPr>
            <m:sty m:val="p"/>
          </m:rPr>
          <m:t>=</m:t>
        </m:r>
        <m:r>
          <m:rPr>
            <m:sty m:val="p"/>
          </m:rPr>
          <m:t>−</m:t>
        </m:r>
        <m:r>
          <m:t>0.44</m:t>
        </m:r>
      </m:oMath>
      <w:r>
        <w:t xml:space="preserve">, 95% CrI</w:t>
      </w:r>
      <w:r>
        <w:t xml:space="preserve"> </w:t>
      </w:r>
      <m:oMath>
        <m:r>
          <m:rPr>
            <m:sty m:val="p"/>
          </m:rPr>
          <m:t>[</m:t>
        </m:r>
        <m:r>
          <m:rPr>
            <m:sty m:val="p"/>
          </m:rPr>
          <m:t>−</m:t>
        </m:r>
        <m:r>
          <m:t>0.91</m:t>
        </m:r>
        <m:r>
          <m:rPr>
            <m:sty m:val="p"/>
          </m:rPr>
          <m:t>,</m:t>
        </m:r>
        <m:r>
          <m:t>0.05</m:t>
        </m:r>
        <m:r>
          <m:rPr>
            <m:sty m:val="p"/>
          </m:rPr>
          <m:t>]</m:t>
        </m:r>
      </m:oMath>
      <w:r>
        <w:t xml:space="preserve">,</w:t>
      </w:r>
      <w:r>
        <w:t xml:space="preserve"> </w:t>
      </w:r>
      <m:oMath>
        <m:sSub>
          <m:e>
            <m:r>
              <m:t>p</m:t>
            </m:r>
          </m:e>
          <m:sub>
            <m:r>
              <m:t>d</m:t>
            </m:r>
          </m:sub>
        </m:sSub>
        <m:r>
          <m:rPr>
            <m:sty m:val="p"/>
          </m:rPr>
          <m:t>=</m:t>
        </m:r>
        <m:r>
          <m:t>96.2</m:t>
        </m:r>
        <m:r>
          <m:rPr>
            <m:sty m:val="p"/>
          </m:rPr>
          <m:t>%</m:t>
        </m:r>
      </m:oMath>
      <w:r>
        <w:t xml:space="preserve">, so much of the separation in the reported Stroop contrast reflects the polarity opposition. The statistical-learning contrast is unaffected by the alignment, since a higher ASRT score already means better performance. Second, the Stroop index has very low internal consistency here (see</w:t>
      </w:r>
      <w:r>
        <w:t xml:space="preserve"> </w:t>
      </w:r>
      <w:r>
        <w:rPr>
          <w:i/>
          <w:iCs/>
        </w:rPr>
        <w:t xml:space="preserve">Limitations and future directions</w:t>
      </w:r>
      <w:r>
        <w:t xml:space="preserve">), which leaves it a noisy control. In task units,</w:t>
      </w:r>
      <w:r>
        <w:t xml:space="preserve"> </w:t>
      </w:r>
      <w:r>
        <w:t xml:space="preserve">the digit-span change was from 26.0 items correct at Session</w:t>
      </w:r>
      <w:r>
        <w:t xml:space="preserve"> </w:t>
      </w:r>
      <w:r>
        <w:t xml:space="preserve">1 to 28.4 at Session 5, against</w:t>
      </w:r>
      <w:r>
        <w:t xml:space="preserve"> </w:t>
      </w:r>
      <w:r>
        <w:t xml:space="preserve">112.6 to 99.3 ms of</w:t>
      </w:r>
      <w:r>
        <w:t xml:space="preserve"> </w:t>
      </w:r>
      <w:r>
        <w:t xml:space="preserve">Stroop interference and 43.0 to</w:t>
      </w:r>
      <w:r>
        <w:t xml:space="preserve"> </w:t>
      </w:r>
      <w:r>
        <w:t xml:space="preserve">35.5 ms of ASRT learning.</w:t>
      </w:r>
    </w:p>
    <w:tbl>
      <w:tblPr>
        <w:tblStyle w:val="Table"/>
        <w:tblW w:type="pct" w:w="5000"/>
        <w:tblLayout w:type="fixed"/>
        <w:tblLook w:firstRow="0" w:lastRow="0" w:firstColumn="0" w:lastColumn="0" w:noHBand="0" w:noVBand="0" w:val="0000"/>
      </w:tblPr>
      <w:tblGrid>
        <w:gridCol w:w="7920"/>
      </w:tblGrid>
      <w:tr>
        <w:tc>
          <w:tcPr/>
          <w:bookmarkStart w:id="51" w:name="fig-prepost"/>
          <w:p>
            <w:pPr>
              <w:pStyle w:val="Compact"/>
              <w:jc w:val="center"/>
            </w:pPr>
            <w:r>
              <w:drawing>
                <wp:inline>
                  <wp:extent cx="5334000" cy="2872153"/>
                  <wp:effectExtent b="0" l="0" r="0" t="0"/>
                  <wp:docPr descr="" title="" id="49" name="Picture"/>
                  <a:graphic>
                    <a:graphicData uri="http://schemas.openxmlformats.org/drawingml/2006/picture">
                      <pic:pic>
                        <pic:nvPicPr>
                          <pic:cNvPr descr="paper_2_neuroplasticity_files/figure-docx/fig-prepost-1.png" id="50" name="Picture"/>
                          <pic:cNvPicPr>
                            <a:picLocks noChangeArrowheads="1" noChangeAspect="1"/>
                          </pic:cNvPicPr>
                        </pic:nvPicPr>
                        <pic:blipFill>
                          <a:blip r:embed="rId48"/>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Pre/Post (Session 1 to 5) Change in the Executive-Function Indices</w:t>
            </w:r>
          </w:p>
          <w:bookmarkEnd w:id="51"/>
        </w:tc>
      </w:tr>
    </w:tbl>
    <w:bookmarkEnd w:id="52"/>
    <w:bookmarkEnd w:id="53"/>
    <w:bookmarkStart w:id="58" w:name="discussion"/>
    <w:p>
      <w:pPr>
        <w:pStyle w:val="Heading1"/>
      </w:pPr>
      <w:r>
        <w:t xml:space="preserve">Discussion</w:t>
      </w:r>
    </w:p>
    <w:p>
      <w:pPr>
        <w:pStyle w:val="FirstParagraph"/>
      </w:pPr>
      <w:r>
        <w:t xml:space="preserve">This study asked two questions: whether baseline cognitive and neural measures predict</w:t>
      </w:r>
      <w:r>
        <w:t xml:space="preserve"> </w:t>
      </w:r>
      <w:r>
        <w:t xml:space="preserve">how well adults learn a new grammar (Part A), and whether executive function changes over</w:t>
      </w:r>
      <w:r>
        <w:t xml:space="preserve"> </w:t>
      </w:r>
      <w:r>
        <w:t xml:space="preserve">the training period (Part B). The answer to the first is selective. Working memory was</w:t>
      </w:r>
      <w:r>
        <w:t xml:space="preserve"> </w:t>
      </w:r>
      <w:r>
        <w:t xml:space="preserve">associated with learners’ overall level of accuracy, while inhibitory control,</w:t>
      </w:r>
      <w:r>
        <w:t xml:space="preserve"> </w:t>
      </w:r>
      <w:r>
        <w:t xml:space="preserve">statistical learning and the resting-state measures added little, and the predictors were</w:t>
      </w:r>
      <w:r>
        <w:t xml:space="preserve"> </w:t>
      </w:r>
      <w:r>
        <w:t xml:space="preserve">associated with that level, with no detectable association with the rate of change. The</w:t>
      </w:r>
      <w:r>
        <w:t xml:space="preserve"> </w:t>
      </w:r>
      <w:r>
        <w:t xml:space="preserve">answer to the second falls on the same capacity: working-memory span was the one index</w:t>
      </w:r>
      <w:r>
        <w:t xml:space="preserve"> </w:t>
      </w:r>
      <w:r>
        <w:t xml:space="preserve">that rose over training.</w:t>
      </w:r>
    </w:p>
    <w:bookmarkStart w:id="54" w:name="X1e3b1832a878e7a6d320fade5d59b8bfd61bffe"/>
    <w:p>
      <w:pPr>
        <w:pStyle w:val="Heading2"/>
      </w:pPr>
      <w:r>
        <w:t xml:space="preserve">Predictors of overall accuracy and learning rate</w:t>
      </w:r>
    </w:p>
    <w:p>
      <w:pPr>
        <w:pStyle w:val="FirstParagraph"/>
      </w:pPr>
      <w:r>
        <w:t xml:space="preserve">Working memory was the clearest cognitive predictor of overall accuracy. In the primary</w:t>
      </w:r>
      <w:r>
        <w:t xml:space="preserve"> </w:t>
      </w:r>
      <w:r>
        <w:t xml:space="preserve">pooled model its interval narrowly included zero, and in the gender-agreement model, the</w:t>
      </w:r>
      <w:r>
        <w:t xml:space="preserve"> </w:t>
      </w:r>
      <w:r>
        <w:t xml:space="preserve">one property sampled at every judgement session, the association was credible. This fits</w:t>
      </w:r>
      <w:r>
        <w:t xml:space="preserve"> </w:t>
      </w:r>
      <w:r>
        <w:t xml:space="preserve">the literature placing working memory as the best-evidenced domain-general cognitive</w:t>
      </w:r>
      <w:r>
        <w:t xml:space="preserve"> </w:t>
      </w:r>
      <w:r>
        <w:t xml:space="preserve">correlate of second-language outcomes</w:t>
      </w:r>
      <w:r>
        <w:t xml:space="preserve"> </w:t>
      </w:r>
      <w:r>
        <w:t xml:space="preserve">(Linck et al. 2014)</w:t>
      </w:r>
      <w:r>
        <w:t xml:space="preserve">. Inhibitory control and statistical</w:t>
      </w:r>
      <w:r>
        <w:t xml:space="preserve"> </w:t>
      </w:r>
      <w:r>
        <w:t xml:space="preserve">learning, whose evidence base is weak or contested</w:t>
      </w:r>
      <w:r>
        <w:t xml:space="preserve"> </w:t>
      </w:r>
      <w:r>
        <w:t xml:space="preserve">(Huensch 2024; Linck and Weiss 2015; Chen et al. 2022; Zhou et al. 2024)</w:t>
      </w:r>
      <w:r>
        <w:t xml:space="preserve">, added little. Digit span taps storage, whereas the executive or</w:t>
      </w:r>
      <w:r>
        <w:t xml:space="preserve"> </w:t>
      </w:r>
      <w:r>
        <w:t xml:space="preserve">complex span carries most of the working-memory–language association</w:t>
      </w:r>
      <w:r>
        <w:t xml:space="preserve"> </w:t>
      </w:r>
      <w:r>
        <w:t xml:space="preserve">(Linck et al. 2014)</w:t>
      </w:r>
      <w:r>
        <w:t xml:space="preserve">, and</w:t>
      </w:r>
      <w:r>
        <w:t xml:space="preserve"> </w:t>
      </w:r>
      <w:r>
        <w:t xml:space="preserve">it is the weaker of the phonological short-term memory tasks for vocabulary outcomes</w:t>
      </w:r>
      <w:r>
        <w:t xml:space="preserve"> </w:t>
      </w:r>
      <w:r>
        <w:t xml:space="preserve">(Kurokawa 2026)</w:t>
      </w:r>
      <w:r>
        <w:t xml:space="preserve">, so whether a complex-span measure would have shown a larger association</w:t>
      </w:r>
      <w:r>
        <w:t xml:space="preserve"> </w:t>
      </w:r>
      <w:r>
        <w:t xml:space="preserve">here is untested.</w:t>
      </w:r>
    </w:p>
    <w:p>
      <w:pPr>
        <w:pStyle w:val="BodyText"/>
      </w:pPr>
      <w:r>
        <w:t xml:space="preserve">The baseline resting-state measures yielded no credible predictor, and for the four</w:t>
      </w:r>
      <w:r>
        <w:t xml:space="preserve"> </w:t>
      </w:r>
      <w:r>
        <w:t xml:space="preserve">low-frequency bands, which enter the model simultaneously and share most of their</w:t>
      </w:r>
      <w:r>
        <w:t xml:space="preserve"> </w:t>
      </w:r>
      <w:r>
        <w:t xml:space="preserve">variance, the joint model had little precision with which to resolve one (see Results).</w:t>
      </w:r>
      <w:r>
        <w:t xml:space="preserve"> </w:t>
      </w:r>
      <w:r>
        <w:t xml:space="preserve">Only the individual alpha</w:t>
      </w:r>
      <w:r>
        <w:t xml:space="preserve"> </w:t>
      </w:r>
      <w:r>
        <w:t xml:space="preserve">frequency hinted at a positive association with overall accuracy, in the direction the</w:t>
      </w:r>
      <w:r>
        <w:t xml:space="preserve"> </w:t>
      </w:r>
      <w:r>
        <w:t xml:space="preserve">cross-sectional literature would suggest (see Introduction), and only in the</w:t>
      </w:r>
      <w:r>
        <w:t xml:space="preserve"> </w:t>
      </w:r>
      <w:r>
        <w:t xml:space="preserve">gender-agreement model. It stands as a lead for confirmatory work,</w:t>
      </w:r>
      <w:r>
        <w:t xml:space="preserve"> </w:t>
      </w:r>
      <w:r>
        <w:t xml:space="preserve">and one to be held lightly, the more so as a larger test of that literature found the</w:t>
      </w:r>
      <w:r>
        <w:t xml:space="preserve"> </w:t>
      </w:r>
      <w:r>
        <w:t xml:space="preserve">frequency unrelated to working memory and general ability</w:t>
      </w:r>
      <w:r>
        <w:t xml:space="preserve"> </w:t>
      </w:r>
      <w:r>
        <w:t xml:space="preserve">(Ociepka et al. 2022)</w:t>
      </w:r>
      <w:r>
        <w:t xml:space="preserve">. In the same</w:t>
      </w:r>
      <w:r>
        <w:t xml:space="preserve"> </w:t>
      </w:r>
      <w:r>
        <w:t xml:space="preserve">stratum, the projection-predictive search ranked the</w:t>
      </w:r>
      <w:r>
        <w:t xml:space="preserve"> </w:t>
      </w:r>
      <w:r>
        <w:t xml:space="preserve">individual alpha frequency last, and the estimate is prior-sensitive (see</w:t>
      </w:r>
      <w:r>
        <w:t xml:space="preserve"> </w:t>
      </w:r>
      <w:r>
        <w:rPr>
          <w:i/>
          <w:iCs/>
        </w:rPr>
        <w:t xml:space="preserve">Priors</w:t>
      </w:r>
      <w:r>
        <w:t xml:space="preserve">). In a</w:t>
      </w:r>
      <w:r>
        <w:t xml:space="preserve"> </w:t>
      </w:r>
      <w:r>
        <w:t xml:space="preserve">small number of recordings, that measure is also a boundary value with no resolved peak</w:t>
      </w:r>
      <w:r>
        <w:t xml:space="preserve"> </w:t>
      </w:r>
      <w:r>
        <w:t xml:space="preserve">behind it (see</w:t>
      </w:r>
      <w:r>
        <w:t xml:space="preserve"> </w:t>
      </w:r>
      <w:r>
        <w:rPr>
          <w:i/>
          <w:iCs/>
        </w:rPr>
        <w:t xml:space="preserve">Cognitive and neural indices</w:t>
      </w:r>
      <w:r>
        <w:t xml:space="preserve">). The null for the band powers contrasts</w:t>
      </w:r>
      <w:r>
        <w:t xml:space="preserve"> </w:t>
      </w:r>
      <w:r>
        <w:t xml:space="preserve">with reports that resting beta and low-gamma power predict L2 learning</w:t>
      </w:r>
      <w:r>
        <w:t xml:space="preserve"> </w:t>
      </w:r>
      <w:r>
        <w:rPr>
          <w:i/>
          <w:iCs/>
        </w:rPr>
        <w:t xml:space="preserve">rate</w:t>
      </w:r>
      <w:r>
        <w:t xml:space="preserve"> </w:t>
      </w:r>
      <w:r>
        <w:t xml:space="preserve">(Prat et al. 2016, 2019)</w:t>
      </w:r>
      <w:r>
        <w:t xml:space="preserve">. The band-by-session interactions are in the model and none was credible,</w:t>
      </w:r>
      <w:r>
        <w:t xml:space="preserve"> </w:t>
      </w:r>
      <w:r>
        <w:t xml:space="preserve">though under weakly informative priors their intervals do not exclude effects of the</w:t>
      </w:r>
      <w:r>
        <w:t xml:space="preserve"> </w:t>
      </w:r>
      <w:r>
        <w:t xml:space="preserve">published size, and the divergence may reflect our posterior reduction where theirs was</w:t>
      </w:r>
      <w:r>
        <w:t xml:space="preserve"> </w:t>
      </w:r>
      <w:r>
        <w:t xml:space="preserve">right-temporoparietal, our regularising priors or our lower precision, which these data</w:t>
      </w:r>
      <w:r>
        <w:t xml:space="preserve"> </w:t>
      </w:r>
      <w:r>
        <w:t xml:space="preserve">do not separate. The low-gamma half of that precedent is untested here, because the gamma</w:t>
      </w:r>
      <w:r>
        <w:t xml:space="preserve"> </w:t>
      </w:r>
      <w:r>
        <w:t xml:space="preserve">predictor is not a valid measure (see</w:t>
      </w:r>
      <w:r>
        <w:t xml:space="preserve"> </w:t>
      </w:r>
      <w:r>
        <w:rPr>
          <w:i/>
          <w:iCs/>
        </w:rPr>
        <w:t xml:space="preserve">Cognitive and neural indices</w:t>
      </w:r>
      <w:r>
        <w:t xml:space="preserve">). The aperiodic</w:t>
      </w:r>
      <w:r>
        <w:t xml:space="preserve"> </w:t>
      </w:r>
      <w:r>
        <w:t xml:space="preserve">re-parameterisation sharpens the neural null. Had the flat band coefficients merely</w:t>
      </w:r>
      <w:r>
        <w:t xml:space="preserve"> </w:t>
      </w:r>
      <w:r>
        <w:t xml:space="preserve">reflected the conflation of oscillatory power with the</w:t>
      </w:r>
      <w:r>
        <w:t xml:space="preserve"> </w:t>
      </w:r>
      <m:oMath>
        <m:r>
          <m:t>1</m:t>
        </m:r>
        <m:r>
          <m:rPr>
            <m:sty m:val="p"/>
          </m:rPr>
          <m:t>/</m:t>
        </m:r>
        <m:r>
          <m:t>f</m:t>
        </m:r>
      </m:oMath>
      <w:r>
        <w:t xml:space="preserve"> </w:t>
      </w:r>
      <w:r>
        <w:t xml:space="preserve">background</w:t>
      </w:r>
      <w:r>
        <w:t xml:space="preserve"> </w:t>
      </w:r>
      <w:r>
        <w:t xml:space="preserve">(Donoghue et al. 2020)</w:t>
      </w:r>
      <w:r>
        <w:t xml:space="preserve">,</w:t>
      </w:r>
      <w:r>
        <w:t xml:space="preserve"> </w:t>
      </w:r>
      <w:r>
        <w:t xml:space="preserve">de-confounding them should have uncovered signal, and it did not, a test that bears on</w:t>
      </w:r>
      <w:r>
        <w:t xml:space="preserve"> </w:t>
      </w:r>
      <w:r>
        <w:t xml:space="preserve">the adjusted alpha power, the one adjusted band with a fitted peak in most recordings.</w:t>
      </w:r>
      <w:r>
        <w:t xml:space="preserve"> </w:t>
      </w:r>
      <w:r>
        <w:t xml:space="preserve">The aperiodic exponent and offset entered the selection well beyond the suggested size,</w:t>
      </w:r>
      <w:r>
        <w:t xml:space="preserve"> </w:t>
      </w:r>
      <w:r>
        <w:t xml:space="preserve">and under participant-grouped cross-validation neither characterisation predicted a</w:t>
      </w:r>
      <w:r>
        <w:t xml:space="preserve"> </w:t>
      </w:r>
      <w:r>
        <w:t xml:space="preserve">held-out learner’s trajectory detectably better than the other. Against a largely</w:t>
      </w:r>
      <w:r>
        <w:t xml:space="preserve"> </w:t>
      </w:r>
      <w:r>
        <w:t xml:space="preserve">cross-sectional literature relating the aperiodic exponent to cognitive function, in</w:t>
      </w:r>
      <w:r>
        <w:t xml:space="preserve"> </w:t>
      </w:r>
      <w:r>
        <w:t xml:space="preserve">which associations with specific abilities are inconsistent and the clearest signal is a</w:t>
      </w:r>
      <w:r>
        <w:t xml:space="preserve"> </w:t>
      </w:r>
      <w:r>
        <w:t xml:space="preserve">small one with general ability</w:t>
      </w:r>
      <w:r>
        <w:t xml:space="preserve"> </w:t>
      </w:r>
      <w:r>
        <w:t xml:space="preserve">(Euler et al. 2024)</w:t>
      </w:r>
      <w:r>
        <w:t xml:space="preserve">, this is a longitudinal test that such</w:t>
      </w:r>
      <w:r>
        <w:t xml:space="preserve"> </w:t>
      </w:r>
      <w:r>
        <w:t xml:space="preserve">designs cannot run, and it bounds the question without answering it. The exponent</w:t>
      </w:r>
      <w:r>
        <w:t xml:space="preserve"> </w:t>
      </w:r>
      <w:r>
        <w:t xml:space="preserve">carried no detectable incremental signal at this sample size, and the band-power nulls</w:t>
      </w:r>
      <w:r>
        <w:t xml:space="preserve"> </w:t>
      </w:r>
      <w:r>
        <w:t xml:space="preserve">are therefore not obviously attributable to periodic/aperiodic conflation, though a</w:t>
      </w:r>
      <w:r>
        <w:t xml:space="preserve"> </w:t>
      </w:r>
      <w:r>
        <w:t xml:space="preserve">comparison this blunt (see the minimum detectable difference in the Results) cannot</w:t>
      </w:r>
      <w:r>
        <w:t xml:space="preserve"> </w:t>
      </w:r>
      <w:r>
        <w:t xml:space="preserve">establish that the two characterisations are equivalent.</w:t>
      </w:r>
    </w:p>
    <w:p>
      <w:pPr>
        <w:pStyle w:val="BodyText"/>
      </w:pPr>
      <w:r>
        <w:t xml:space="preserve">The predictors were associated with learners’ overall</w:t>
      </w:r>
      <w:r>
        <w:t xml:space="preserve"> </w:t>
      </w:r>
      <w:r>
        <w:rPr>
          <w:i/>
          <w:iCs/>
        </w:rPr>
        <w:t xml:space="preserve">level</w:t>
      </w:r>
      <w:r>
        <w:t xml:space="preserve"> </w:t>
      </w:r>
      <w:r>
        <w:t xml:space="preserve">of accuracy, with no</w:t>
      </w:r>
      <w:r>
        <w:t xml:space="preserve"> </w:t>
      </w:r>
      <w:r>
        <w:t xml:space="preserve">detectable association with the</w:t>
      </w:r>
      <w:r>
        <w:t xml:space="preserve"> </w:t>
      </w:r>
      <w:r>
        <w:rPr>
          <w:i/>
          <w:iCs/>
        </w:rPr>
        <w:t xml:space="preserve">rate</w:t>
      </w:r>
      <w:r>
        <w:t xml:space="preserve">, an asymmetry with a precedent in the study that</w:t>
      </w:r>
      <w:r>
        <w:t xml:space="preserve"> </w:t>
      </w:r>
      <w:r>
        <w:t xml:space="preserve">established the resting-EEG result, where working memory, executive function and fluid</w:t>
      </w:r>
      <w:r>
        <w:t xml:space="preserve"> </w:t>
      </w:r>
      <w:r>
        <w:t xml:space="preserve">intelligence were likewise uncorrelated with learning rate</w:t>
      </w:r>
      <w:r>
        <w:t xml:space="preserve"> </w:t>
      </w:r>
      <w:r>
        <w:t xml:space="preserve">(Prat et al. 2016)</w:t>
      </w:r>
      <w:r>
        <w:t xml:space="preserve">. The one</w:t>
      </w:r>
      <w:r>
        <w:t xml:space="preserve"> </w:t>
      </w:r>
      <w:r>
        <w:t xml:space="preserve">interaction approaching credibility, the statistical-learning-by-session term in the</w:t>
      </w:r>
      <w:r>
        <w:t xml:space="preserve"> </w:t>
      </w:r>
      <w:r>
        <w:t xml:space="preserve">gender-agreement model, and its adjusted-alpha counterpart in the aperiodic refit of that</w:t>
      </w:r>
      <w:r>
        <w:t xml:space="preserve"> </w:t>
      </w:r>
      <w:r>
        <w:t xml:space="preserve">stratum, come from the model whose rate is the least reliably estimated quantity here</w:t>
      </w:r>
      <w:r>
        <w:t xml:space="preserve"> </w:t>
      </w:r>
      <w:r>
        <w:t xml:space="preserve">(reliability .42), so we do</w:t>
      </w:r>
      <w:r>
        <w:t xml:space="preserve"> </w:t>
      </w:r>
      <w:r>
        <w:t xml:space="preserve">not interpret either. The asymmetry is not an artefact of priors that shrink the rate</w:t>
      </w:r>
      <w:r>
        <w:t xml:space="preserve"> </w:t>
      </w:r>
      <w:r>
        <w:t xml:space="preserve">terms towards zero, since it held when those terms were re-fit under weakly informative</w:t>
      </w:r>
      <w:r>
        <w:t xml:space="preserve"> </w:t>
      </w:r>
      <w:r>
        <w:t xml:space="preserve">priors (see Results).</w:t>
      </w:r>
    </w:p>
    <w:p>
      <w:pPr>
        <w:pStyle w:val="BodyText"/>
      </w:pPr>
      <w:r>
        <w:t xml:space="preserve">The overall pattern is consistent with a circumscribed advantage. Had a broad aptitude</w:t>
      </w:r>
      <w:r>
        <w:t xml:space="preserve"> </w:t>
      </w:r>
      <w:r>
        <w:t xml:space="preserve">driven learning, it should also have appeared in the statistical-learning index, which is</w:t>
      </w:r>
      <w:r>
        <w:t xml:space="preserve"> </w:t>
      </w:r>
      <w:r>
        <w:t xml:space="preserve">reliably measured and was assessed and modelled identically, and it did not. In the</w:t>
      </w:r>
      <w:r>
        <w:t xml:space="preserve"> </w:t>
      </w:r>
      <w:r>
        <w:t xml:space="preserve">event, the signal was concentrated in working memory, and the projection-predictive</w:t>
      </w:r>
      <w:r>
        <w:t xml:space="preserve"> </w:t>
      </w:r>
      <w:r>
        <w:t xml:space="preserve">selection retained nothing beyond it. The pattern does not, however, exclude a broad</w:t>
      </w:r>
      <w:r>
        <w:t xml:space="preserve"> </w:t>
      </w:r>
      <w:r>
        <w:t xml:space="preserve">advantage, since the statistical-learning interval still admits an association as large</w:t>
      </w:r>
      <w:r>
        <w:t xml:space="preserve"> </w:t>
      </w:r>
      <w:r>
        <w:t xml:space="preserve">as the one attributed to working memory (see</w:t>
      </w:r>
      <w:r>
        <w:t xml:space="preserve"> </w:t>
      </w:r>
      <w:r>
        <w:rPr>
          <w:i/>
          <w:iCs/>
        </w:rPr>
        <w:t xml:space="preserve">Limitations and future</w:t>
      </w:r>
      <w:r>
        <w:rPr>
          <w:i/>
          <w:iCs/>
        </w:rPr>
        <w:t xml:space="preserve"> </w:t>
      </w:r>
      <w:r>
        <w:rPr>
          <w:i/>
          <w:iCs/>
        </w:rPr>
        <w:t xml:space="preserve">directions</w:t>
      </w:r>
      <w:r>
        <w:t xml:space="preserve">). The neural and inhibitory-control comparisons carry</w:t>
      </w:r>
      <w:r>
        <w:t xml:space="preserve"> </w:t>
      </w:r>
      <w:r>
        <w:t xml:space="preserve">less weight in that argument, since the low-frequency bands are weakly identified, the</w:t>
      </w:r>
      <w:r>
        <w:t xml:space="preserve"> </w:t>
      </w:r>
      <w:r>
        <w:t xml:space="preserve">gamma predictor is not a valid measure and the Stroop index is too unreliable to have</w:t>
      </w:r>
      <w:r>
        <w:t xml:space="preserve"> </w:t>
      </w:r>
      <w:r>
        <w:t xml:space="preserve">registered an association (see</w:t>
      </w:r>
      <w:r>
        <w:t xml:space="preserve"> </w:t>
      </w:r>
      <w:r>
        <w:rPr>
          <w:i/>
          <w:iCs/>
        </w:rPr>
        <w:t xml:space="preserve">Limitations and future directions</w:t>
      </w:r>
      <w:r>
        <w:t xml:space="preserve">), so the contrast the</w:t>
      </w:r>
      <w:r>
        <w:t xml:space="preserve"> </w:t>
      </w:r>
      <w:r>
        <w:t xml:space="preserve">data can draw is between working memory and statistical learning, the two indices</w:t>
      </w:r>
      <w:r>
        <w:t xml:space="preserve"> </w:t>
      </w:r>
      <w:r>
        <w:t xml:space="preserve">measured well enough to be compared.</w:t>
      </w:r>
    </w:p>
    <w:p>
      <w:pPr>
        <w:pStyle w:val="BodyText"/>
      </w:pPr>
      <w:r>
        <w:t xml:space="preserve">Because the by-participant intercept and slope were estimated inside one multilevel</w:t>
      </w:r>
      <w:r>
        <w:t xml:space="preserve"> </w:t>
      </w:r>
      <w:r>
        <w:t xml:space="preserve">model, the uncertainty that a two-stage slope analysis would discard is carried into the</w:t>
      </w:r>
      <w:r>
        <w:t xml:space="preserve"> </w:t>
      </w:r>
      <w:r>
        <w:t xml:space="preserve">predictor estimates</w:t>
      </w:r>
      <w:r>
        <w:t xml:space="preserve"> </w:t>
      </w:r>
      <w:r>
        <w:t xml:space="preserve">(Gelman 2005; Humberg et al. 2024)</w:t>
      </w:r>
      <w:r>
        <w:t xml:space="preserve">. The by-participant level was estimated</w:t>
      </w:r>
      <w:r>
        <w:t xml:space="preserve"> </w:t>
      </w:r>
      <w:r>
        <w:t xml:space="preserve">more reliably than the learning rate</w:t>
      </w:r>
      <w:r>
        <w:t xml:space="preserve"> </w:t>
      </w:r>
      <w:r>
        <w:t xml:space="preserve">(.84 against</w:t>
      </w:r>
      <w:r>
        <w:t xml:space="preserve"> </w:t>
      </w:r>
      <w:r>
        <w:t xml:space="preserve">.75 pooled, and</w:t>
      </w:r>
      <w:r>
        <w:t xml:space="preserve"> </w:t>
      </w:r>
      <w:r>
        <w:t xml:space="preserve">.42 for the gender-only</w:t>
      </w:r>
      <w:r>
        <w:t xml:space="preserve"> </w:t>
      </w:r>
      <w:r>
        <w:t xml:space="preserve">rate), and that asymmetry bears on how aptitude findings indexed by a per-learner slope</w:t>
      </w:r>
      <w:r>
        <w:t xml:space="preserve"> </w:t>
      </w:r>
      <w:r>
        <w:t xml:space="preserve">should be read. If the rate is in general the less reliably estimated quantity, as it was</w:t>
      </w:r>
      <w:r>
        <w:t xml:space="preserve"> </w:t>
      </w:r>
      <w:r>
        <w:t xml:space="preserve">here even under trial-level joint modelling, the most favourable case, then slope-indexed</w:t>
      </w:r>
      <w:r>
        <w:t xml:space="preserve"> </w:t>
      </w:r>
      <w:r>
        <w:t xml:space="preserve">correlations will be attenuated, and the coefficients unstable, in proportion to that</w:t>
      </w:r>
      <w:r>
        <w:t xml:space="preserve"> </w:t>
      </w:r>
      <w:r>
        <w:t xml:space="preserve">unreliability, and disagreement among them is to be expected</w:t>
      </w:r>
      <w:r>
        <w:t xml:space="preserve"> </w:t>
      </w:r>
      <w:r>
        <w:t xml:space="preserve">(Hedge et al. 2018; Humberg et al. 2024)</w:t>
      </w:r>
      <w:r>
        <w:t xml:space="preserve">.</w:t>
      </w:r>
    </w:p>
    <w:p>
      <w:pPr>
        <w:pStyle w:val="BodyText"/>
      </w:pPr>
      <w:r>
        <w:t xml:space="preserve">One feature of the outcome qualifies the words</w:t>
      </w:r>
      <w:r>
        <w:t xml:space="preserve"> </w:t>
      </w:r>
      <w:r>
        <w:rPr>
          <w:i/>
          <w:iCs/>
        </w:rPr>
        <w:t xml:space="preserve">learning</w:t>
      </w:r>
      <w:r>
        <w:t xml:space="preserve"> </w:t>
      </w:r>
      <w:r>
        <w:t xml:space="preserve">and</w:t>
      </w:r>
      <w:r>
        <w:t xml:space="preserve"> </w:t>
      </w:r>
      <w:r>
        <w:rPr>
          <w:i/>
          <w:iCs/>
        </w:rPr>
        <w:t xml:space="preserve">rate</w:t>
      </w:r>
      <w:r>
        <w:t xml:space="preserve"> </w:t>
      </w:r>
      <w:r>
        <w:t xml:space="preserve">throughout. Mean</w:t>
      </w:r>
      <w:r>
        <w:t xml:space="preserve"> </w:t>
      </w:r>
      <w:r>
        <w:t xml:space="preserve">accuracy was highest at each property’s first session and lower at its last, and the</w:t>
      </w:r>
      <w:r>
        <w:t xml:space="preserve"> </w:t>
      </w:r>
      <w:r>
        <w:t xml:space="preserve">session term was credibly negative for the reference property in the pooled model and</w:t>
      </w:r>
      <w:r>
        <w:t xml:space="preserve"> </w:t>
      </w:r>
      <w:r>
        <w:t xml:space="preserve">within gender agreement (see</w:t>
      </w:r>
      <w:r>
        <w:t xml:space="preserve"> </w:t>
      </w:r>
      <w:r>
        <w:rPr>
          <w:i/>
          <w:iCs/>
        </w:rPr>
        <w:t xml:space="preserve">Descriptive overview</w:t>
      </w:r>
      <w:r>
        <w:t xml:space="preserve">). The companion paper reports the same fall in the same judgements</w:t>
      </w:r>
      <w:r>
        <w:t xml:space="preserve"> </w:t>
      </w:r>
      <w:r>
        <w:t xml:space="preserve">and shows that discrimination between grammatical and ungrammatical items is present, and</w:t>
      </w:r>
      <w:r>
        <w:t xml:space="preserve"> </w:t>
      </w:r>
      <w:r>
        <w:t xml:space="preserve">for gender agreement improving, where the level falls. Three features of the design bear</w:t>
      </w:r>
      <w:r>
        <w:t xml:space="preserve"> </w:t>
      </w:r>
      <w:r>
        <w:t xml:space="preserve">on it. Properties accumulate across sessions, so a later judgement is made against a</w:t>
      </w:r>
      <w:r>
        <w:t xml:space="preserve"> </w:t>
      </w:r>
      <w:r>
        <w:t xml:space="preserve">grammar with more manipulated properties. The final session follows about four months</w:t>
      </w:r>
      <w:r>
        <w:t xml:space="preserve"> </w:t>
      </w:r>
      <w:r>
        <w:t xml:space="preserve">without exposure, over which some forgetting is expected, and the model codes it one step</w:t>
      </w:r>
      <w:r>
        <w:t xml:space="preserve"> </w:t>
      </w:r>
      <w:r>
        <w:t xml:space="preserve">after Session 4. A drift in response criterion cannot be separated from either, because</w:t>
      </w:r>
      <w:r>
        <w:t xml:space="preserve"> </w:t>
      </w:r>
      <w:r>
        <w:t xml:space="preserve">no condition holds task demands constant while sessions advance. The predictors are</w:t>
      </w:r>
      <w:r>
        <w:t xml:space="preserve"> </w:t>
      </w:r>
      <w:r>
        <w:t xml:space="preserve">therefore associated with the level at which a learner sustains accuracy across</w:t>
      </w:r>
      <w:r>
        <w:t xml:space="preserve"> </w:t>
      </w:r>
      <w:r>
        <w:t xml:space="preserve">training, and the rate terms are slopes of that trajectory, whichever way it runs.</w:t>
      </w:r>
      <w:r>
        <w:t xml:space="preserve"> </w:t>
      </w:r>
      <w:r>
        <w:t xml:space="preserve">Separating acquisition from decline would need a retention test scored apart from the</w:t>
      </w:r>
      <w:r>
        <w:t xml:space="preserve"> </w:t>
      </w:r>
      <w:r>
        <w:t xml:space="preserve">training sessions.</w:t>
      </w:r>
    </w:p>
    <w:bookmarkEnd w:id="54"/>
    <w:bookmarkStart w:id="55" w:name="X9cd7329f04d04c39c69b0fdfbeefb69b044fb5a"/>
    <w:p>
      <w:pPr>
        <w:pStyle w:val="Heading2"/>
      </w:pPr>
      <w:r>
        <w:t xml:space="preserve">Change in executive function over training</w:t>
      </w:r>
    </w:p>
    <w:p>
      <w:pPr>
        <w:pStyle w:val="FirstParagraph"/>
      </w:pPr>
      <w:r>
        <w:t xml:space="preserve">A behavioural change also emerged over training. Working-memory span rose between the first and fifth</w:t>
      </w:r>
      <w:r>
        <w:t xml:space="preserve"> </w:t>
      </w:r>
      <w:r>
        <w:t xml:space="preserve">sessions, while inhibitory control and statistical learning did not. This comparison lacks a</w:t>
      </w:r>
      <w:r>
        <w:t xml:space="preserve"> </w:t>
      </w:r>
      <w:r>
        <w:t xml:space="preserve">no-training control group, so on its own a pre/post gain is open to the familiar threats of</w:t>
      </w:r>
      <w:r>
        <w:t xml:space="preserve"> </w:t>
      </w:r>
      <w:r>
        <w:t xml:space="preserve">an uncontrolled retest: practice effects, regression to the mean, maturation and expectancy</w:t>
      </w:r>
      <w:r>
        <w:t xml:space="preserve"> </w:t>
      </w:r>
      <w:r>
        <w:t xml:space="preserve">(Shadish et al. 2002; Calamia et al. 2012;</w:t>
      </w:r>
      <w:r>
        <w:t xml:space="preserve"> </w:t>
      </w:r>
      <w:r>
        <w:t xml:space="preserve">Barnett et al.</w:t>
      </w:r>
      <w:r>
        <w:t xml:space="preserve"> </w:t>
      </w:r>
      <w:r>
        <w:t xml:space="preserve">2005)</w:t>
      </w:r>
      <w:r>
        <w:t xml:space="preserve">. One feature of the analysis bounds those</w:t>
      </w:r>
      <w:r>
        <w:t xml:space="preserve"> </w:t>
      </w:r>
      <w:r>
        <w:t xml:space="preserve">threats, since of three indices measured and retested identically only working memory</w:t>
      </w:r>
      <w:r>
        <w:t xml:space="preserve"> </w:t>
      </w:r>
      <w:r>
        <w:t xml:space="preserve">moved. In the joint model, the pre/post change</w:t>
      </w:r>
      <w:r>
        <w:t xml:space="preserve"> </w:t>
      </w:r>
      <w:r>
        <w:t xml:space="preserve">was larger for digit span than for the co-administered statistical-learning measure</w:t>
      </w:r>
      <w:r>
        <w:t xml:space="preserve"> </w:t>
      </w:r>
      <w:r>
        <w:t xml:space="preserve">(probability of direction</w:t>
      </w:r>
      <w:r>
        <w:t xml:space="preserve"> </w:t>
      </w:r>
      <w:r>
        <w:t xml:space="preserve">95.7%, and</w:t>
      </w:r>
      <w:r>
        <w:t xml:space="preserve"> </w:t>
      </w:r>
      <w:r>
        <w:t xml:space="preserve">96.2%</w:t>
      </w:r>
      <w:r>
        <w:t xml:space="preserve"> </w:t>
      </w:r>
      <w:r>
        <w:t xml:space="preserve">with the Stroop index sign-aligned). The digit-span-versus-Stroop contrast is weaker</w:t>
      </w:r>
      <w:r>
        <w:t xml:space="preserve"> </w:t>
      </w:r>
      <w:r>
        <w:t xml:space="preserve">evidence, since aligning the Stroop polarity lowered its probability of direction from</w:t>
      </w:r>
      <w:r>
        <w:t xml:space="preserve"> </w:t>
      </w:r>
      <w:r>
        <w:t xml:space="preserve">95.7%</w:t>
      </w:r>
      <w:r>
        <w:t xml:space="preserve"> </w:t>
      </w:r>
      <w:r>
        <w:t xml:space="preserve">to 72.9% (see Results)</w:t>
      </w:r>
      <w:r>
        <w:t xml:space="preserve"> </w:t>
      </w:r>
      <w:r>
        <w:t xml:space="preserve">and the index is in any case too unreliable here to serve as a comparator. The</w:t>
      </w:r>
      <w:r>
        <w:t xml:space="preserve"> </w:t>
      </w:r>
      <w:r>
        <w:t xml:space="preserve">specificity argument therefore rests on the statistical-learning comparator, as in Part</w:t>
      </w:r>
      <w:r>
        <w:t xml:space="preserve"> </w:t>
      </w:r>
      <w:r>
        <w:t xml:space="preserve">A. That contrast does not clear the credibility threshold, since its 95% interval includes</w:t>
      </w:r>
      <w:r>
        <w:t xml:space="preserve"> </w:t>
      </w:r>
      <w:r>
        <w:t xml:space="preserve">zero, and the joint-model digit-span change does not either, so the concentration remains</w:t>
      </w:r>
      <w:r>
        <w:t xml:space="preserve"> </w:t>
      </w:r>
      <w:r>
        <w:t xml:space="preserve">provisional. The threats of an uncontrolled retest act broadly across a battery, so a</w:t>
      </w:r>
      <w:r>
        <w:t xml:space="preserve"> </w:t>
      </w:r>
      <w:r>
        <w:t xml:space="preserve">change concentrated in a single index is not what they predict. The same working-memory</w:t>
      </w:r>
      <w:r>
        <w:t xml:space="preserve"> </w:t>
      </w:r>
      <w:r>
        <w:t xml:space="preserve">measure was also the one baseline predictor of overall accuracy, so the predictive and</w:t>
      </w:r>
      <w:r>
        <w:t xml:space="preserve"> </w:t>
      </w:r>
      <w:r>
        <w:t xml:space="preserve">pre/post analyses converge on it, but a practice effect on digit span would arise whether</w:t>
      </w:r>
      <w:r>
        <w:t xml:space="preserve"> </w:t>
      </w:r>
      <w:r>
        <w:t xml:space="preserve">or not digit span predicted learning, so the convergence does not discriminate a</w:t>
      </w:r>
      <w:r>
        <w:t xml:space="preserve"> </w:t>
      </w:r>
      <w:r>
        <w:t xml:space="preserve">training-related account from one. None of this licenses a causal claim. Practice effects are not</w:t>
      </w:r>
      <w:r>
        <w:t xml:space="preserve"> </w:t>
      </w:r>
      <w:r>
        <w:t xml:space="preserve">uniform across tasks</w:t>
      </w:r>
      <w:r>
        <w:t xml:space="preserve"> </w:t>
      </w:r>
      <w:r>
        <w:t xml:space="preserve">(Scharfen et al. 2018)</w:t>
      </w:r>
      <w:r>
        <w:t xml:space="preserve">, and even active control conditions do not fully</w:t>
      </w:r>
      <w:r>
        <w:t xml:space="preserve"> </w:t>
      </w:r>
      <w:r>
        <w:t xml:space="preserve">rule out differential expectancy</w:t>
      </w:r>
      <w:r>
        <w:t xml:space="preserve"> </w:t>
      </w:r>
      <w:r>
        <w:t xml:space="preserve">(Boot et al. 2013; Simons et al. 2016)</w:t>
      </w:r>
      <w:r>
        <w:t xml:space="preserve">, so attributing the gain to the</w:t>
      </w:r>
      <w:r>
        <w:t xml:space="preserve"> </w:t>
      </w:r>
      <w:r>
        <w:t xml:space="preserve">multilingual training specifically would require a matched no-training group. In an</w:t>
      </w:r>
      <w:r>
        <w:t xml:space="preserve"> </w:t>
      </w:r>
      <w:r>
        <w:t xml:space="preserve">11-week randomised trial in older adults, language learning produced no</w:t>
      </w:r>
      <w:r>
        <w:t xml:space="preserve"> </w:t>
      </w:r>
      <w:r>
        <w:t xml:space="preserve">working-memory gain over a relaxation control</w:t>
      </w:r>
      <w:r>
        <w:t xml:space="preserve"> </w:t>
      </w:r>
      <w:r>
        <w:t xml:space="preserve">(Berggren et al. 2020)</w:t>
      </w:r>
      <w:r>
        <w:t xml:space="preserve">, and a three-week</w:t>
      </w:r>
      <w:r>
        <w:t xml:space="preserve"> </w:t>
      </w:r>
      <w:r>
        <w:t xml:space="preserve">randomised course found no gain on updating or working memory over a waitlist</w:t>
      </w:r>
      <w:r>
        <w:t xml:space="preserve"> </w:t>
      </w:r>
      <w:r>
        <w:t xml:space="preserve">(Grossmann et al. 2023)</w:t>
      </w:r>
      <w:r>
        <w:t xml:space="preserve">. The result is consistent with a training-related,</w:t>
      </w:r>
      <w:r>
        <w:t xml:space="preserve"> </w:t>
      </w:r>
      <w:r>
        <w:t xml:space="preserve">working-memory-specific change, and no more than that.</w:t>
      </w:r>
    </w:p>
    <w:bookmarkEnd w:id="55"/>
    <w:bookmarkStart w:id="56" w:name="limitations-and-future-directions"/>
    <w:p>
      <w:pPr>
        <w:pStyle w:val="Heading2"/>
      </w:pPr>
      <w:r>
        <w:t xml:space="preserve">Limitations and future directions</w:t>
      </w:r>
    </w:p>
    <w:p>
      <w:pPr>
        <w:pStyle w:val="FirstParagraph"/>
      </w:pPr>
      <w:r>
        <w:t xml:space="preserve">The first limitation is precision. Although the models are fitted to tens of thousands of</w:t>
      </w:r>
      <w:r>
        <w:t xml:space="preserve"> </w:t>
      </w:r>
      <w:r>
        <w:t xml:space="preserve">trials, the predictor effects are</w:t>
      </w:r>
      <w:r>
        <w:t xml:space="preserve"> </w:t>
      </w:r>
      <w:r>
        <w:rPr>
          <w:i/>
          <w:iCs/>
        </w:rPr>
        <w:t xml:space="preserve">between</w:t>
      </w:r>
      <w:r>
        <w:t xml:space="preserve">-participant quantities, so their effective sample</w:t>
      </w:r>
      <w:r>
        <w:t xml:space="preserve"> </w:t>
      </w:r>
      <w:r>
        <w:t xml:space="preserve">size is the number of participants. Only</w:t>
      </w:r>
      <w:r>
        <w:t xml:space="preserve"> </w:t>
      </w:r>
      <w:r>
        <w:t xml:space="preserve">56 participants contribute between-participant variance to the</w:t>
      </w:r>
      <w:r>
        <w:t xml:space="preserve"> </w:t>
      </w:r>
      <w:r>
        <w:t xml:space="preserve">raw-band model and 50 to the aperiodic variant, and 18</w:t>
      </w:r>
      <w:r>
        <w:t xml:space="preserve"> </w:t>
      </w:r>
      <w:r>
        <w:t xml:space="preserve">between-participant coefficients (nine main effects and nine interactions with time) are</w:t>
      </w:r>
      <w:r>
        <w:t xml:space="preserve"> </w:t>
      </w:r>
      <w:r>
        <w:t xml:space="preserve">estimated from them. That is why even the clearest predictor effect carries a wide</w:t>
      </w:r>
      <w:r>
        <w:t xml:space="preserve"> </w:t>
      </w:r>
      <w:r>
        <w:t xml:space="preserve">interval. Effects that do</w:t>
      </w:r>
      <w:r>
        <w:t xml:space="preserve"> </w:t>
      </w:r>
      <w:r>
        <w:t xml:space="preserve">clear a 95% interval at this sample size are also, on average, overestimates of their true</w:t>
      </w:r>
      <w:r>
        <w:t xml:space="preserve"> </w:t>
      </w:r>
      <w:r>
        <w:t xml:space="preserve">magnitude</w:t>
      </w:r>
      <w:r>
        <w:t xml:space="preserve"> </w:t>
      </w:r>
      <w:r>
        <w:t xml:space="preserve">(Gelman and Carlin 2014)</w:t>
      </w:r>
      <w:r>
        <w:t xml:space="preserve">, so the working-memory coefficient should be read as</w:t>
      </w:r>
      <w:r>
        <w:t xml:space="preserve"> </w:t>
      </w:r>
      <w:r>
        <w:t xml:space="preserve">evidence of a positive association whose size remains uncalibrated.</w:t>
      </w:r>
    </w:p>
    <w:p>
      <w:pPr>
        <w:pStyle w:val="BodyText"/>
      </w:pPr>
      <w:r>
        <w:t xml:space="preserve">A second limitation is that the study is silent on</w:t>
      </w:r>
      <w:r>
        <w:t xml:space="preserve"> </w:t>
      </w:r>
      <w:r>
        <w:rPr>
          <w:i/>
          <w:iCs/>
        </w:rPr>
        <w:t xml:space="preserve">neural</w:t>
      </w:r>
      <w:r>
        <w:t xml:space="preserve"> </w:t>
      </w:r>
      <w:r>
        <w:t xml:space="preserve">plasticity. Resting-state EEG</w:t>
      </w:r>
      <w:r>
        <w:t xml:space="preserve"> </w:t>
      </w:r>
      <w:r>
        <w:t xml:space="preserve">was recorded only at baseline, so the rs-EEG measures bear only on the prediction</w:t>
      </w:r>
      <w:r>
        <w:t xml:space="preserve"> </w:t>
      </w:r>
      <w:r>
        <w:t xml:space="preserve">question. Establishing whether intensive multilingual training reshapes resting-state</w:t>
      </w:r>
      <w:r>
        <w:t xml:space="preserve"> </w:t>
      </w:r>
      <w:r>
        <w:t xml:space="preserve">activity would need a matched post-training recording, of the kind that has shown resting</w:t>
      </w:r>
      <w:r>
        <w:t xml:space="preserve"> </w:t>
      </w:r>
      <w:r>
        <w:t xml:space="preserve">network organisation shifting after language training in older adults</w:t>
      </w:r>
      <w:r>
        <w:t xml:space="preserve"> </w:t>
      </w:r>
      <w:r>
        <w:t xml:space="preserve">(Kliesch et al. 2022)</w:t>
      </w:r>
      <w:r>
        <w:t xml:space="preserve">. A</w:t>
      </w:r>
      <w:r>
        <w:t xml:space="preserve"> </w:t>
      </w:r>
      <w:r>
        <w:t xml:space="preserve">change in working-memory span is a change in what the task measures, and says nothing</w:t>
      </w:r>
      <w:r>
        <w:t xml:space="preserve"> </w:t>
      </w:r>
      <w:r>
        <w:t xml:space="preserve">about whether the resting rhythms underlying that capacity have shifted.</w:t>
      </w:r>
    </w:p>
    <w:p>
      <w:pPr>
        <w:pStyle w:val="BodyText"/>
      </w:pPr>
      <w:r>
        <w:t xml:space="preserve">A third limitation is the reliability of the predictors themselves, which bounds any</w:t>
      </w:r>
      <w:r>
        <w:t xml:space="preserve"> </w:t>
      </w:r>
      <w:r>
        <w:t xml:space="preserve">association they can enter into. We estimated the internal consistency of each baseline</w:t>
      </w:r>
      <w:r>
        <w:t xml:space="preserve"> </w:t>
      </w:r>
      <w:r>
        <w:t xml:space="preserve">index by permutation split-half with a Spearman–Brown correction. The result separates two measures that are usually discussed together as</w:t>
      </w:r>
      <w:r>
        <w:t xml:space="preserve"> </w:t>
      </w:r>
      <w:r>
        <w:t xml:space="preserve">difference scores</w:t>
      </w:r>
      <w:r>
        <w:t xml:space="preserve"> </w:t>
      </w:r>
      <w:r>
        <w:t xml:space="preserve">(Hedge et al. 2018)</w:t>
      </w:r>
      <w:r>
        <w:t xml:space="preserve">. Statistical learning is estimated highly reliably</w:t>
      </w:r>
      <w:r>
        <w:t xml:space="preserve"> </w:t>
      </w:r>
      <w:r>
        <w:t xml:space="preserve">(.95) and working-memory span adequately so</w:t>
      </w:r>
      <w:r>
        <w:t xml:space="preserve"> </w:t>
      </w:r>
      <w:r>
        <w:t xml:space="preserve">(.76), but Stroop interference is not. Its split-half reliability is</w:t>
      </w:r>
      <w:r>
        <w:t xml:space="preserve"> </w:t>
      </w:r>
      <w:r>
        <w:t xml:space="preserve">.16, which is close to zero. That is in keeping with the</w:t>
      </w:r>
      <w:r>
        <w:t xml:space="preserve"> </w:t>
      </w:r>
      <w:r>
        <w:t xml:space="preserve">finding, across 24 published inhibition tasks, that trial noise is about eight times the</w:t>
      </w:r>
      <w:r>
        <w:t xml:space="preserve"> </w:t>
      </w:r>
      <w:r>
        <w:t xml:space="preserve">size of the true variability between individuals</w:t>
      </w:r>
      <w:r>
        <w:t xml:space="preserve"> </w:t>
      </w:r>
      <w:r>
        <w:t xml:space="preserve">(Rouder et al. 2023)</w:t>
      </w:r>
      <w:r>
        <w:t xml:space="preserve">. Almost none of its</w:t>
      </w:r>
      <w:r>
        <w:t xml:space="preserve"> </w:t>
      </w:r>
      <w:r>
        <w:t xml:space="preserve">between-participant variance is systematic, so the inhibitory-control null in Part A is</w:t>
      </w:r>
      <w:r>
        <w:t xml:space="preserve"> </w:t>
      </w:r>
      <w:r>
        <w:t xml:space="preserve">uninformative however large the true effect, and the index is a noisy internal control in</w:t>
      </w:r>
      <w:r>
        <w:t xml:space="preserve"> </w:t>
      </w:r>
      <w:r>
        <w:t xml:space="preserve">Part B. The statistical-learning null carries no such excuse. The ASRT is estimated highly</w:t>
      </w:r>
      <w:r>
        <w:t xml:space="preserve"> </w:t>
      </w:r>
      <w:r>
        <w:t xml:space="preserve">reliably, so its near-zero coefficient cannot be put down to measurement error. The ASRT</w:t>
      </w:r>
      <w:r>
        <w:t xml:space="preserve"> </w:t>
      </w:r>
      <w:r>
        <w:t xml:space="preserve">figure is in line with the acceptable internal consistency the task reaches in a large</w:t>
      </w:r>
      <w:r>
        <w:t xml:space="preserve"> </w:t>
      </w:r>
      <w:r>
        <w:t xml:space="preserve">sample when learning scores are computed from reaction times over</w:t>
      </w:r>
      <w:r>
        <w:t xml:space="preserve"> </w:t>
      </w:r>
      <w:r>
        <w:t xml:space="preserve">25 blocks, although such estimates move with</w:t>
      </w:r>
      <w:r>
        <w:t xml:space="preserve"> </w:t>
      </w:r>
      <w:r>
        <w:t xml:space="preserve">pre-processing choices</w:t>
      </w:r>
      <w:r>
        <w:t xml:space="preserve"> </w:t>
      </w:r>
      <w:r>
        <w:t xml:space="preserve">(Farkas et al. 2024)</w:t>
      </w:r>
      <w:r>
        <w:t xml:space="preserve">. Within-session split-half estimates also run well</w:t>
      </w:r>
      <w:r>
        <w:t xml:space="preserve"> </w:t>
      </w:r>
      <w:r>
        <w:t xml:space="preserve">above the test-retest reliability of serial reaction-time learning</w:t>
      </w:r>
      <w:r>
        <w:t xml:space="preserve"> </w:t>
      </w:r>
      <w:r>
        <w:t xml:space="preserve">(Oliveira et al. 2023)</w:t>
      </w:r>
      <w:r>
        <w:t xml:space="preserve">, so</w:t>
      </w:r>
      <w:r>
        <w:t xml:space="preserve"> </w:t>
      </w:r>
      <w:r>
        <w:t xml:space="preserve">the figure bears on the precision of the baseline index and does not by itself establish</w:t>
      </w:r>
      <w:r>
        <w:t xml:space="preserve"> </w:t>
      </w:r>
      <w:r>
        <w:t xml:space="preserve">it as a stable trait. Nor can the null be attributed with any confidence to timing. In</w:t>
      </w:r>
      <w:r>
        <w:t xml:space="preserve"> </w:t>
      </w:r>
      <w:r>
        <w:t xml:space="preserve">the two training studies that tracked their predictors by session, statistical learning</w:t>
      </w:r>
      <w:r>
        <w:t xml:space="preserve"> </w:t>
      </w:r>
      <w:r>
        <w:t xml:space="preserve">contributed most in the earliest exposure</w:t>
      </w:r>
      <w:r>
        <w:t xml:space="preserve"> </w:t>
      </w:r>
      <w:r>
        <w:t xml:space="preserve">(Chen et al. 2022; Kenanidis et al. 2026)</w:t>
      </w:r>
      <w:r>
        <w:t xml:space="preserve">. A contribution</w:t>
      </w:r>
      <w:r>
        <w:t xml:space="preserve"> </w:t>
      </w:r>
      <w:r>
        <w:t xml:space="preserve">that fades across sessions would register here as a statistical-learning-by-session</w:t>
      </w:r>
      <w:r>
        <w:t xml:space="preserve"> </w:t>
      </w:r>
      <w:r>
        <w:t xml:space="preserve">interaction, and those interactions were weak (see</w:t>
      </w:r>
      <w:r>
        <w:t xml:space="preserve"> </w:t>
      </w:r>
      <w:r>
        <w:rPr>
          <w:i/>
          <w:iCs/>
        </w:rPr>
        <w:t xml:space="preserve">Predictors of overall accuracy and</w:t>
      </w:r>
      <w:r>
        <w:rPr>
          <w:i/>
          <w:iCs/>
        </w:rPr>
        <w:t xml:space="preserve"> </w:t>
      </w:r>
      <w:r>
        <w:rPr>
          <w:i/>
          <w:iCs/>
        </w:rPr>
        <w:t xml:space="preserve">learning rate</w:t>
      </w:r>
      <w:r>
        <w:t xml:space="preserve">), although a linear term would not capture a contribution confined to the</w:t>
      </w:r>
      <w:r>
        <w:t xml:space="preserve"> </w:t>
      </w:r>
      <w:r>
        <w:t xml:space="preserve">first grammar session alone. Even so, a null detection leaves the absence of an</w:t>
      </w:r>
      <w:r>
        <w:t xml:space="preserve"> </w:t>
      </w:r>
      <w:r>
        <w:t xml:space="preserve">association undemonstrated. Under a prior centred above zero, the pooled estimate is</w:t>
      </w:r>
      <w:r>
        <w:t xml:space="preserve"> </w:t>
      </w:r>
      <m:oMath>
        <m:r>
          <m:t>b</m:t>
        </m:r>
        <m:r>
          <m:rPr>
            <m:sty m:val="p"/>
          </m:rPr>
          <m:t>=</m:t>
        </m:r>
        <m:r>
          <m:t>0.01</m:t>
        </m:r>
      </m:oMath>
      <w:r>
        <w:t xml:space="preserve">, 95% CrI</w:t>
      </w:r>
      <w:r>
        <w:t xml:space="preserve"> </w:t>
      </w:r>
      <m:oMath>
        <m:r>
          <m:rPr>
            <m:sty m:val="p"/>
          </m:rPr>
          <m:t>[</m:t>
        </m:r>
        <m:r>
          <m:rPr>
            <m:sty m:val="p"/>
          </m:rPr>
          <m:t>−</m:t>
        </m:r>
        <m:r>
          <m:t>0.25</m:t>
        </m:r>
        <m:r>
          <m:rPr>
            <m:sty m:val="p"/>
          </m:rPr>
          <m:t>,</m:t>
        </m:r>
        <m:r>
          <m:t>0.27</m:t>
        </m:r>
        <m:r>
          <m:rPr>
            <m:sty m:val="p"/>
          </m:rPr>
          <m:t>]</m:t>
        </m:r>
      </m:oMath>
      <w:r>
        <w:t xml:space="preserve">,</w:t>
      </w:r>
      <w:r>
        <w:t xml:space="preserve"> </w:t>
      </w:r>
      <m:oMath>
        <m:sSub>
          <m:e>
            <m:r>
              <m:t>p</m:t>
            </m:r>
          </m:e>
          <m:sub>
            <m:r>
              <m:t>d</m:t>
            </m:r>
          </m:sub>
        </m:sSub>
        <m:r>
          <m:rPr>
            <m:sty m:val="p"/>
          </m:rPr>
          <m:t>=</m:t>
        </m:r>
        <m:r>
          <m:t>53.4</m:t>
        </m:r>
        <m:r>
          <m:rPr>
            <m:sty m:val="p"/>
          </m:rPr>
          <m:t>%</m:t>
        </m:r>
      </m:oMath>
      <w:r>
        <w:t xml:space="preserve">. The interval’s upper bound is</w:t>
      </w:r>
      <w:r>
        <w:t xml:space="preserve"> </w:t>
      </w:r>
      <w:r>
        <w:t xml:space="preserve">close to the working-memory median we treat as our clearest effect, so these data cannot</w:t>
      </w:r>
      <w:r>
        <w:t xml:space="preserve"> </w:t>
      </w:r>
      <w:r>
        <w:t xml:space="preserve">exclude a statistical-learning association of the size they attribute to working memory.</w:t>
      </w:r>
      <w:r>
        <w:t xml:space="preserve"> </w:t>
      </w:r>
      <w:r>
        <w:t xml:space="preserve">What they establish is that no such association was detected on a well-measured index,</w:t>
      </w:r>
      <w:r>
        <w:t xml:space="preserve"> </w:t>
      </w:r>
      <w:r>
        <w:t xml:space="preserve">which is why it serves as the comparator the specificity argument rests on where the</w:t>
      </w:r>
      <w:r>
        <w:t xml:space="preserve"> </w:t>
      </w:r>
      <w:r>
        <w:t xml:space="preserve">neural and inhibitory-control nulls cannot.</w:t>
      </w:r>
    </w:p>
    <w:p>
      <w:pPr>
        <w:pStyle w:val="BodyText"/>
      </w:pPr>
      <w:r>
        <w:t xml:space="preserve">A further scope condition is that no language-specific aptitude test was administered,</w:t>
      </w:r>
      <w:r>
        <w:t xml:space="preserve"> </w:t>
      </w:r>
      <w:r>
        <w:t xml:space="preserve">so the contrast our data can draw is between a single circumscribed capacity and a broad</w:t>
      </w:r>
      <w:r>
        <w:t xml:space="preserve"> </w:t>
      </w:r>
      <w:r>
        <w:t xml:space="preserve">domain-general advantage. Whether an aptitude measure of the Modern Language Aptitude</w:t>
      </w:r>
      <w:r>
        <w:t xml:space="preserve"> </w:t>
      </w:r>
      <w:r>
        <w:t xml:space="preserve">Test (MLAT) and LLAMA tradition</w:t>
      </w:r>
      <w:r>
        <w:t xml:space="preserve"> </w:t>
      </w:r>
      <w:r>
        <w:t xml:space="preserve">(Li 2015)</w:t>
      </w:r>
      <w:r>
        <w:t xml:space="preserve"> </w:t>
      </w:r>
      <w:r>
        <w:t xml:space="preserve">would outpredict working memory here is an open</w:t>
      </w:r>
      <w:r>
        <w:t xml:space="preserve"> </w:t>
      </w:r>
      <w:r>
        <w:t xml:space="preserve">question.</w:t>
      </w:r>
    </w:p>
    <w:p>
      <w:pPr>
        <w:pStyle w:val="BodyText"/>
      </w:pPr>
      <w:r>
        <w:t xml:space="preserve">Finally, the artificial-language design trades ecological validity for control. Because</w:t>
      </w:r>
      <w:r>
        <w:t xml:space="preserve"> </w:t>
      </w:r>
      <w:r>
        <w:t xml:space="preserve">the grammar is new to every participant, prior exposure cannot confound the learning</w:t>
      </w:r>
      <w:r>
        <w:t xml:space="preserve"> </w:t>
      </w:r>
      <w:r>
        <w:t xml:space="preserve">curve. The cost is that the three properties enter at different points and</w:t>
      </w:r>
      <w:r>
        <w:t xml:space="preserve"> </w:t>
      </w:r>
      <w:r>
        <w:t xml:space="preserve">differ in difficulty, so the pooled trajectory averages over learners who are at different</w:t>
      </w:r>
      <w:r>
        <w:t xml:space="preserve"> </w:t>
      </w:r>
      <w:r>
        <w:t xml:space="preserve">stages of different problems. The pooled analysis is therefore best read alongside the</w:t>
      </w:r>
      <w:r>
        <w:t xml:space="preserve"> </w:t>
      </w:r>
      <w:r>
        <w:t xml:space="preserve">gender-only one, restricted to the single property sampled from the first grammar session</w:t>
      </w:r>
      <w:r>
        <w:t xml:space="preserve"> </w:t>
      </w:r>
      <w:r>
        <w:t xml:space="preserve">onwards, which the predictor pattern survived. Two further scope conditions apply. The</w:t>
      </w:r>
      <w:r>
        <w:t xml:space="preserve"> </w:t>
      </w:r>
      <w:r>
        <w:t xml:space="preserve">outcome is a single grammaticality-judgement task, so nothing here speaks to production or</w:t>
      </w:r>
      <w:r>
        <w:t xml:space="preserve"> </w:t>
      </w:r>
      <w:r>
        <w:t xml:space="preserve">to comprehension under time pressure, and the sample is first-language-Norwegian,</w:t>
      </w:r>
      <w:r>
        <w:t xml:space="preserve"> </w:t>
      </w:r>
      <w:r>
        <w:t xml:space="preserve">second-language-English bilinguals (see</w:t>
      </w:r>
      <w:r>
        <w:t xml:space="preserve"> </w:t>
      </w:r>
      <w:r>
        <w:rPr>
          <w:i/>
          <w:iCs/>
        </w:rPr>
        <w:t xml:space="preserve">Transparency and preregistration</w:t>
      </w:r>
      <w:r>
        <w:t xml:space="preserve">), to whom the</w:t>
      </w:r>
      <w:r>
        <w:t xml:space="preserve"> </w:t>
      </w:r>
      <w:r>
        <w:t xml:space="preserve">findings are confined.</w:t>
      </w:r>
    </w:p>
    <w:bookmarkEnd w:id="56"/>
    <w:bookmarkStart w:id="57" w:name="conclusion"/>
    <w:p>
      <w:pPr>
        <w:pStyle w:val="Heading2"/>
      </w:pPr>
      <w:r>
        <w:t xml:space="preserve">Conclusion</w:t>
      </w:r>
    </w:p>
    <w:p>
      <w:pPr>
        <w:pStyle w:val="FirstParagraph"/>
      </w:pPr>
      <w:r>
        <w:t xml:space="preserve">Two lines of evidence point to working memory. It was the one baseline index that</w:t>
      </w:r>
      <w:r>
        <w:t xml:space="preserve"> </w:t>
      </w:r>
      <w:r>
        <w:t xml:space="preserve">predicted learners’ overall accuracy on the new grammar, and the one index that rose</w:t>
      </w:r>
      <w:r>
        <w:t xml:space="preserve"> </w:t>
      </w:r>
      <w:r>
        <w:t xml:space="preserve">across the training period. Statistical learning, measured at least as reliably, did</w:t>
      </w:r>
      <w:r>
        <w:t xml:space="preserve"> </w:t>
      </w:r>
      <w:r>
        <w:t xml:space="preserve">neither, and the inhibitory-control measure was too unreliable here to test either way.</w:t>
      </w:r>
      <w:r>
        <w:t xml:space="preserve"> </w:t>
      </w:r>
      <w:r>
        <w:t xml:space="preserve">Both results therefore converge on working memory. Neither establishes that the capacity</w:t>
      </w:r>
      <w:r>
        <w:t xml:space="preserve"> </w:t>
      </w:r>
      <w:r>
        <w:t xml:space="preserve">is a specific one, since the statistical-learning interval admits an association of</w:t>
      </w:r>
      <w:r>
        <w:t xml:space="preserve"> </w:t>
      </w:r>
      <w:r>
        <w:t xml:space="preserve">similar size and the evidence that the pre/post gain is confined to working memory stops</w:t>
      </w:r>
      <w:r>
        <w:t xml:space="preserve"> </w:t>
      </w:r>
      <w:r>
        <w:t xml:space="preserve">short of being decisive.</w:t>
      </w:r>
    </w:p>
    <w:bookmarkEnd w:id="57"/>
    <w:bookmarkEnd w:id="58"/>
    <w:bookmarkStart w:id="61" w:name="data-and-code-availability"/>
    <w:p>
      <w:pPr>
        <w:pStyle w:val="Heading1"/>
      </w:pPr>
      <w:r>
        <w:t xml:space="preserve">Data and code availability</w:t>
      </w:r>
    </w:p>
    <w:p>
      <w:pPr>
        <w:pStyle w:val="FirstParagraph"/>
      </w:pPr>
      <w:r>
        <w:t xml:space="preserve">The data that support the findings of this study are openly available in the Open</w:t>
      </w:r>
      <w:r>
        <w:t xml:space="preserve"> </w:t>
      </w:r>
      <w:r>
        <w:t xml:space="preserve">Science Framework at</w:t>
      </w:r>
      <w:r>
        <w:t xml:space="preserve"> </w:t>
      </w:r>
      <w:hyperlink r:id="rId59">
        <w:r>
          <w:rPr>
            <w:rStyle w:val="Hyperlink"/>
          </w:rPr>
          <w:t xml:space="preserve">https://osf.io/tq7vy</w:t>
        </w:r>
      </w:hyperlink>
      <w:r>
        <w:t xml:space="preserve">. All extraction, modelling and reporting</w:t>
      </w:r>
      <w:r>
        <w:t xml:space="preserve"> </w:t>
      </w:r>
      <w:r>
        <w:t xml:space="preserve">scripts, the computational environment specification and the machine-written summary</w:t>
      </w:r>
      <w:r>
        <w:t xml:space="preserve"> </w:t>
      </w:r>
      <w:r>
        <w:t xml:space="preserve">tables that populate this manuscript are archived in the same repository, together with</w:t>
      </w:r>
      <w:r>
        <w:t xml:space="preserve"> </w:t>
      </w:r>
      <w:r>
        <w:t xml:space="preserve">the online supplementary material. The raw electroencephalographic recordings are held</w:t>
      </w:r>
      <w:r>
        <w:t xml:space="preserve"> </w:t>
      </w:r>
      <w:r>
        <w:t xml:space="preserve">there too, being too large to distribute through an ordinary version-control repository.</w:t>
      </w:r>
      <w:r>
        <w:t xml:space="preserve"> </w:t>
      </w:r>
      <w:r>
        <w:t xml:space="preserve">The paper’s analysis code and other open materials are also available at</w:t>
      </w:r>
      <w:r>
        <w:t xml:space="preserve"> </w:t>
      </w:r>
      <w:hyperlink r:id="rId60">
        <w:r>
          <w:rPr>
            <w:rStyle w:val="Hyperlink"/>
          </w:rPr>
          <w:t xml:space="preserve">https://github.com/pablobernabeu/LESS-cognitive-predictors</w:t>
        </w:r>
      </w:hyperlink>
      <w:r>
        <w:t xml:space="preserve">. The</w:t>
      </w:r>
      <w:r>
        <w:t xml:space="preserve"> </w:t>
      </w:r>
      <w:r>
        <w:t xml:space="preserve">supplement holds</w:t>
      </w:r>
      <w:r>
        <w:t xml:space="preserve"> </w:t>
      </w:r>
      <w:r>
        <w:t xml:space="preserve">the baseline predictor distributions and the resting-state spectra, which are descriptive</w:t>
      </w:r>
      <w:r>
        <w:t xml:space="preserve"> </w:t>
      </w:r>
      <w:r>
        <w:t xml:space="preserve">companions to the analyses reported here and are not needed to interpret them. The</w:t>
      </w:r>
      <w:r>
        <w:t xml:space="preserve"> </w:t>
      </w:r>
      <w:r>
        <w:t xml:space="preserve">environment specification has two parts, because no single artefact covers the whole of it:</w:t>
      </w:r>
      <w:r>
        <w:t xml:space="preserve"> </w:t>
      </w:r>
      <w:r>
        <w:t xml:space="preserve">an</w:t>
      </w:r>
      <w:r>
        <w:t xml:space="preserve"> </w:t>
      </w:r>
      <w:r>
        <w:rPr>
          <w:rStyle w:val="VerbatimChar"/>
        </w:rPr>
        <w:t xml:space="preserve">renv</w:t>
      </w:r>
      <w:r>
        <w:t xml:space="preserve"> </w:t>
      </w:r>
      <w:r>
        <w:t xml:space="preserve">lockfile pinning the R packages of the fitting library, snapshotted on the cluster,</w:t>
      </w:r>
      <w:r>
        <w:t xml:space="preserve"> </w:t>
      </w:r>
      <w:r>
        <w:t xml:space="preserve">and a provenance record written at fit time. The compiler and the optimisation pin described</w:t>
      </w:r>
      <w:r>
        <w:t xml:space="preserve"> </w:t>
      </w:r>
      <w:r>
        <w:t xml:space="preserve">in the supplementary material belong to neither, being properties of the cluster module,</w:t>
      </w:r>
      <w:r>
        <w:t xml:space="preserve"> </w:t>
      </w:r>
      <w:r>
        <w:t xml:space="preserve">which is why they are stated in prose. The provenance record covers the software versions in force</w:t>
      </w:r>
      <w:r>
        <w:t xml:space="preserve"> </w:t>
      </w:r>
      <w:r>
        <w:t xml:space="preserve">when the Part A predictor models were fitted, so those fits can be traced to the environment</w:t>
      </w:r>
      <w:r>
        <w:t xml:space="preserve"> </w:t>
      </w:r>
      <w:r>
        <w:t xml:space="preserve">that produced them. The pre/post models, the projection-predictive selection and the</w:t>
      </w:r>
      <w:r>
        <w:t xml:space="preserve"> </w:t>
      </w:r>
      <w:r>
        <w:t xml:space="preserve">cross-validation comparisons run from the same environment, but they write no record of</w:t>
      </w:r>
      <w:r>
        <w:t xml:space="preserve"> </w:t>
      </w:r>
      <w:r>
        <w:t xml:space="preserve">their own.</w:t>
      </w:r>
      <w:r>
        <w:t xml:space="preserve"> </w:t>
      </w:r>
      <w:r>
        <w:t xml:space="preserve">The Part A models were fitted before that mechanism was in place, so the record was recovered from the fitted objects on 2026-09-06: the versions of</w:t>
      </w:r>
      <w:r>
        <w:t xml:space="preserve"> </w:t>
      </w:r>
      <w:r>
        <w:rPr>
          <w:rStyle w:val="VerbatimChar"/>
        </w:rPr>
        <w:t xml:space="preserve">brms</w:t>
      </w:r>
      <w:r>
        <w:t xml:space="preserve">,</w:t>
      </w:r>
      <w:r>
        <w:t xml:space="preserve"> </w:t>
      </w:r>
      <w:r>
        <w:rPr>
          <w:rStyle w:val="VerbatimChar"/>
        </w:rPr>
        <w:t xml:space="preserve">rstan</w:t>
      </w:r>
      <w:r>
        <w:t xml:space="preserve">,</w:t>
      </w:r>
      <w:r>
        <w:t xml:space="preserve"> </w:t>
      </w:r>
      <w:r>
        <w:rPr>
          <w:rStyle w:val="VerbatimChar"/>
        </w:rPr>
        <w:t xml:space="preserve">StanHeaders</w:t>
      </w:r>
      <w:r>
        <w:t xml:space="preserve">,</w:t>
      </w:r>
      <w:r>
        <w:t xml:space="preserve"> </w:t>
      </w:r>
      <w:r>
        <w:rPr>
          <w:rStyle w:val="VerbatimChar"/>
        </w:rPr>
        <w:t xml:space="preserve">cmdstanr</w:t>
      </w:r>
      <w:r>
        <w:t xml:space="preserve"> </w:t>
      </w:r>
      <w:r>
        <w:t xml:space="preserve">and CmdStan are the stamps</w:t>
      </w:r>
      <w:r>
        <w:t xml:space="preserve"> </w:t>
      </w:r>
      <w:r>
        <w:rPr>
          <w:rStyle w:val="VerbatimChar"/>
        </w:rPr>
        <w:t xml:space="preserve">brms</w:t>
      </w:r>
      <w:r>
        <w:t xml:space="preserve"> </w:t>
      </w:r>
      <w:r>
        <w:t xml:space="preserve">stores in each fitted object at fit time, the R version is the one stamped in each object’s serialisation header, and the versions of</w:t>
      </w:r>
      <w:r>
        <w:t xml:space="preserve"> </w:t>
      </w:r>
      <w:r>
        <w:rPr>
          <w:rStyle w:val="VerbatimChar"/>
        </w:rPr>
        <w:t xml:space="preserve">projpred</w:t>
      </w:r>
      <w:r>
        <w:t xml:space="preserve">,</w:t>
      </w:r>
      <w:r>
        <w:t xml:space="preserve"> </w:t>
      </w:r>
      <w:r>
        <w:rPr>
          <w:rStyle w:val="VerbatimChar"/>
        </w:rPr>
        <w:t xml:space="preserve">loo</w:t>
      </w:r>
      <w:r>
        <w:t xml:space="preserve">,</w:t>
      </w:r>
      <w:r>
        <w:t xml:space="preserve"> </w:t>
      </w:r>
      <w:r>
        <w:rPr>
          <w:rStyle w:val="VerbatimChar"/>
        </w:rPr>
        <w:t xml:space="preserve">posterior</w:t>
      </w:r>
      <w:r>
        <w:t xml:space="preserve"> </w:t>
      </w:r>
      <w:r>
        <w:t xml:space="preserve">and</w:t>
      </w:r>
      <w:r>
        <w:t xml:space="preserve"> </w:t>
      </w:r>
      <w:r>
        <w:rPr>
          <w:rStyle w:val="VerbatimChar"/>
        </w:rPr>
        <w:t xml:space="preserve">bayesplot</w:t>
      </w:r>
      <w:r>
        <w:t xml:space="preserve">, which leave no such stamp, are those of the pinned project library the fits were produced from. The fitted objects were written between 2026-06-15 and 2026-07-11. The record supplies the version fields under</w:t>
      </w:r>
      <w:r>
        <w:t xml:space="preserve"> </w:t>
      </w:r>
      <w:r>
        <w:rPr>
          <w:i/>
          <w:iCs/>
        </w:rPr>
        <w:t xml:space="preserve">Sampler, diagnostics and inference</w:t>
      </w:r>
      <w:r>
        <w:t xml:space="preserve">.</w:t>
      </w:r>
    </w:p>
    <w:bookmarkEnd w:id="61"/>
    <w:bookmarkStart w:id="62" w:name="supplementary-material"/>
    <w:p>
      <w:pPr>
        <w:pStyle w:val="Heading1"/>
      </w:pPr>
      <w:r>
        <w:t xml:space="preserve">Supplementary material</w:t>
      </w:r>
    </w:p>
    <w:p>
      <w:pPr>
        <w:pStyle w:val="FirstParagraph"/>
      </w:pPr>
      <w:r>
        <w:t xml:space="preserve">For supplementary material accompanying this paper, visit</w:t>
      </w:r>
      <w:r>
        <w:t xml:space="preserve"> </w:t>
      </w:r>
      <w:r>
        <w:rPr>
          <w:i/>
          <w:iCs/>
        </w:rPr>
        <w:t xml:space="preserve">[URL assigned by the</w:t>
      </w:r>
      <w:r>
        <w:rPr>
          <w:i/>
          <w:iCs/>
        </w:rPr>
        <w:t xml:space="preserve"> </w:t>
      </w:r>
      <w:r>
        <w:rPr>
          <w:i/>
          <w:iCs/>
        </w:rPr>
        <w:t xml:space="preserve">journal]</w:t>
      </w:r>
      <w:r>
        <w:t xml:space="preserve">. The supplement comprises the trimming rules and minimum trial counts of the</w:t>
      </w:r>
      <w:r>
        <w:t xml:space="preserve"> </w:t>
      </w:r>
      <w:r>
        <w:t xml:space="preserve">cognitive indices, the acquisition and preprocessing of the resting-state EEG, the</w:t>
      </w:r>
      <w:r>
        <w:t xml:space="preserve"> </w:t>
      </w:r>
      <w:r>
        <w:t xml:space="preserve">transmission analysis behind the gamma-band judgement, the settings of the aperiodic</w:t>
      </w:r>
      <w:r>
        <w:t xml:space="preserve"> </w:t>
      </w:r>
      <w:r>
        <w:t xml:space="preserve">decomposition, the predictive comparison and the projection in full, the prior</w:t>
      </w:r>
      <w:r>
        <w:t xml:space="preserve"> </w:t>
      </w:r>
      <w:r>
        <w:t xml:space="preserve">specification in full, the computational environment, Figure S1 (distributions of the</w:t>
      </w:r>
      <w:r>
        <w:t xml:space="preserve"> </w:t>
      </w:r>
      <w:r>
        <w:t xml:space="preserve">baseline predictors) and Figure S2 (grand-average resting-state power spectral density</w:t>
      </w:r>
      <w:r>
        <w:t xml:space="preserve"> </w:t>
      </w:r>
      <w:r>
        <w:t xml:space="preserve">over the eight occipito-parietal electrodes).</w:t>
      </w:r>
    </w:p>
    <w:p>
      <w:r>
        <w:br w:type="page"/>
      </w:r>
    </w:p>
    <w:bookmarkEnd w:id="62"/>
    <w:bookmarkStart w:id="64" w:name="apx-convergence-diagnostics-p2"/>
    <w:p>
      <w:pPr>
        <w:pStyle w:val="Heading1"/>
      </w:pPr>
      <w:r>
        <w:t xml:space="preserve">Convergence diagnostics</w:t>
      </w:r>
    </w:p>
    <w:p>
      <w:pPr>
        <w:pStyle w:val="FirstParagraph"/>
      </w:pPr>
      <w:r>
        <w:t xml:space="preserve">Every model whose posterior estimates are reported in the main text was assessed against the same convergence criteria.</w:t>
      </w:r>
      <w:r>
        <w:t xml:space="preserve"> </w:t>
      </w:r>
      <w:hyperlink w:anchor="tbl-convergence">
        <w:r>
          <w:rPr>
            <w:rStyle w:val="Hyperlink"/>
          </w:rPr>
          <w:t xml:space="preserve">Table 3</w:t>
        </w:r>
      </w:hyperlink>
      <w:r>
        <w:t xml:space="preserve"> </w:t>
      </w:r>
      <w:r>
        <w:t xml:space="preserve">gives the realised per-model values behind the summary in the Results. The common-sample refits behind the cross-validation comparisons are not listed. They exist only to score the two parameterisations on identical observations, carry no reported coefficient and do not pass through the diagnostic artefact.</w:t>
      </w:r>
    </w:p>
    <w:tbl>
      <w:tblPr>
        <w:tblStyle w:val="Table"/>
        <w:tblW w:type="pct" w:w="5000"/>
        <w:tblLayout w:type="fixed"/>
        <w:tblLook w:firstRow="0" w:lastRow="0" w:firstColumn="0" w:lastColumn="0" w:noHBand="0" w:noVBand="0" w:val="0000"/>
      </w:tblPr>
      <w:tblGrid>
        <w:gridCol w:w="7920"/>
      </w:tblGrid>
      <w:tr>
        <w:tc>
          <w:tcPr/>
          <w:bookmarkStart w:id="63" w:name="tbl-convergence"/>
          <w:p>
            <w:pPr>
              <w:jc w:val="center"/>
            </w:pPr>
            <w:pPr>
              <w:jc w:val="left"/>
              <w:spacing w:before="200"/>
              <w:pStyle w:val="ImageCaption"/>
            </w:pPr>
            <w:r>
              <w:t xml:space="preserve">Table 3: Convergence Diagnostics for Every Model Whose Posterior Estimates Are Reported</w:t>
            </w:r>
          </w:p>
          <w:tbl>
            <w:tblPr>
              <w:tblStyle w:val="Table"/>
              <w:tblW w:type="pct" w:w="5000"/>
              <w:tblLayout w:type="fixed"/>
              <w:tblLook w:firstRow="1" w:lastRow="0" w:firstColumn="0" w:lastColumn="0" w:noHBand="0" w:noVBand="0" w:val="0020"/>
            </w:tblPr>
            <w:tblGrid>
              <w:gridCol w:w="4455"/>
              <w:gridCol w:w="1361"/>
              <w:gridCol w:w="1051"/>
              <w:gridCol w:w="1051"/>
            </w:tblGrid>
            <w:tr>
              <w:trPr>
                <w:tblHeader w:val="on"/>
              </w:trPr>
              <w:tc>
                <w:tcPr/>
                <w:p>
                  <w:pPr>
                    <w:pStyle w:val="Compact"/>
                    <w:jc w:val="left"/>
                    <w:jc w:val="center"/>
                  </w:pPr>
                  <w:r>
                    <w:t xml:space="preserve">Model</w:t>
                  </w:r>
                </w:p>
              </w:tc>
              <w:tc>
                <w:tcPr/>
                <w:p>
                  <w:pPr>
                    <w:pStyle w:val="Compact"/>
                    <w:jc w:val="right"/>
                    <w:jc w:val="center"/>
                  </w:pPr>
                  <w:r>
                    <w:t xml:space="preserve">Maximum</w:t>
                  </w:r>
                  <w:r>
                    <w:t xml:space="preserve"> </w:t>
                  </w:r>
                  <m:oMath>
                    <m:acc>
                      <m:accPr>
                        <m:chr m:val="̂"/>
                      </m:accPr>
                      <m:e>
                        <m:r>
                          <m:t>R</m:t>
                        </m:r>
                      </m:e>
                    </m:acc>
                  </m:oMath>
                </w:p>
              </w:tc>
              <w:tc>
                <w:tcPr/>
                <w:p>
                  <w:pPr>
                    <w:pStyle w:val="Compact"/>
                    <w:jc w:val="right"/>
                    <w:jc w:val="center"/>
                  </w:pPr>
                  <w:r>
                    <w:t xml:space="preserve">Minimum bulk ESS</w:t>
                  </w:r>
                </w:p>
              </w:tc>
              <w:tc>
                <w:tcPr/>
                <w:p>
                  <w:pPr>
                    <w:pStyle w:val="Compact"/>
                    <w:jc w:val="right"/>
                    <w:jc w:val="center"/>
                  </w:pPr>
                  <w:r>
                    <w:t xml:space="preserve">Minimum tail ESS</w:t>
                  </w:r>
                </w:p>
              </w:tc>
            </w:tr>
            <w:tr>
              <w:tc>
                <w:tcPr/>
                <w:p>
                  <w:pPr>
                    <w:pStyle w:val="Compact"/>
                    <w:jc w:val="left"/>
                    <w:jc w:val="center"/>
                  </w:pPr>
                  <w:r>
                    <w:t xml:space="preserve">Part A: pooled</w:t>
                  </w:r>
                </w:p>
              </w:tc>
              <w:tc>
                <w:tcPr/>
                <w:p>
                  <w:pPr>
                    <w:pStyle w:val="Compact"/>
                    <w:jc w:val="right"/>
                    <w:jc w:val="center"/>
                  </w:pPr>
                  <w:r>
                    <w:t xml:space="preserve">1.002</w:t>
                  </w:r>
                </w:p>
              </w:tc>
              <w:tc>
                <w:tcPr/>
                <w:p>
                  <w:pPr>
                    <w:pStyle w:val="Compact"/>
                    <w:jc w:val="right"/>
                    <w:jc w:val="center"/>
                  </w:pPr>
                  <w:r>
                    <w:t xml:space="preserve">1711</w:t>
                  </w:r>
                </w:p>
              </w:tc>
              <w:tc>
                <w:tcPr/>
                <w:p>
                  <w:pPr>
                    <w:pStyle w:val="Compact"/>
                    <w:jc w:val="right"/>
                    <w:jc w:val="center"/>
                  </w:pPr>
                  <w:r>
                    <w:t xml:space="preserve">3338</w:t>
                  </w:r>
                </w:p>
              </w:tc>
            </w:tr>
            <w:tr>
              <w:tc>
                <w:tcPr/>
                <w:p>
                  <w:pPr>
                    <w:pStyle w:val="Compact"/>
                    <w:jc w:val="left"/>
                    <w:jc w:val="center"/>
                  </w:pPr>
                  <w:r>
                    <w:t xml:space="preserve">Part A: pooled (weak priors)</w:t>
                  </w:r>
                </w:p>
              </w:tc>
              <w:tc>
                <w:tcPr/>
                <w:p>
                  <w:pPr>
                    <w:pStyle w:val="Compact"/>
                    <w:jc w:val="right"/>
                    <w:jc w:val="center"/>
                  </w:pPr>
                  <w:r>
                    <w:t xml:space="preserve">1.001</w:t>
                  </w:r>
                </w:p>
              </w:tc>
              <w:tc>
                <w:tcPr/>
                <w:p>
                  <w:pPr>
                    <w:pStyle w:val="Compact"/>
                    <w:jc w:val="right"/>
                    <w:jc w:val="center"/>
                  </w:pPr>
                  <w:r>
                    <w:t xml:space="preserve">7296</w:t>
                  </w:r>
                </w:p>
              </w:tc>
              <w:tc>
                <w:tcPr/>
                <w:p>
                  <w:pPr>
                    <w:pStyle w:val="Compact"/>
                    <w:jc w:val="right"/>
                    <w:jc w:val="center"/>
                  </w:pPr>
                  <w:r>
                    <w:t xml:space="preserve">13915</w:t>
                  </w:r>
                </w:p>
              </w:tc>
            </w:tr>
            <w:tr>
              <w:tc>
                <w:tcPr/>
                <w:p>
                  <w:pPr>
                    <w:pStyle w:val="Compact"/>
                    <w:jc w:val="left"/>
                    <w:jc w:val="center"/>
                  </w:pPr>
                  <w:r>
                    <w:t xml:space="preserve">Part A: gender agreement</w:t>
                  </w:r>
                </w:p>
              </w:tc>
              <w:tc>
                <w:tcPr/>
                <w:p>
                  <w:pPr>
                    <w:pStyle w:val="Compact"/>
                    <w:jc w:val="right"/>
                    <w:jc w:val="center"/>
                  </w:pPr>
                  <w:r>
                    <w:t xml:space="preserve">1.003</w:t>
                  </w:r>
                </w:p>
              </w:tc>
              <w:tc>
                <w:tcPr/>
                <w:p>
                  <w:pPr>
                    <w:pStyle w:val="Compact"/>
                    <w:jc w:val="right"/>
                    <w:jc w:val="center"/>
                  </w:pPr>
                  <w:r>
                    <w:t xml:space="preserve">2058</w:t>
                  </w:r>
                </w:p>
              </w:tc>
              <w:tc>
                <w:tcPr/>
                <w:p>
                  <w:pPr>
                    <w:pStyle w:val="Compact"/>
                    <w:jc w:val="right"/>
                    <w:jc w:val="center"/>
                  </w:pPr>
                  <w:r>
                    <w:t xml:space="preserve">3412</w:t>
                  </w:r>
                </w:p>
              </w:tc>
            </w:tr>
            <w:tr>
              <w:tc>
                <w:tcPr/>
                <w:p>
                  <w:pPr>
                    <w:pStyle w:val="Compact"/>
                    <w:jc w:val="left"/>
                    <w:jc w:val="center"/>
                  </w:pPr>
                  <w:r>
                    <w:t xml:space="preserve">Part A: gender agreement (weak priors)</w:t>
                  </w:r>
                </w:p>
              </w:tc>
              <w:tc>
                <w:tcPr/>
                <w:p>
                  <w:pPr>
                    <w:pStyle w:val="Compact"/>
                    <w:jc w:val="right"/>
                    <w:jc w:val="center"/>
                  </w:pPr>
                  <w:r>
                    <w:t xml:space="preserve">1.001</w:t>
                  </w:r>
                </w:p>
              </w:tc>
              <w:tc>
                <w:tcPr/>
                <w:p>
                  <w:pPr>
                    <w:pStyle w:val="Compact"/>
                    <w:jc w:val="right"/>
                    <w:jc w:val="center"/>
                  </w:pPr>
                  <w:r>
                    <w:t xml:space="preserve">7865</w:t>
                  </w:r>
                </w:p>
              </w:tc>
              <w:tc>
                <w:tcPr/>
                <w:p>
                  <w:pPr>
                    <w:pStyle w:val="Compact"/>
                    <w:jc w:val="right"/>
                    <w:jc w:val="center"/>
                  </w:pPr>
                  <w:r>
                    <w:t xml:space="preserve">14510</w:t>
                  </w:r>
                </w:p>
              </w:tc>
            </w:tr>
            <w:tr>
              <w:tc>
                <w:tcPr/>
                <w:p>
                  <w:pPr>
                    <w:pStyle w:val="Compact"/>
                    <w:jc w:val="left"/>
                    <w:jc w:val="center"/>
                  </w:pPr>
                  <w:r>
                    <w:t xml:space="preserve">Part A: gender agreement, excluding the two floor-pinned IAF recordings</w:t>
                  </w:r>
                </w:p>
              </w:tc>
              <w:tc>
                <w:tcPr/>
                <w:p>
                  <w:pPr>
                    <w:pStyle w:val="Compact"/>
                    <w:jc w:val="right"/>
                    <w:jc w:val="center"/>
                  </w:pPr>
                  <w:r>
                    <w:t xml:space="preserve">1.000</w:t>
                  </w:r>
                </w:p>
              </w:tc>
              <w:tc>
                <w:tcPr/>
                <w:p>
                  <w:pPr>
                    <w:pStyle w:val="Compact"/>
                    <w:jc w:val="right"/>
                    <w:jc w:val="center"/>
                  </w:pPr>
                  <w:r>
                    <w:t xml:space="preserve">7333</w:t>
                  </w:r>
                </w:p>
              </w:tc>
              <w:tc>
                <w:tcPr/>
                <w:p>
                  <w:pPr>
                    <w:pStyle w:val="Compact"/>
                    <w:jc w:val="right"/>
                    <w:jc w:val="center"/>
                  </w:pPr>
                  <w:r>
                    <w:t xml:space="preserve">14202</w:t>
                  </w:r>
                </w:p>
              </w:tc>
            </w:tr>
            <w:tr>
              <w:tc>
                <w:tcPr/>
                <w:p>
                  <w:pPr>
                    <w:pStyle w:val="Compact"/>
                    <w:jc w:val="left"/>
                    <w:jc w:val="center"/>
                  </w:pPr>
                  <w:r>
                    <w:t xml:space="preserve">Part A: pooled, aperiodic</w:t>
                  </w:r>
                </w:p>
              </w:tc>
              <w:tc>
                <w:tcPr/>
                <w:p>
                  <w:pPr>
                    <w:pStyle w:val="Compact"/>
                    <w:jc w:val="right"/>
                    <w:jc w:val="center"/>
                  </w:pPr>
                  <w:r>
                    <w:t xml:space="preserve">1.001</w:t>
                  </w:r>
                </w:p>
              </w:tc>
              <w:tc>
                <w:tcPr/>
                <w:p>
                  <w:pPr>
                    <w:pStyle w:val="Compact"/>
                    <w:jc w:val="right"/>
                    <w:jc w:val="center"/>
                  </w:pPr>
                  <w:r>
                    <w:t xml:space="preserve">7399</w:t>
                  </w:r>
                </w:p>
              </w:tc>
              <w:tc>
                <w:tcPr/>
                <w:p>
                  <w:pPr>
                    <w:pStyle w:val="Compact"/>
                    <w:jc w:val="right"/>
                    <w:jc w:val="center"/>
                  </w:pPr>
                  <w:r>
                    <w:t xml:space="preserve">12996</w:t>
                  </w:r>
                </w:p>
              </w:tc>
            </w:tr>
            <w:tr>
              <w:tc>
                <w:tcPr/>
                <w:p>
                  <w:pPr>
                    <w:pStyle w:val="Compact"/>
                    <w:jc w:val="left"/>
                    <w:jc w:val="center"/>
                  </w:pPr>
                  <w:r>
                    <w:t xml:space="preserve">Part A: gender agreement, aperiodic</w:t>
                  </w:r>
                </w:p>
              </w:tc>
              <w:tc>
                <w:tcPr/>
                <w:p>
                  <w:pPr>
                    <w:pStyle w:val="Compact"/>
                    <w:jc w:val="right"/>
                    <w:jc w:val="center"/>
                  </w:pPr>
                  <w:r>
                    <w:t xml:space="preserve">1.001</w:t>
                  </w:r>
                </w:p>
              </w:tc>
              <w:tc>
                <w:tcPr/>
                <w:p>
                  <w:pPr>
                    <w:pStyle w:val="Compact"/>
                    <w:jc w:val="right"/>
                    <w:jc w:val="center"/>
                  </w:pPr>
                  <w:r>
                    <w:t xml:space="preserve">6642</w:t>
                  </w:r>
                </w:p>
              </w:tc>
              <w:tc>
                <w:tcPr/>
                <w:p>
                  <w:pPr>
                    <w:pStyle w:val="Compact"/>
                    <w:jc w:val="right"/>
                    <w:jc w:val="center"/>
                  </w:pPr>
                  <w:r>
                    <w:t xml:space="preserve">11246</w:t>
                  </w:r>
                </w:p>
              </w:tc>
            </w:tr>
            <w:tr>
              <w:tc>
                <w:tcPr/>
                <w:p>
                  <w:pPr>
                    <w:pStyle w:val="Compact"/>
                    <w:jc w:val="left"/>
                    <w:jc w:val="center"/>
                  </w:pPr>
                  <w:r>
                    <w:t xml:space="preserve">Part B: digit span</w:t>
                  </w:r>
                </w:p>
              </w:tc>
              <w:tc>
                <w:tcPr/>
                <w:p>
                  <w:pPr>
                    <w:pStyle w:val="Compact"/>
                    <w:jc w:val="right"/>
                    <w:jc w:val="center"/>
                  </w:pPr>
                  <w:r>
                    <w:t xml:space="preserve">1.001</w:t>
                  </w:r>
                </w:p>
              </w:tc>
              <w:tc>
                <w:tcPr/>
                <w:p>
                  <w:pPr>
                    <w:pStyle w:val="Compact"/>
                    <w:jc w:val="right"/>
                    <w:jc w:val="center"/>
                  </w:pPr>
                  <w:r>
                    <w:t xml:space="preserve">5206</w:t>
                  </w:r>
                </w:p>
              </w:tc>
              <w:tc>
                <w:tcPr/>
                <w:p>
                  <w:pPr>
                    <w:pStyle w:val="Compact"/>
                    <w:jc w:val="right"/>
                    <w:jc w:val="center"/>
                  </w:pPr>
                  <w:r>
                    <w:t xml:space="preserve">9883</w:t>
                  </w:r>
                </w:p>
              </w:tc>
            </w:tr>
            <w:tr>
              <w:tc>
                <w:tcPr/>
                <w:p>
                  <w:pPr>
                    <w:pStyle w:val="Compact"/>
                    <w:jc w:val="left"/>
                    <w:jc w:val="center"/>
                  </w:pPr>
                  <w:r>
                    <w:t xml:space="preserve">Part B: Stroop interference</w:t>
                  </w:r>
                </w:p>
              </w:tc>
              <w:tc>
                <w:tcPr/>
                <w:p>
                  <w:pPr>
                    <w:pStyle w:val="Compact"/>
                    <w:jc w:val="right"/>
                    <w:jc w:val="center"/>
                  </w:pPr>
                  <w:r>
                    <w:t xml:space="preserve">1.001</w:t>
                  </w:r>
                </w:p>
              </w:tc>
              <w:tc>
                <w:tcPr/>
                <w:p>
                  <w:pPr>
                    <w:pStyle w:val="Compact"/>
                    <w:jc w:val="right"/>
                    <w:jc w:val="center"/>
                  </w:pPr>
                  <w:r>
                    <w:t xml:space="preserve">6068</w:t>
                  </w:r>
                </w:p>
              </w:tc>
              <w:tc>
                <w:tcPr/>
                <w:p>
                  <w:pPr>
                    <w:pStyle w:val="Compact"/>
                    <w:jc w:val="right"/>
                    <w:jc w:val="center"/>
                  </w:pPr>
                  <w:r>
                    <w:t xml:space="preserve">10580</w:t>
                  </w:r>
                </w:p>
              </w:tc>
            </w:tr>
            <w:tr>
              <w:tc>
                <w:tcPr/>
                <w:p>
                  <w:pPr>
                    <w:pStyle w:val="Compact"/>
                    <w:jc w:val="left"/>
                    <w:jc w:val="center"/>
                  </w:pPr>
                  <w:r>
                    <w:t xml:space="preserve">Part B: ASRT learning</w:t>
                  </w:r>
                </w:p>
              </w:tc>
              <w:tc>
                <w:tcPr/>
                <w:p>
                  <w:pPr>
                    <w:pStyle w:val="Compact"/>
                    <w:jc w:val="right"/>
                    <w:jc w:val="center"/>
                  </w:pPr>
                  <w:r>
                    <w:t xml:space="preserve">1.001</w:t>
                  </w:r>
                </w:p>
              </w:tc>
              <w:tc>
                <w:tcPr/>
                <w:p>
                  <w:pPr>
                    <w:pStyle w:val="Compact"/>
                    <w:jc w:val="right"/>
                    <w:jc w:val="center"/>
                  </w:pPr>
                  <w:r>
                    <w:t xml:space="preserve">4827</w:t>
                  </w:r>
                </w:p>
              </w:tc>
              <w:tc>
                <w:tcPr/>
                <w:p>
                  <w:pPr>
                    <w:pStyle w:val="Compact"/>
                    <w:jc w:val="right"/>
                    <w:jc w:val="center"/>
                  </w:pPr>
                  <w:r>
                    <w:t xml:space="preserve">8724</w:t>
                  </w:r>
                </w:p>
              </w:tc>
            </w:tr>
            <w:tr>
              <w:tc>
                <w:tcPr/>
                <w:p>
                  <w:pPr>
                    <w:pStyle w:val="Compact"/>
                    <w:jc w:val="left"/>
                    <w:jc w:val="center"/>
                  </w:pPr>
                  <w:r>
                    <w:t xml:space="preserve">Part B: joint across the three indices</w:t>
                  </w:r>
                </w:p>
              </w:tc>
              <w:tc>
                <w:tcPr/>
                <w:p>
                  <w:pPr>
                    <w:pStyle w:val="Compact"/>
                    <w:jc w:val="right"/>
                    <w:jc w:val="center"/>
                  </w:pPr>
                  <w:r>
                    <w:t xml:space="preserve">1.001</w:t>
                  </w:r>
                </w:p>
              </w:tc>
              <w:tc>
                <w:tcPr/>
                <w:p>
                  <w:pPr>
                    <w:pStyle w:val="Compact"/>
                    <w:jc w:val="right"/>
                    <w:jc w:val="center"/>
                  </w:pPr>
                  <w:r>
                    <w:t xml:space="preserve">11240</w:t>
                  </w:r>
                </w:p>
              </w:tc>
              <w:tc>
                <w:tcPr/>
                <w:p>
                  <w:pPr>
                    <w:pStyle w:val="Compact"/>
                    <w:jc w:val="right"/>
                    <w:jc w:val="center"/>
                  </w:pPr>
                  <w:r>
                    <w:t xml:space="preserve">15912</w:t>
                  </w:r>
                </w:p>
              </w:tc>
            </w:tr>
            <w:tr>
              <w:tc>
                <w:tcPr/>
                <w:p>
                  <w:pPr>
                    <w:pStyle w:val="Compact"/>
                    <w:jc w:val="left"/>
                    <w:jc w:val="center"/>
                  </w:pPr>
                  <w:r>
                    <w:t xml:space="preserve">Part B: joint across the three indices, sign-aligned</w:t>
                  </w:r>
                </w:p>
              </w:tc>
              <w:tc>
                <w:tcPr/>
                <w:p>
                  <w:pPr>
                    <w:pStyle w:val="Compact"/>
                    <w:jc w:val="right"/>
                    <w:jc w:val="center"/>
                  </w:pPr>
                  <w:r>
                    <w:t xml:space="preserve">1.001</w:t>
                  </w:r>
                </w:p>
              </w:tc>
              <w:tc>
                <w:tcPr/>
                <w:p>
                  <w:pPr>
                    <w:pStyle w:val="Compact"/>
                    <w:jc w:val="right"/>
                    <w:jc w:val="center"/>
                  </w:pPr>
                  <w:r>
                    <w:t xml:space="preserve">7486</w:t>
                  </w:r>
                </w:p>
              </w:tc>
              <w:tc>
                <w:tcPr/>
                <w:p>
                  <w:pPr>
                    <w:pStyle w:val="Compact"/>
                    <w:jc w:val="right"/>
                    <w:jc w:val="center"/>
                  </w:pPr>
                  <w:r>
                    <w:t xml:space="preserve">10552</w:t>
                  </w:r>
                </w:p>
              </w:tc>
            </w:tr>
          </w:tbl>
          <w:bookmarkEnd w:id="63"/>
          <w:p/>
        </w:tc>
      </w:tr>
    </w:tbl>
    <w:bookmarkEnd w:id="64"/>
    <w:bookmarkStart w:id="243" w:name="apx-predictor-reliability"/>
    <w:p>
      <w:pPr>
        <w:pStyle w:val="Heading1"/>
      </w:pPr>
      <w:r>
        <w:t xml:space="preserve">Reliability of the baseline predictors</w:t>
      </w:r>
    </w:p>
    <w:p>
      <w:pPr>
        <w:pStyle w:val="FirstParagraph"/>
      </w:pPr>
      <w:hyperlink w:anchor="tbl-predictor-reliability">
        <w:r>
          <w:rPr>
            <w:rStyle w:val="Hyperlink"/>
          </w:rPr>
          <w:t xml:space="preserve">Table 4</w:t>
        </w:r>
      </w:hyperlink>
      <w:r>
        <w:t xml:space="preserve"> </w:t>
      </w:r>
      <w:r>
        <w:t xml:space="preserve">gives the split-half internal consistency of the three</w:t>
      </w:r>
      <w:r>
        <w:t xml:space="preserve"> </w:t>
      </w:r>
      <w:r>
        <w:t xml:space="preserve">baseline cognitive indices, each index having been split 500 times. The</w:t>
      </w:r>
      <w:r>
        <w:t xml:space="preserve"> </w:t>
      </w:r>
      <w:r>
        <w:t xml:space="preserve">values, and what they imply for the inhibitory-control null, are discussed under</w:t>
      </w:r>
      <w:r>
        <w:t xml:space="preserve"> </w:t>
      </w:r>
      <w:r>
        <w:rPr>
          <w:i/>
          <w:iCs/>
        </w:rPr>
        <w:t xml:space="preserve">Limitations and future directions</w:t>
      </w:r>
      <w:r>
        <w:t xml:space="preserve">.</w:t>
      </w:r>
    </w:p>
    <w:tbl>
      <w:tblPr>
        <w:tblStyle w:val="Table"/>
        <w:tblW w:type="pct" w:w="5000"/>
        <w:tblLayout w:type="fixed"/>
        <w:tblLook w:firstRow="0" w:lastRow="0" w:firstColumn="0" w:lastColumn="0" w:noHBand="0" w:noVBand="0" w:val="0000"/>
      </w:tblPr>
      <w:tblGrid>
        <w:gridCol w:w="7920"/>
      </w:tblGrid>
      <w:tr>
        <w:tc>
          <w:tcPr/>
          <w:bookmarkStart w:id="65" w:name="tbl-predictor-reliability"/>
          <w:p>
            <w:pPr>
              <w:jc w:val="center"/>
            </w:pPr>
            <w:pPr>
              <w:jc w:val="left"/>
              <w:spacing w:before="200"/>
              <w:pStyle w:val="ImageCaption"/>
            </w:pPr>
            <w:r>
              <w:t xml:space="preserve">Table 4: Internal-Consistency Reliability of the Three Baseline Cognitive Predictors at Session 1</w:t>
            </w:r>
          </w:p>
          <w:tbl>
            <w:tblPr>
              <w:tblStyle w:val="Table"/>
              <w:tblW w:type="pct" w:w="5000"/>
              <w:tblLayout w:type="fixed"/>
              <w:tblLook w:firstRow="1" w:lastRow="0" w:firstColumn="0" w:lastColumn="0" w:noHBand="0" w:noVBand="0" w:val="0020"/>
            </w:tblPr>
            <w:tblGrid>
              <w:gridCol w:w="3152"/>
              <w:gridCol w:w="999"/>
              <w:gridCol w:w="1460"/>
              <w:gridCol w:w="2306"/>
            </w:tblGrid>
            <w:tr>
              <w:trPr>
                <w:tblHeader w:val="on"/>
              </w:trPr>
              <w:tc>
                <w:tcPr/>
                <w:p>
                  <w:pPr>
                    <w:pStyle w:val="Compact"/>
                    <w:jc w:val="left"/>
                    <w:jc w:val="center"/>
                  </w:pPr>
                  <w:r>
                    <w:t xml:space="preserve">Predictor</w:t>
                  </w:r>
                </w:p>
              </w:tc>
              <w:tc>
                <w:tcPr/>
                <w:p>
                  <w:pPr>
                    <w:pStyle w:val="Compact"/>
                    <w:jc w:val="right"/>
                    <w:jc w:val="center"/>
                  </w:pPr>
                  <w:r>
                    <w:t xml:space="preserve">Participants</w:t>
                  </w:r>
                </w:p>
              </w:tc>
              <w:tc>
                <w:tcPr/>
                <w:p>
                  <w:pPr>
                    <w:pStyle w:val="Compact"/>
                    <w:jc w:val="right"/>
                    <w:jc w:val="center"/>
                  </w:pPr>
                  <w:r>
                    <w:t xml:space="preserve">Mean half-test</w:t>
                  </w:r>
                  <w:r>
                    <w:t xml:space="preserve"> </w:t>
                  </w:r>
                  <m:oMath>
                    <m:r>
                      <m:t>r</m:t>
                    </m:r>
                  </m:oMath>
                </w:p>
              </w:tc>
              <w:tc>
                <w:tcPr/>
                <w:p>
                  <w:pPr>
                    <w:pStyle w:val="Compact"/>
                    <w:jc w:val="right"/>
                    <w:jc w:val="center"/>
                  </w:pPr>
                  <w:r>
                    <w:t xml:space="preserve">Reliability (Spearman–Brown)</w:t>
                  </w:r>
                </w:p>
              </w:tc>
            </w:tr>
            <w:tr>
              <w:tc>
                <w:tcPr/>
                <w:p>
                  <w:pPr>
                    <w:pStyle w:val="Compact"/>
                    <w:jc w:val="left"/>
                    <w:jc w:val="center"/>
                  </w:pPr>
                  <w:r>
                    <w:t xml:space="preserve">Working memory (digit span)</w:t>
                  </w:r>
                </w:p>
              </w:tc>
              <w:tc>
                <w:tcPr/>
                <w:p>
                  <w:pPr>
                    <w:pStyle w:val="Compact"/>
                    <w:jc w:val="right"/>
                    <w:jc w:val="center"/>
                  </w:pPr>
                  <w:r>
                    <w:t xml:space="preserve">63</w:t>
                  </w:r>
                </w:p>
              </w:tc>
              <w:tc>
                <w:tcPr/>
                <w:p>
                  <w:pPr>
                    <w:pStyle w:val="Compact"/>
                    <w:jc w:val="right"/>
                    <w:jc w:val="center"/>
                  </w:pPr>
                  <w:r>
                    <w:t xml:space="preserve">.61</w:t>
                  </w:r>
                </w:p>
              </w:tc>
              <w:tc>
                <w:tcPr/>
                <w:p>
                  <w:pPr>
                    <w:pStyle w:val="Compact"/>
                    <w:jc w:val="right"/>
                    <w:jc w:val="center"/>
                  </w:pPr>
                  <w:r>
                    <w:t xml:space="preserve">.76</w:t>
                  </w:r>
                </w:p>
              </w:tc>
            </w:tr>
            <w:tr>
              <w:tc>
                <w:tcPr/>
                <w:p>
                  <w:pPr>
                    <w:pStyle w:val="Compact"/>
                    <w:jc w:val="left"/>
                    <w:jc w:val="center"/>
                  </w:pPr>
                  <w:r>
                    <w:t xml:space="preserve">Inhibitory control (Stroop interference)</w:t>
                  </w:r>
                </w:p>
              </w:tc>
              <w:tc>
                <w:tcPr/>
                <w:p>
                  <w:pPr>
                    <w:pStyle w:val="Compact"/>
                    <w:jc w:val="right"/>
                    <w:jc w:val="center"/>
                  </w:pPr>
                  <w:r>
                    <w:t xml:space="preserve">62</w:t>
                  </w:r>
                </w:p>
              </w:tc>
              <w:tc>
                <w:tcPr/>
                <w:p>
                  <w:pPr>
                    <w:pStyle w:val="Compact"/>
                    <w:jc w:val="right"/>
                    <w:jc w:val="center"/>
                  </w:pPr>
                  <w:r>
                    <w:t xml:space="preserve">.09</w:t>
                  </w:r>
                </w:p>
              </w:tc>
              <w:tc>
                <w:tcPr/>
                <w:p>
                  <w:pPr>
                    <w:pStyle w:val="Compact"/>
                    <w:jc w:val="right"/>
                    <w:jc w:val="center"/>
                  </w:pPr>
                  <w:r>
                    <w:t xml:space="preserve">.16</w:t>
                  </w:r>
                </w:p>
              </w:tc>
            </w:tr>
            <w:tr>
              <w:tc>
                <w:tcPr/>
                <w:p>
                  <w:pPr>
                    <w:pStyle w:val="Compact"/>
                    <w:jc w:val="left"/>
                    <w:jc w:val="center"/>
                  </w:pPr>
                  <w:r>
                    <w:t xml:space="preserve">Statistical learning (ASRT)</w:t>
                  </w:r>
                </w:p>
              </w:tc>
              <w:tc>
                <w:tcPr/>
                <w:p>
                  <w:pPr>
                    <w:pStyle w:val="Compact"/>
                    <w:jc w:val="right"/>
                    <w:jc w:val="center"/>
                  </w:pPr>
                  <w:r>
                    <w:t xml:space="preserve">63</w:t>
                  </w:r>
                </w:p>
              </w:tc>
              <w:tc>
                <w:tcPr/>
                <w:p>
                  <w:pPr>
                    <w:pStyle w:val="Compact"/>
                    <w:jc w:val="right"/>
                    <w:jc w:val="center"/>
                  </w:pPr>
                  <w:r>
                    <w:t xml:space="preserve">.90</w:t>
                  </w:r>
                </w:p>
              </w:tc>
              <w:tc>
                <w:tcPr/>
                <w:p>
                  <w:pPr>
                    <w:pStyle w:val="Compact"/>
                    <w:jc w:val="right"/>
                    <w:jc w:val="center"/>
                  </w:pPr>
                  <w:r>
                    <w:t xml:space="preserve">.95</w:t>
                  </w:r>
                </w:p>
              </w:tc>
            </w:tr>
          </w:tbl>
          <w:bookmarkEnd w:id="65"/>
          <w:p/>
        </w:tc>
      </w:tr>
    </w:tbl>
    <w:bookmarkStart w:id="242" w:name="refs"/>
    <w:bookmarkStart w:id="67" w:name="ref-anwylirvine2020"/>
    <w:p>
      <w:pPr>
        <w:pStyle w:val="Bibliography"/>
      </w:pPr>
      <w:r>
        <w:t xml:space="preserve">Anwyl-Irvine, Alexander L., Jessica Massonnié, Adam Flitton, Natasha Kirkham, and Jo K. Evershed. 2020.</w:t>
      </w:r>
      <w:r>
        <w:t xml:space="preserve"> </w:t>
      </w:r>
      <w:r>
        <w:t xml:space="preserve">“</w:t>
      </w:r>
      <w:r>
        <w:t xml:space="preserve">Gorilla</w:t>
      </w:r>
      <w:r>
        <w:t xml:space="preserve"> </w:t>
      </w:r>
      <w:r>
        <w:t xml:space="preserve">in Our Midst: An Online Behavioral Experiment Builder.”</w:t>
      </w:r>
      <w:r>
        <w:t xml:space="preserve"> </w:t>
      </w:r>
      <w:r>
        <w:rPr>
          <w:i/>
          <w:iCs/>
        </w:rPr>
        <w:t xml:space="preserve">Behavior Research Methods</w:t>
      </w:r>
      <w:r>
        <w:t xml:space="preserve"> </w:t>
      </w:r>
      <w:r>
        <w:t xml:space="preserve">52 (1): 388–407.</w:t>
      </w:r>
      <w:r>
        <w:t xml:space="preserve"> </w:t>
      </w:r>
      <w:hyperlink r:id="rId66">
        <w:r>
          <w:rPr>
            <w:rStyle w:val="Hyperlink"/>
          </w:rPr>
          <w:t xml:space="preserve">https://doi.org/10.3758/s13428-019-01237-x</w:t>
        </w:r>
      </w:hyperlink>
      <w:r>
        <w:t xml:space="preserve">.</w:t>
      </w:r>
    </w:p>
    <w:bookmarkEnd w:id="67"/>
    <w:bookmarkStart w:id="69" w:name="ref-barnett2005"/>
    <w:p>
      <w:pPr>
        <w:pStyle w:val="Bibliography"/>
      </w:pPr>
      <w:r>
        <w:t xml:space="preserve">Barnett, Adrian G., Jolieke C. van der Pols, and Annette J. Dobson</w:t>
      </w:r>
      <w:r>
        <w:t xml:space="preserve">. 2005.</w:t>
      </w:r>
      <w:r>
        <w:t xml:space="preserve"> </w:t>
      </w:r>
      <w:r>
        <w:t xml:space="preserve">“Regression to the Mean: What It Is and How to Deal with It.”</w:t>
      </w:r>
      <w:r>
        <w:t xml:space="preserve"> </w:t>
      </w:r>
      <w:r>
        <w:rPr>
          <w:i/>
          <w:iCs/>
        </w:rPr>
        <w:t xml:space="preserve">International Journal of Epidemiology</w:t>
      </w:r>
      <w:r>
        <w:t xml:space="preserve"> </w:t>
      </w:r>
      <w:r>
        <w:t xml:space="preserve">34 (1): 215–20.</w:t>
      </w:r>
      <w:r>
        <w:t xml:space="preserve"> </w:t>
      </w:r>
      <w:hyperlink r:id="rId68">
        <w:r>
          <w:rPr>
            <w:rStyle w:val="Hyperlink"/>
          </w:rPr>
          <w:t xml:space="preserve">https://doi.org/10.1093/ije/dyh299</w:t>
        </w:r>
      </w:hyperlink>
      <w:r>
        <w:t xml:space="preserve">.</w:t>
      </w:r>
    </w:p>
    <w:bookmarkEnd w:id="69"/>
    <w:bookmarkStart w:id="71" w:name="ref-barr2013"/>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r>
        <w:t xml:space="preserve"> </w:t>
      </w:r>
      <w:hyperlink r:id="rId70">
        <w:r>
          <w:rPr>
            <w:rStyle w:val="Hyperlink"/>
          </w:rPr>
          <w:t xml:space="preserve">https://doi.org/10.1016/j.jml.2012.11.001</w:t>
        </w:r>
      </w:hyperlink>
      <w:r>
        <w:t xml:space="preserve">.</w:t>
      </w:r>
    </w:p>
    <w:bookmarkEnd w:id="71"/>
    <w:bookmarkStart w:id="73" w:name="ref-berggren2020"/>
    <w:p>
      <w:pPr>
        <w:pStyle w:val="Bibliography"/>
      </w:pPr>
      <w:r>
        <w:t xml:space="preserve">Berggren, Rasmus, Jonna Nilsson, Yvonne Brehmer, Florian Schmiedek, and Martin Lövdén. 2020.</w:t>
      </w:r>
      <w:r>
        <w:t xml:space="preserve"> </w:t>
      </w:r>
      <w:r>
        <w:t xml:space="preserve">“Foreign Language Learning in Older Age Does Not Improve Memory or Intelligence: Evidence from a Randomized Controlled Study.”</w:t>
      </w:r>
      <w:r>
        <w:t xml:space="preserve"> </w:t>
      </w:r>
      <w:r>
        <w:rPr>
          <w:i/>
          <w:iCs/>
        </w:rPr>
        <w:t xml:space="preserve">Psychology and Aging</w:t>
      </w:r>
      <w:r>
        <w:t xml:space="preserve"> </w:t>
      </w:r>
      <w:r>
        <w:t xml:space="preserve">35 (2): 212–19.</w:t>
      </w:r>
      <w:r>
        <w:t xml:space="preserve"> </w:t>
      </w:r>
      <w:hyperlink r:id="rId72">
        <w:r>
          <w:rPr>
            <w:rStyle w:val="Hyperlink"/>
          </w:rPr>
          <w:t xml:space="preserve">https://doi.org/10.1037/pag0000439</w:t>
        </w:r>
      </w:hyperlink>
      <w:r>
        <w:t xml:space="preserve">.</w:t>
      </w:r>
    </w:p>
    <w:bookmarkEnd w:id="73"/>
    <w:bookmarkStart w:id="74" w:name="ref-lesstransfer2026"/>
    <w:p>
      <w:pPr>
        <w:pStyle w:val="Bibliography"/>
      </w:pPr>
      <w:r>
        <w:t xml:space="preserve">Bernabeu, Pablo, Christina Athanasiadi, Stella L. Pischinger, et al. 2026.</w:t>
      </w:r>
      <w:r>
        <w:t xml:space="preserve"> </w:t>
      </w:r>
      <w:r>
        <w:t xml:space="preserve">“The Neurocognition of Longitudinal</w:t>
      </w:r>
      <w:r>
        <w:t xml:space="preserve"> </w:t>
      </w:r>
      <w:r>
        <w:t xml:space="preserve">L3</w:t>
      </w:r>
      <w:r>
        <w:t xml:space="preserve"> </w:t>
      </w:r>
      <w:r>
        <w:t xml:space="preserve">Morphosyntactic Transfer: A</w:t>
      </w:r>
      <w:r>
        <w:t xml:space="preserve"> </w:t>
      </w:r>
      <w:r>
        <w:t xml:space="preserve">Bayesian</w:t>
      </w:r>
      <w:r>
        <w:t xml:space="preserve"> </w:t>
      </w:r>
      <w:r>
        <w:t xml:space="preserve">Single-Trial</w:t>
      </w:r>
      <w:r>
        <w:t xml:space="preserve"> </w:t>
      </w:r>
      <w:r>
        <w:t xml:space="preserve">ERP</w:t>
      </w:r>
      <w:r>
        <w:t xml:space="preserve"> </w:t>
      </w:r>
      <w:r>
        <w:t xml:space="preserve">Study of Three Grammatical Properties in Two Artificial Languages.”</w:t>
      </w:r>
      <w:r>
        <w:t xml:space="preserve"> </w:t>
      </w:r>
      <w:r>
        <w:t xml:space="preserve">Manuscript submitted for publication.</w:t>
      </w:r>
    </w:p>
    <w:bookmarkEnd w:id="74"/>
    <w:bookmarkStart w:id="76" w:name="ref-boot2013"/>
    <w:p>
      <w:pPr>
        <w:pStyle w:val="Bibliography"/>
      </w:pPr>
      <w:r>
        <w:t xml:space="preserve">Boot, Walter R., Daniel J. Simons, Cary Stothart, and Cassie Stutts. 2013.</w:t>
      </w:r>
      <w:r>
        <w:t xml:space="preserve"> </w:t>
      </w:r>
      <w:r>
        <w:t xml:space="preserve">“The Pervasive Problem with Placebos in Psychology: Why Active Control Groups Are Not Sufficient to Rule Out Placebo Effects.”</w:t>
      </w:r>
      <w:r>
        <w:t xml:space="preserve"> </w:t>
      </w:r>
      <w:r>
        <w:rPr>
          <w:i/>
          <w:iCs/>
        </w:rPr>
        <w:t xml:space="preserve">Perspectives on Psychological Science</w:t>
      </w:r>
      <w:r>
        <w:t xml:space="preserve"> </w:t>
      </w:r>
      <w:r>
        <w:t xml:space="preserve">8 (4): 445–54.</w:t>
      </w:r>
      <w:r>
        <w:t xml:space="preserve"> </w:t>
      </w:r>
      <w:hyperlink r:id="rId75">
        <w:r>
          <w:rPr>
            <w:rStyle w:val="Hyperlink"/>
          </w:rPr>
          <w:t xml:space="preserve">https://doi.org/10.1177/1745691613491271</w:t>
        </w:r>
      </w:hyperlink>
      <w:r>
        <w:t xml:space="preserve">.</w:t>
      </w:r>
    </w:p>
    <w:bookmarkEnd w:id="76"/>
    <w:bookmarkStart w:id="78" w:name="ref-brauer2018"/>
    <w:p>
      <w:pPr>
        <w:pStyle w:val="Bibliography"/>
      </w:pPr>
      <w:r>
        <w:t xml:space="preserve">Brauer, Markus, and John J. Curtin. 2018.</w:t>
      </w:r>
      <w:r>
        <w:t xml:space="preserve"> </w:t>
      </w:r>
      <w:r>
        <w:t xml:space="preserve">“Linear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 </w:t>
      </w:r>
      <w:r>
        <w:t xml:space="preserve">23 (3): 389–411.</w:t>
      </w:r>
      <w:r>
        <w:t xml:space="preserve"> </w:t>
      </w:r>
      <w:hyperlink r:id="rId77">
        <w:r>
          <w:rPr>
            <w:rStyle w:val="Hyperlink"/>
          </w:rPr>
          <w:t xml:space="preserve">https://doi.org/10.1037/met0000159</w:t>
        </w:r>
      </w:hyperlink>
      <w:r>
        <w:t xml:space="preserve">.</w:t>
      </w:r>
    </w:p>
    <w:bookmarkEnd w:id="78"/>
    <w:bookmarkStart w:id="80" w:name="ref-burkner2017"/>
    <w:p>
      <w:pPr>
        <w:pStyle w:val="Bibliography"/>
      </w:pPr>
      <w:r>
        <w:t xml:space="preserve">Bürkner, Paul-Christian. 2017.</w:t>
      </w:r>
      <w:r>
        <w:t xml:space="preserve"> </w:t>
      </w:r>
      <w:r>
        <w:t xml:space="preserve">“</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 </w:t>
      </w:r>
      <w:r>
        <w:t xml:space="preserve">80 (1): 1–28.</w:t>
      </w:r>
      <w:r>
        <w:t xml:space="preserve"> </w:t>
      </w:r>
      <w:hyperlink r:id="rId79">
        <w:r>
          <w:rPr>
            <w:rStyle w:val="Hyperlink"/>
          </w:rPr>
          <w:t xml:space="preserve">https://doi.org/10.18637/jss.v080.i01</w:t>
        </w:r>
      </w:hyperlink>
      <w:r>
        <w:t xml:space="preserve">.</w:t>
      </w:r>
    </w:p>
    <w:bookmarkEnd w:id="80"/>
    <w:bookmarkStart w:id="82" w:name="ref-burkner2018"/>
    <w:p>
      <w:pPr>
        <w:pStyle w:val="Bibliography"/>
      </w:pPr>
      <w:r>
        <w:t xml:space="preserve">Bürkner, Paul-Christian. 2018.</w:t>
      </w:r>
      <w:r>
        <w:t xml:space="preserve"> </w:t>
      </w:r>
      <w:r>
        <w:t xml:space="preserve">“Advanced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 </w:t>
      </w:r>
      <w:r>
        <w:t xml:space="preserve">10 (1): 395–411.</w:t>
      </w:r>
      <w:r>
        <w:t xml:space="preserve"> </w:t>
      </w:r>
      <w:hyperlink r:id="rId81">
        <w:r>
          <w:rPr>
            <w:rStyle w:val="Hyperlink"/>
          </w:rPr>
          <w:t xml:space="preserve">https://doi.org/10.32614/RJ-2018-017</w:t>
        </w:r>
      </w:hyperlink>
      <w:r>
        <w:t xml:space="preserve">.</w:t>
      </w:r>
    </w:p>
    <w:bookmarkEnd w:id="82"/>
    <w:bookmarkStart w:id="84" w:name="ref-calamia2012"/>
    <w:p>
      <w:pPr>
        <w:pStyle w:val="Bibliography"/>
      </w:pPr>
      <w:r>
        <w:t xml:space="preserve">Calamia, Matthew, Kristian Markon, and Daniel Tranel. 2012.</w:t>
      </w:r>
      <w:r>
        <w:t xml:space="preserve"> </w:t>
      </w:r>
      <w:r>
        <w:t xml:space="preserve">“Scoring Higher the Second Time Around: Meta-Analyses of Practice Effects in Neuropsychological Assessment.”</w:t>
      </w:r>
      <w:r>
        <w:t xml:space="preserve"> </w:t>
      </w:r>
      <w:r>
        <w:rPr>
          <w:i/>
          <w:iCs/>
        </w:rPr>
        <w:t xml:space="preserve">The Clinical Neuropsychologist</w:t>
      </w:r>
      <w:r>
        <w:t xml:space="preserve"> </w:t>
      </w:r>
      <w:r>
        <w:t xml:space="preserve">26 (4): 543–70.</w:t>
      </w:r>
      <w:r>
        <w:t xml:space="preserve"> </w:t>
      </w:r>
      <w:hyperlink r:id="rId83">
        <w:r>
          <w:rPr>
            <w:rStyle w:val="Hyperlink"/>
          </w:rPr>
          <w:t xml:space="preserve">https://doi.org/10.1080/13854046.2012.680913</w:t>
        </w:r>
      </w:hyperlink>
      <w:r>
        <w:t xml:space="preserve">.</w:t>
      </w:r>
    </w:p>
    <w:bookmarkEnd w:id="84"/>
    <w:bookmarkStart w:id="86" w:name="ref-carpenter2017"/>
    <w:p>
      <w:pPr>
        <w:pStyle w:val="Bibliography"/>
      </w:pPr>
      <w:r>
        <w:t xml:space="preserve">Carpenter, Bob, Andrew Gelman, Matthew D. Hoffman, et al. 2017.</w:t>
      </w:r>
      <w:r>
        <w:t xml:space="preserve"> </w:t>
      </w:r>
      <w:r>
        <w:t xml:space="preserve">“</w:t>
      </w:r>
      <w:r>
        <w:t xml:space="preserve">Stan</w:t>
      </w:r>
      <w:r>
        <w:t xml:space="preserve">: A Probabilistic Programming Language.”</w:t>
      </w:r>
      <w:r>
        <w:t xml:space="preserve"> </w:t>
      </w:r>
      <w:r>
        <w:rPr>
          <w:i/>
          <w:iCs/>
        </w:rPr>
        <w:t xml:space="preserve">Journal of Statistical Software</w:t>
      </w:r>
      <w:r>
        <w:t xml:space="preserve"> </w:t>
      </w:r>
      <w:r>
        <w:t xml:space="preserve">76 (1): 1–32.</w:t>
      </w:r>
      <w:r>
        <w:t xml:space="preserve"> </w:t>
      </w:r>
      <w:hyperlink r:id="rId85">
        <w:r>
          <w:rPr>
            <w:rStyle w:val="Hyperlink"/>
          </w:rPr>
          <w:t xml:space="preserve">https://doi.org/10.18637/jss.v076.i01</w:t>
        </w:r>
      </w:hyperlink>
      <w:r>
        <w:t xml:space="preserve">.</w:t>
      </w:r>
    </w:p>
    <w:bookmarkEnd w:id="86"/>
    <w:bookmarkStart w:id="88" w:name="ref-catalina2021"/>
    <w:p>
      <w:pPr>
        <w:pStyle w:val="Bibliography"/>
      </w:pPr>
      <w:r>
        <w:t xml:space="preserve">Catalina, Alejandro, Paul-Christian Bürkner, and Aki Vehtari. 2021.</w:t>
      </w:r>
      <w:r>
        <w:t xml:space="preserve"> </w:t>
      </w:r>
      <w:r>
        <w:rPr>
          <w:i/>
          <w:iCs/>
        </w:rPr>
        <w:t xml:space="preserve">Latent Space Projection Predictive Inference</w:t>
      </w:r>
      <w:r>
        <w:t xml:space="preserve">. arXiv.</w:t>
      </w:r>
      <w:r>
        <w:t xml:space="preserve"> </w:t>
      </w:r>
      <w:hyperlink r:id="rId87">
        <w:r>
          <w:rPr>
            <w:rStyle w:val="Hyperlink"/>
          </w:rPr>
          <w:t xml:space="preserve">https://doi.org/10.48550/arXiv.2109.04702</w:t>
        </w:r>
      </w:hyperlink>
      <w:r>
        <w:t xml:space="preserve">.</w:t>
      </w:r>
    </w:p>
    <w:bookmarkEnd w:id="88"/>
    <w:bookmarkStart w:id="90" w:name="ref-chen2022"/>
    <w:p>
      <w:pPr>
        <w:pStyle w:val="Bibliography"/>
      </w:pPr>
      <w:r>
        <w:t xml:space="preserve">Chen, Yao, Li Li, Mengxing Wang, and Ruiming Wang. 2022.</w:t>
      </w:r>
      <w:r>
        <w:t xml:space="preserve"> </w:t>
      </w:r>
      <w:r>
        <w:t xml:space="preserve">“Which Cognitive Factors Predict</w:t>
      </w:r>
      <w:r>
        <w:t xml:space="preserve"> </w:t>
      </w:r>
      <w:r>
        <w:t xml:space="preserve">L2</w:t>
      </w:r>
      <w:r>
        <w:t xml:space="preserve"> </w:t>
      </w:r>
      <w:r>
        <w:t xml:space="preserve">Grammar Learning: Cognitive Control, Statistical Learning, Working Memory, or Attention?”</w:t>
      </w:r>
      <w:r>
        <w:t xml:space="preserve"> </w:t>
      </w:r>
      <w:r>
        <w:rPr>
          <w:i/>
          <w:iCs/>
        </w:rPr>
        <w:t xml:space="preserve">Frontiers in Psychology</w:t>
      </w:r>
      <w:r>
        <w:t xml:space="preserve"> </w:t>
      </w:r>
      <w:r>
        <w:t xml:space="preserve">13: 943988.</w:t>
      </w:r>
      <w:r>
        <w:t xml:space="preserve"> </w:t>
      </w:r>
      <w:hyperlink r:id="rId89">
        <w:r>
          <w:rPr>
            <w:rStyle w:val="Hyperlink"/>
          </w:rPr>
          <w:t xml:space="preserve">https://doi.org/10.3389/fpsyg.2022.943988</w:t>
        </w:r>
      </w:hyperlink>
      <w:r>
        <w:t xml:space="preserve">.</w:t>
      </w:r>
    </w:p>
    <w:bookmarkEnd w:id="90"/>
    <w:bookmarkStart w:id="92" w:name="ref-corcoran2018"/>
    <w:p>
      <w:pPr>
        <w:pStyle w:val="Bibliography"/>
      </w:pPr>
      <w:r>
        <w:t xml:space="preserve">Corcoran, Andrew W., Phillip M. Alday, Matthias Schlesewsky, and Ina Bornkessel-Schlesewsky. 2018.</w:t>
      </w:r>
      <w:r>
        <w:t xml:space="preserve"> </w:t>
      </w:r>
      <w:r>
        <w:t xml:space="preserve">“Toward a Reliable, Automated Method of Individual Alpha Frequency (</w:t>
      </w:r>
      <w:r>
        <w:t xml:space="preserve">IAF</w:t>
      </w:r>
      <w:r>
        <w:t xml:space="preserve">) Quantification.”</w:t>
      </w:r>
      <w:r>
        <w:t xml:space="preserve"> </w:t>
      </w:r>
      <w:r>
        <w:rPr>
          <w:i/>
          <w:iCs/>
        </w:rPr>
        <w:t xml:space="preserve">Psychophysiology</w:t>
      </w:r>
      <w:r>
        <w:t xml:space="preserve"> </w:t>
      </w:r>
      <w:r>
        <w:t xml:space="preserve">55 (7): e13064.</w:t>
      </w:r>
      <w:r>
        <w:t xml:space="preserve"> </w:t>
      </w:r>
      <w:hyperlink r:id="rId91">
        <w:r>
          <w:rPr>
            <w:rStyle w:val="Hyperlink"/>
          </w:rPr>
          <w:t xml:space="preserve">https://doi.org/10.1111/psyp.13064</w:t>
        </w:r>
      </w:hyperlink>
      <w:r>
        <w:t xml:space="preserve">.</w:t>
      </w:r>
    </w:p>
    <w:bookmarkEnd w:id="92"/>
    <w:bookmarkStart w:id="94" w:name="ref-depaoli2017"/>
    <w:p>
      <w:pPr>
        <w:pStyle w:val="Bibliography"/>
      </w:pPr>
      <w:r>
        <w:t xml:space="preserve">Depaoli, Sarah, and Rens van de Schoot</w:t>
      </w:r>
      <w:r>
        <w:t xml:space="preserve">. 2017.</w:t>
      </w:r>
      <w:r>
        <w:t xml:space="preserve"> </w:t>
      </w:r>
      <w:r>
        <w:t xml:space="preserve">“Improving Transparency and Replication in</w:t>
      </w:r>
      <w:r>
        <w:t xml:space="preserve"> </w:t>
      </w:r>
      <w:r>
        <w:t xml:space="preserve">Bayesian</w:t>
      </w:r>
      <w:r>
        <w:t xml:space="preserve"> </w:t>
      </w:r>
      <w:r>
        <w:t xml:space="preserve">Statistics: The</w:t>
      </w:r>
      <w:r>
        <w:t xml:space="preserve"> </w:t>
      </w:r>
      <w:r>
        <w:t xml:space="preserve">WAMBS</w:t>
      </w:r>
      <w:r>
        <w:t xml:space="preserve">-Checklist.”</w:t>
      </w:r>
      <w:r>
        <w:t xml:space="preserve"> </w:t>
      </w:r>
      <w:r>
        <w:rPr>
          <w:i/>
          <w:iCs/>
        </w:rPr>
        <w:t xml:space="preserve">Psychological Methods</w:t>
      </w:r>
      <w:r>
        <w:t xml:space="preserve"> </w:t>
      </w:r>
      <w:r>
        <w:t xml:space="preserve">22 (2): 240–61.</w:t>
      </w:r>
      <w:r>
        <w:t xml:space="preserve"> </w:t>
      </w:r>
      <w:hyperlink r:id="rId93">
        <w:r>
          <w:rPr>
            <w:rStyle w:val="Hyperlink"/>
          </w:rPr>
          <w:t xml:space="preserve">https://doi.org/10.1037/met0000065</w:t>
        </w:r>
      </w:hyperlink>
      <w:r>
        <w:t xml:space="preserve">.</w:t>
      </w:r>
    </w:p>
    <w:bookmarkEnd w:id="94"/>
    <w:bookmarkStart w:id="96" w:name="ref-dick2019"/>
    <w:p>
      <w:pPr>
        <w:pStyle w:val="Bibliography"/>
      </w:pPr>
      <w:r>
        <w:t xml:space="preserve">Dick, Anthony Steven, Nelcida L. Garcia, Shannon M. Pruden, et al. 2019.</w:t>
      </w:r>
      <w:r>
        <w:t xml:space="preserve"> </w:t>
      </w:r>
      <w:r>
        <w:t xml:space="preserve">“No Evidence for a Bilingual Executive Function Advantage in the</w:t>
      </w:r>
      <w:r>
        <w:t xml:space="preserve"> </w:t>
      </w:r>
      <w:r>
        <w:t xml:space="preserve">ABCD</w:t>
      </w:r>
      <w:r>
        <w:t xml:space="preserve"> </w:t>
      </w:r>
      <w:r>
        <w:t xml:space="preserve">Study.”</w:t>
      </w:r>
      <w:r>
        <w:t xml:space="preserve"> </w:t>
      </w:r>
      <w:r>
        <w:rPr>
          <w:i/>
          <w:iCs/>
        </w:rPr>
        <w:t xml:space="preserve">Nature Human Behaviour</w:t>
      </w:r>
      <w:r>
        <w:t xml:space="preserve"> </w:t>
      </w:r>
      <w:r>
        <w:t xml:space="preserve">3 (7): 692–701.</w:t>
      </w:r>
      <w:r>
        <w:t xml:space="preserve"> </w:t>
      </w:r>
      <w:hyperlink r:id="rId95">
        <w:r>
          <w:rPr>
            <w:rStyle w:val="Hyperlink"/>
          </w:rPr>
          <w:t xml:space="preserve">https://doi.org/10.1038/s41562-019-0609-3</w:t>
        </w:r>
      </w:hyperlink>
      <w:r>
        <w:t xml:space="preserve">.</w:t>
      </w:r>
    </w:p>
    <w:bookmarkEnd w:id="96"/>
    <w:bookmarkStart w:id="98" w:name="ref-donoghue2020"/>
    <w:p>
      <w:pPr>
        <w:pStyle w:val="Bibliography"/>
      </w:pPr>
      <w:r>
        <w:t xml:space="preserve">Donoghue, Thomas, Matar Haller, Erik J. Peterson, et al. 2020.</w:t>
      </w:r>
      <w:r>
        <w:t xml:space="preserve"> </w:t>
      </w:r>
      <w:r>
        <w:t xml:space="preserve">“Parameterizing Neural Power Spectra into Periodic and Aperiodic Components.”</w:t>
      </w:r>
      <w:r>
        <w:t xml:space="preserve"> </w:t>
      </w:r>
      <w:r>
        <w:rPr>
          <w:i/>
          <w:iCs/>
        </w:rPr>
        <w:t xml:space="preserve">Nature Neuroscience</w:t>
      </w:r>
      <w:r>
        <w:t xml:space="preserve"> </w:t>
      </w:r>
      <w:r>
        <w:t xml:space="preserve">23 (12): 1655–65.</w:t>
      </w:r>
      <w:r>
        <w:t xml:space="preserve"> </w:t>
      </w:r>
      <w:hyperlink r:id="rId97">
        <w:r>
          <w:rPr>
            <w:rStyle w:val="Hyperlink"/>
          </w:rPr>
          <w:t xml:space="preserve">https://doi.org/10.1038/s41593-020-00744-x</w:t>
        </w:r>
      </w:hyperlink>
      <w:r>
        <w:t xml:space="preserve">.</w:t>
      </w:r>
    </w:p>
    <w:bookmarkEnd w:id="98"/>
    <w:bookmarkStart w:id="100" w:name="ref-draheim2019"/>
    <w:p>
      <w:pPr>
        <w:pStyle w:val="Bibliography"/>
      </w:pPr>
      <w:r>
        <w:t xml:space="preserve">Draheim, Christopher, Cody A. Mashburn, Jessie D. Martin, and Randall W. Engle. 2019.</w:t>
      </w:r>
      <w:r>
        <w:t xml:space="preserve"> </w:t>
      </w:r>
      <w:r>
        <w:t xml:space="preserve">“Reaction Time in Differential and Developmental Research: A Review and Commentary on the Problems and Alternatives.”</w:t>
      </w:r>
      <w:r>
        <w:t xml:space="preserve"> </w:t>
      </w:r>
      <w:r>
        <w:rPr>
          <w:i/>
          <w:iCs/>
        </w:rPr>
        <w:t xml:space="preserve">Psychological Bulletin</w:t>
      </w:r>
      <w:r>
        <w:t xml:space="preserve"> </w:t>
      </w:r>
      <w:r>
        <w:t xml:space="preserve">145 (5): 508–35.</w:t>
      </w:r>
      <w:r>
        <w:t xml:space="preserve"> </w:t>
      </w:r>
      <w:hyperlink r:id="rId99">
        <w:r>
          <w:rPr>
            <w:rStyle w:val="Hyperlink"/>
          </w:rPr>
          <w:t xml:space="preserve">https://doi.org/10.1037/bul0000192</w:t>
        </w:r>
      </w:hyperlink>
      <w:r>
        <w:t xml:space="preserve">.</w:t>
      </w:r>
    </w:p>
    <w:bookmarkEnd w:id="100"/>
    <w:bookmarkStart w:id="102" w:name="ref-euler2024"/>
    <w:p>
      <w:pPr>
        <w:pStyle w:val="Bibliography"/>
      </w:pPr>
      <w:r>
        <w:t xml:space="preserve">Euler, Matthew J., Julia V. Vehar, Jasmin E. Guevara, Allie R. Geiger, Pascal R. Deboeck, and Keith R. Lohse. 2024.</w:t>
      </w:r>
      <w:r>
        <w:t xml:space="preserve"> </w:t>
      </w:r>
      <w:r>
        <w:t xml:space="preserve">“Associations Between the Resting</w:t>
      </w:r>
      <w:r>
        <w:t xml:space="preserve"> </w:t>
      </w:r>
      <w:r>
        <w:t xml:space="preserve">EEG</w:t>
      </w:r>
      <w:r>
        <w:t xml:space="preserve"> </w:t>
      </w:r>
      <w:r>
        <w:t xml:space="preserve">Aperiodic Slope and Broad Domains of Cognitive Ability.”</w:t>
      </w:r>
      <w:r>
        <w:t xml:space="preserve"> </w:t>
      </w:r>
      <w:r>
        <w:rPr>
          <w:i/>
          <w:iCs/>
        </w:rPr>
        <w:t xml:space="preserve">Psychophysiology</w:t>
      </w:r>
      <w:r>
        <w:t xml:space="preserve"> </w:t>
      </w:r>
      <w:r>
        <w:t xml:space="preserve">61 (6): e14543.</w:t>
      </w:r>
      <w:r>
        <w:t xml:space="preserve"> </w:t>
      </w:r>
      <w:hyperlink r:id="rId101">
        <w:r>
          <w:rPr>
            <w:rStyle w:val="Hyperlink"/>
          </w:rPr>
          <w:t xml:space="preserve">https://doi.org/10.1111/psyp.14543</w:t>
        </w:r>
      </w:hyperlink>
      <w:r>
        <w:t xml:space="preserve">.</w:t>
      </w:r>
    </w:p>
    <w:bookmarkEnd w:id="102"/>
    <w:bookmarkStart w:id="104" w:name="ref-farkas2024"/>
    <w:p>
      <w:pPr>
        <w:pStyle w:val="Bibliography"/>
      </w:pPr>
      <w:r>
        <w:t xml:space="preserve">Farkas, Bence C., Attila Krajcsi, Karolina Janacsek, and Dezso Nemeth. 2024.</w:t>
      </w:r>
      <w:r>
        <w:t xml:space="preserve"> </w:t>
      </w:r>
      <w:r>
        <w:t xml:space="preserve">“The Complexity of Measuring Reliability in Learning Tasks: An Illustration Using the</w:t>
      </w:r>
      <w:r>
        <w:t xml:space="preserve"> </w:t>
      </w:r>
      <w:r>
        <w:t xml:space="preserve">Alternating Serial Reaction Time Task</w:t>
      </w:r>
      <w:r>
        <w:t xml:space="preserve">.”</w:t>
      </w:r>
      <w:r>
        <w:t xml:space="preserve"> </w:t>
      </w:r>
      <w:r>
        <w:rPr>
          <w:i/>
          <w:iCs/>
        </w:rPr>
        <w:t xml:space="preserve">Behavior Research Methods</w:t>
      </w:r>
      <w:r>
        <w:t xml:space="preserve"> </w:t>
      </w:r>
      <w:r>
        <w:t xml:space="preserve">56 (1): 301–17.</w:t>
      </w:r>
      <w:r>
        <w:t xml:space="preserve"> </w:t>
      </w:r>
      <w:hyperlink r:id="rId103">
        <w:r>
          <w:rPr>
            <w:rStyle w:val="Hyperlink"/>
          </w:rPr>
          <w:t xml:space="preserve">https://doi.org/10.3758/s13428-022-02038-5</w:t>
        </w:r>
      </w:hyperlink>
      <w:r>
        <w:t xml:space="preserve">.</w:t>
      </w:r>
    </w:p>
    <w:bookmarkEnd w:id="104"/>
    <w:bookmarkStart w:id="106" w:name="ref-gabry2019"/>
    <w:p>
      <w:pPr>
        <w:pStyle w:val="Bibliography"/>
      </w:pPr>
      <w:r>
        <w:t xml:space="preserve">Gabry, Jonah, Daniel Simpson, Aki Vehtari, Michael Betancourt, and Andrew Gelman. 2019.</w:t>
      </w:r>
      <w:r>
        <w:t xml:space="preserve"> </w:t>
      </w:r>
      <w:r>
        <w:t xml:space="preserve">“Visualization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 </w:t>
      </w:r>
      <w:r>
        <w:t xml:space="preserve">182 (2): 389–402.</w:t>
      </w:r>
      <w:r>
        <w:t xml:space="preserve"> </w:t>
      </w:r>
      <w:hyperlink r:id="rId105">
        <w:r>
          <w:rPr>
            <w:rStyle w:val="Hyperlink"/>
          </w:rPr>
          <w:t xml:space="preserve">https://doi.org/10.1111/rssa.12378</w:t>
        </w:r>
      </w:hyperlink>
      <w:r>
        <w:t xml:space="preserve">.</w:t>
      </w:r>
    </w:p>
    <w:bookmarkEnd w:id="106"/>
    <w:bookmarkStart w:id="108" w:name="ref-gao2017"/>
    <w:p>
      <w:pPr>
        <w:pStyle w:val="Bibliography"/>
      </w:pPr>
      <w:r>
        <w:t xml:space="preserve">Gao, Richard, Erik J. Peterson, and Bradley Voytek. 2017.</w:t>
      </w:r>
      <w:r>
        <w:t xml:space="preserve"> </w:t>
      </w:r>
      <w:r>
        <w:t xml:space="preserve">“Inferring Synaptic Excitation/Inhibition Balance from Field Potentials.”</w:t>
      </w:r>
      <w:r>
        <w:t xml:space="preserve"> </w:t>
      </w:r>
      <w:r>
        <w:rPr>
          <w:i/>
          <w:iCs/>
        </w:rPr>
        <w:t xml:space="preserve">NeuroImage</w:t>
      </w:r>
      <w:r>
        <w:t xml:space="preserve"> </w:t>
      </w:r>
      <w:r>
        <w:t xml:space="preserve">158: 70–78.</w:t>
      </w:r>
      <w:r>
        <w:t xml:space="preserve"> </w:t>
      </w:r>
      <w:hyperlink r:id="rId107">
        <w:r>
          <w:rPr>
            <w:rStyle w:val="Hyperlink"/>
          </w:rPr>
          <w:t xml:space="preserve">https://doi.org/10.1016/j.neuroimage.2017.06.078</w:t>
        </w:r>
      </w:hyperlink>
      <w:r>
        <w:t xml:space="preserve">.</w:t>
      </w:r>
    </w:p>
    <w:bookmarkEnd w:id="108"/>
    <w:bookmarkStart w:id="110" w:name="ref-gelman2005"/>
    <w:p>
      <w:pPr>
        <w:pStyle w:val="Bibliography"/>
      </w:pPr>
      <w:r>
        <w:t xml:space="preserve">Gelman, Andrew. 2005.</w:t>
      </w:r>
      <w:r>
        <w:t xml:space="preserve"> </w:t>
      </w:r>
      <w:r>
        <w:t xml:space="preserve">“Two-Stage Regression and Multilevel Modeling: A Commentary.”</w:t>
      </w:r>
      <w:r>
        <w:t xml:space="preserve"> </w:t>
      </w:r>
      <w:r>
        <w:rPr>
          <w:i/>
          <w:iCs/>
        </w:rPr>
        <w:t xml:space="preserve">Political Analysis</w:t>
      </w:r>
      <w:r>
        <w:t xml:space="preserve"> </w:t>
      </w:r>
      <w:r>
        <w:t xml:space="preserve">13 (4): 459–61.</w:t>
      </w:r>
      <w:r>
        <w:t xml:space="preserve"> </w:t>
      </w:r>
      <w:hyperlink r:id="rId109">
        <w:r>
          <w:rPr>
            <w:rStyle w:val="Hyperlink"/>
          </w:rPr>
          <w:t xml:space="preserve">https://doi.org/10.1093/pan/mpi032</w:t>
        </w:r>
      </w:hyperlink>
      <w:r>
        <w:t xml:space="preserve">.</w:t>
      </w:r>
    </w:p>
    <w:bookmarkEnd w:id="110"/>
    <w:bookmarkStart w:id="112" w:name="ref-gelman2006"/>
    <w:p>
      <w:pPr>
        <w:pStyle w:val="Bibliography"/>
      </w:pPr>
      <w:r>
        <w:t xml:space="preserve">Gelman, Andrew. 2006.</w:t>
      </w:r>
      <w:r>
        <w:t xml:space="preserve"> </w:t>
      </w:r>
      <w:r>
        <w:t xml:space="preserve">“Prior Distributions for Variance Parameters in Hierarchical Models (Comment on Article by</w:t>
      </w:r>
      <w:r>
        <w:t xml:space="preserve"> </w:t>
      </w:r>
      <w:r>
        <w:t xml:space="preserve">B</w:t>
      </w:r>
      <w:r>
        <w:t xml:space="preserve">rowne and</w:t>
      </w:r>
      <w:r>
        <w:t xml:space="preserve"> </w:t>
      </w:r>
      <w:r>
        <w:t xml:space="preserve">D</w:t>
      </w:r>
      <w:r>
        <w:t xml:space="preserve">raper).”</w:t>
      </w:r>
      <w:r>
        <w:t xml:space="preserve"> </w:t>
      </w:r>
      <w:r>
        <w:rPr>
          <w:i/>
          <w:iCs/>
        </w:rPr>
        <w:t xml:space="preserve">Bayesian Analysis</w:t>
      </w:r>
      <w:r>
        <w:t xml:space="preserve"> </w:t>
      </w:r>
      <w:r>
        <w:t xml:space="preserve">1 (3): 515–34.</w:t>
      </w:r>
      <w:r>
        <w:t xml:space="preserve"> </w:t>
      </w:r>
      <w:hyperlink r:id="rId111">
        <w:r>
          <w:rPr>
            <w:rStyle w:val="Hyperlink"/>
          </w:rPr>
          <w:t xml:space="preserve">https://doi.org/10.1214/06-BA117A</w:t>
        </w:r>
      </w:hyperlink>
      <w:r>
        <w:t xml:space="preserve">.</w:t>
      </w:r>
    </w:p>
    <w:bookmarkEnd w:id="112"/>
    <w:bookmarkStart w:id="114" w:name="ref-gelmancarlin2014"/>
    <w:p>
      <w:pPr>
        <w:pStyle w:val="Bibliography"/>
      </w:pPr>
      <w:r>
        <w:t xml:space="preserve">Gelman, Andrew, and John Carlin. 2014.</w:t>
      </w:r>
      <w:r>
        <w:t xml:space="preserve"> </w:t>
      </w:r>
      <w:r>
        <w:t xml:space="preserve">“Beyond Power Calculations: Assessing</w:t>
      </w:r>
      <w:r>
        <w:t xml:space="preserve"> </w:t>
      </w:r>
      <w:r>
        <w:t xml:space="preserve">Type S</w:t>
      </w:r>
      <w:r>
        <w:t xml:space="preserve"> </w:t>
      </w:r>
      <w:r>
        <w:t xml:space="preserve">(Sign) and</w:t>
      </w:r>
      <w:r>
        <w:t xml:space="preserve"> </w:t>
      </w:r>
      <w:r>
        <w:t xml:space="preserve">Type M</w:t>
      </w:r>
      <w:r>
        <w:t xml:space="preserve"> </w:t>
      </w:r>
      <w:r>
        <w:t xml:space="preserve">(Magnitude) Errors.”</w:t>
      </w:r>
      <w:r>
        <w:t xml:space="preserve"> </w:t>
      </w:r>
      <w:r>
        <w:rPr>
          <w:i/>
          <w:iCs/>
        </w:rPr>
        <w:t xml:space="preserve">Perspectives on Psychological Science</w:t>
      </w:r>
      <w:r>
        <w:t xml:space="preserve"> </w:t>
      </w:r>
      <w:r>
        <w:t xml:space="preserve">9 (6): 641–51.</w:t>
      </w:r>
      <w:r>
        <w:t xml:space="preserve"> </w:t>
      </w:r>
      <w:hyperlink r:id="rId113">
        <w:r>
          <w:rPr>
            <w:rStyle w:val="Hyperlink"/>
          </w:rPr>
          <w:t xml:space="preserve">https://doi.org/10.1177/1745691614551642</w:t>
        </w:r>
      </w:hyperlink>
      <w:r>
        <w:t xml:space="preserve">.</w:t>
      </w:r>
    </w:p>
    <w:bookmarkEnd w:id="114"/>
    <w:bookmarkStart w:id="116" w:name="ref-gelmanhill2007"/>
    <w:p>
      <w:pPr>
        <w:pStyle w:val="Bibliography"/>
      </w:pPr>
      <w:r>
        <w:t xml:space="preserve">Gelman, Andrew, and Jennifer Hill. 2006.</w:t>
      </w:r>
      <w:r>
        <w:t xml:space="preserve"> </w:t>
      </w:r>
      <w:r>
        <w:rPr>
          <w:i/>
          <w:iCs/>
        </w:rPr>
        <w:t xml:space="preserve">Data Analysis Using Regression and Multilevel/Hierarchical Models</w:t>
      </w:r>
      <w:r>
        <w:t xml:space="preserve">. Cambridge University Press.</w:t>
      </w:r>
      <w:r>
        <w:t xml:space="preserve"> </w:t>
      </w:r>
      <w:hyperlink r:id="rId115">
        <w:r>
          <w:rPr>
            <w:rStyle w:val="Hyperlink"/>
          </w:rPr>
          <w:t xml:space="preserve">https://doi.org/10.1017/CBO9780511790942</w:t>
        </w:r>
      </w:hyperlink>
      <w:r>
        <w:t xml:space="preserve">.</w:t>
      </w:r>
    </w:p>
    <w:bookmarkEnd w:id="116"/>
    <w:bookmarkStart w:id="118" w:name="ref-gelman2008"/>
    <w:p>
      <w:pPr>
        <w:pStyle w:val="Bibliography"/>
      </w:pPr>
      <w:r>
        <w:t xml:space="preserve">Gelman, Andrew, Aleks Jakulin, Maria Grazia Pittau, and Yu-Sung Su. 2008.</w:t>
      </w:r>
      <w:r>
        <w:t xml:space="preserve"> </w:t>
      </w:r>
      <w:r>
        <w:t xml:space="preserve">“A Weakly Informative Default Prior Distribution for Logistic and Other Regression Models.”</w:t>
      </w:r>
      <w:r>
        <w:t xml:space="preserve"> </w:t>
      </w:r>
      <w:r>
        <w:rPr>
          <w:i/>
          <w:iCs/>
        </w:rPr>
        <w:t xml:space="preserve">The Annals of Applied Statistics</w:t>
      </w:r>
      <w:r>
        <w:t xml:space="preserve"> </w:t>
      </w:r>
      <w:r>
        <w:t xml:space="preserve">2 (4): 1360–83.</w:t>
      </w:r>
      <w:r>
        <w:t xml:space="preserve"> </w:t>
      </w:r>
      <w:hyperlink r:id="rId117">
        <w:r>
          <w:rPr>
            <w:rStyle w:val="Hyperlink"/>
          </w:rPr>
          <w:t xml:space="preserve">https://doi.org/10.1214/08-AOAS191</w:t>
        </w:r>
      </w:hyperlink>
      <w:r>
        <w:t xml:space="preserve">.</w:t>
      </w:r>
    </w:p>
    <w:bookmarkEnd w:id="118"/>
    <w:bookmarkStart w:id="120" w:name="ref-gerster2022"/>
    <w:p>
      <w:pPr>
        <w:pStyle w:val="Bibliography"/>
      </w:pPr>
      <w:r>
        <w:t xml:space="preserve">Gerster, Moritz, Gunnar Waterstraat, Vladimir Litvak, et al. 2022.</w:t>
      </w:r>
      <w:r>
        <w:t xml:space="preserve"> </w:t>
      </w:r>
      <w:r>
        <w:t xml:space="preserve">“Separating Neural Oscillations from Aperiodic 1/f Activity: Challenges and Recommendations.”</w:t>
      </w:r>
      <w:r>
        <w:t xml:space="preserve"> </w:t>
      </w:r>
      <w:r>
        <w:rPr>
          <w:i/>
          <w:iCs/>
        </w:rPr>
        <w:t xml:space="preserve">Neuroinformatics</w:t>
      </w:r>
      <w:r>
        <w:t xml:space="preserve"> </w:t>
      </w:r>
      <w:r>
        <w:t xml:space="preserve">20 (4): 991–1012.</w:t>
      </w:r>
      <w:r>
        <w:t xml:space="preserve"> </w:t>
      </w:r>
      <w:hyperlink r:id="rId119">
        <w:r>
          <w:rPr>
            <w:rStyle w:val="Hyperlink"/>
          </w:rPr>
          <w:t xml:space="preserve">https://doi.org/10.1007/s12021-022-09581-8</w:t>
        </w:r>
      </w:hyperlink>
      <w:r>
        <w:t xml:space="preserve">.</w:t>
      </w:r>
    </w:p>
    <w:bookmarkEnd w:id="120"/>
    <w:bookmarkStart w:id="122" w:name="ref-gonzalezalonso2025"/>
    <w:p>
      <w:pPr>
        <w:pStyle w:val="Bibliography"/>
      </w:pPr>
      <w:r>
        <w:t xml:space="preserve">González Alonso, Jorge, Pablo Bernabeu, Gabriella Silva, et al. 2025.</w:t>
      </w:r>
      <w:r>
        <w:t xml:space="preserve"> </w:t>
      </w:r>
      <w:r>
        <w:t xml:space="preserve">“Starting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 </w:t>
      </w:r>
      <w:r>
        <w:t xml:space="preserve">22 (1): 119–42.</w:t>
      </w:r>
      <w:r>
        <w:t xml:space="preserve"> </w:t>
      </w:r>
      <w:hyperlink r:id="rId121">
        <w:r>
          <w:rPr>
            <w:rStyle w:val="Hyperlink"/>
          </w:rPr>
          <w:t xml:space="preserve">https://doi.org/10.1080/14790718.2024.2415993</w:t>
        </w:r>
      </w:hyperlink>
      <w:r>
        <w:t xml:space="preserve">.</w:t>
      </w:r>
    </w:p>
    <w:bookmarkEnd w:id="122"/>
    <w:bookmarkStart w:id="124" w:name="ref-grandy2013"/>
    <w:p>
      <w:pPr>
        <w:pStyle w:val="Bibliography"/>
      </w:pPr>
      <w:r>
        <w:t xml:space="preserve">Grandy, Thomas H., Markus Werkle-Bergner, Christian Chicherio, Martin Lövdén, Florian Schmiedek, and Ulman Lindenberger. 2013.</w:t>
      </w:r>
      <w:r>
        <w:t xml:space="preserve"> </w:t>
      </w:r>
      <w:r>
        <w:t xml:space="preserve">“Individual Alpha Peak Frequency Is Related to Latent Factors of General Cognitive Abilities.”</w:t>
      </w:r>
      <w:r>
        <w:t xml:space="preserve"> </w:t>
      </w:r>
      <w:r>
        <w:rPr>
          <w:i/>
          <w:iCs/>
        </w:rPr>
        <w:t xml:space="preserve">NeuroImage</w:t>
      </w:r>
      <w:r>
        <w:t xml:space="preserve"> </w:t>
      </w:r>
      <w:r>
        <w:t xml:space="preserve">79: 10–18.</w:t>
      </w:r>
      <w:r>
        <w:t xml:space="preserve"> </w:t>
      </w:r>
      <w:hyperlink r:id="rId123">
        <w:r>
          <w:rPr>
            <w:rStyle w:val="Hyperlink"/>
          </w:rPr>
          <w:t xml:space="preserve">https://doi.org/10.1016/j.neuroimage.2013.04.059</w:t>
        </w:r>
      </w:hyperlink>
      <w:r>
        <w:t xml:space="preserve">.</w:t>
      </w:r>
    </w:p>
    <w:bookmarkEnd w:id="124"/>
    <w:bookmarkStart w:id="126" w:name="ref-grandy2013trait"/>
    <w:p>
      <w:pPr>
        <w:pStyle w:val="Bibliography"/>
      </w:pPr>
      <w:r>
        <w:t xml:space="preserve">Grandy, Thomas H., Markus Werkle-Bergner, Christian Chicherio, Florian Schmiedek, Martin Lövdén, and Ulman Lindenberger. 2013.</w:t>
      </w:r>
      <w:r>
        <w:t xml:space="preserve"> </w:t>
      </w:r>
      <w:r>
        <w:t xml:space="preserve">“Peak Individual Alpha Frequency Qualifies as a Stable Neurophysiological Trait Marker in Healthy Younger and Older Adults.”</w:t>
      </w:r>
      <w:r>
        <w:t xml:space="preserve"> </w:t>
      </w:r>
      <w:r>
        <w:rPr>
          <w:i/>
          <w:iCs/>
        </w:rPr>
        <w:t xml:space="preserve">Psychophysiology</w:t>
      </w:r>
      <w:r>
        <w:t xml:space="preserve"> </w:t>
      </w:r>
      <w:r>
        <w:t xml:space="preserve">50 (6): 570–82.</w:t>
      </w:r>
      <w:r>
        <w:t xml:space="preserve"> </w:t>
      </w:r>
      <w:hyperlink r:id="rId125">
        <w:r>
          <w:rPr>
            <w:rStyle w:val="Hyperlink"/>
          </w:rPr>
          <w:t xml:space="preserve">https://doi.org/10.1111/psyp.12043</w:t>
        </w:r>
      </w:hyperlink>
      <w:r>
        <w:t xml:space="preserve">.</w:t>
      </w:r>
    </w:p>
    <w:bookmarkEnd w:id="126"/>
    <w:bookmarkStart w:id="128" w:name="ref-grossmann2023"/>
    <w:p>
      <w:pPr>
        <w:pStyle w:val="Bibliography"/>
      </w:pPr>
      <w:r>
        <w:t xml:space="preserve">Grossmann, Judith Alina, Steffen Aschenbrenner, Birgit Teichmann, and Patric Meyer. 2023.</w:t>
      </w:r>
      <w:r>
        <w:t xml:space="preserve"> </w:t>
      </w:r>
      <w:r>
        <w:t xml:space="preserve">“Foreign Language Learning Can Improve Response Inhibition in Individuals with Lower Baseline Cognition: Results from a Randomized Controlled Superiority Trial.”</w:t>
      </w:r>
      <w:r>
        <w:t xml:space="preserve"> </w:t>
      </w:r>
      <w:r>
        <w:rPr>
          <w:i/>
          <w:iCs/>
        </w:rPr>
        <w:t xml:space="preserve">Frontiers in Aging Neuroscience</w:t>
      </w:r>
      <w:r>
        <w:t xml:space="preserve"> </w:t>
      </w:r>
      <w:r>
        <w:t xml:space="preserve">15: 1123185.</w:t>
      </w:r>
      <w:r>
        <w:t xml:space="preserve"> </w:t>
      </w:r>
      <w:hyperlink r:id="rId127">
        <w:r>
          <w:rPr>
            <w:rStyle w:val="Hyperlink"/>
          </w:rPr>
          <w:t xml:space="preserve">https://doi.org/10.3389/fnagi.2023.1123185</w:t>
        </w:r>
      </w:hyperlink>
      <w:r>
        <w:t xml:space="preserve">.</w:t>
      </w:r>
    </w:p>
    <w:bookmarkEnd w:id="128"/>
    <w:bookmarkStart w:id="130" w:name="ref-heathcote2000"/>
    <w:p>
      <w:pPr>
        <w:pStyle w:val="Bibliography"/>
      </w:pPr>
      <w:r>
        <w:t xml:space="preserve">Heathcote, Andrew, Scott Brown, and D. J. K. Mewhort. 2000.</w:t>
      </w:r>
      <w:r>
        <w:t xml:space="preserve"> </w:t>
      </w:r>
      <w:r>
        <w:t xml:space="preserve">“The Power Law Repealed: The Case for an Exponential Law of Practice.”</w:t>
      </w:r>
      <w:r>
        <w:t xml:space="preserve"> </w:t>
      </w:r>
      <w:r>
        <w:rPr>
          <w:i/>
          <w:iCs/>
        </w:rPr>
        <w:t xml:space="preserve">Psychonomic Bulletin &amp; Review</w:t>
      </w:r>
      <w:r>
        <w:t xml:space="preserve"> </w:t>
      </w:r>
      <w:r>
        <w:t xml:space="preserve">7 (2): 185–207.</w:t>
      </w:r>
      <w:r>
        <w:t xml:space="preserve"> </w:t>
      </w:r>
      <w:hyperlink r:id="rId129">
        <w:r>
          <w:rPr>
            <w:rStyle w:val="Hyperlink"/>
          </w:rPr>
          <w:t xml:space="preserve">https://doi.org/10.3758/BF03212979</w:t>
        </w:r>
      </w:hyperlink>
      <w:r>
        <w:t xml:space="preserve">.</w:t>
      </w:r>
    </w:p>
    <w:bookmarkEnd w:id="130"/>
    <w:bookmarkStart w:id="132" w:name="ref-hedge2021"/>
    <w:p>
      <w:pPr>
        <w:pStyle w:val="Bibliography"/>
      </w:pPr>
      <w:r>
        <w:t xml:space="preserve">Hedge, Craig. 2021.</w:t>
      </w:r>
      <w:r>
        <w:t xml:space="preserve"> </w:t>
      </w:r>
      <w:r>
        <w:t xml:space="preserve">“Qualitative Individual Differences Are Useful, but Reliability Should Be Assessed and Not Assumed.”</w:t>
      </w:r>
      <w:r>
        <w:t xml:space="preserve"> </w:t>
      </w:r>
      <w:r>
        <w:rPr>
          <w:i/>
          <w:iCs/>
        </w:rPr>
        <w:t xml:space="preserve">Journal of Cognition</w:t>
      </w:r>
      <w:r>
        <w:t xml:space="preserve"> </w:t>
      </w:r>
      <w:r>
        <w:t xml:space="preserve">4 (1): 48.</w:t>
      </w:r>
      <w:r>
        <w:t xml:space="preserve"> </w:t>
      </w:r>
      <w:hyperlink r:id="rId131">
        <w:r>
          <w:rPr>
            <w:rStyle w:val="Hyperlink"/>
          </w:rPr>
          <w:t xml:space="preserve">https://doi.org/10.5334/joc.169</w:t>
        </w:r>
      </w:hyperlink>
      <w:r>
        <w:t xml:space="preserve">.</w:t>
      </w:r>
    </w:p>
    <w:bookmarkEnd w:id="132"/>
    <w:bookmarkStart w:id="134" w:name="ref-hedge2018"/>
    <w:p>
      <w:pPr>
        <w:pStyle w:val="Bibliography"/>
      </w:pPr>
      <w:r>
        <w:t xml:space="preserve">Hedge, Craig, Georgina Powell, and Petroc Sumner. 2018.</w:t>
      </w:r>
      <w:r>
        <w:t xml:space="preserve"> </w:t>
      </w:r>
      <w:r>
        <w:t xml:space="preserve">“The Reliability Paradox: Why Robust Cognitive Tasks Do Not Produce Reliable Individual Differences.”</w:t>
      </w:r>
      <w:r>
        <w:t xml:space="preserve"> </w:t>
      </w:r>
      <w:r>
        <w:rPr>
          <w:i/>
          <w:iCs/>
        </w:rPr>
        <w:t xml:space="preserve">Behavior Research Methods</w:t>
      </w:r>
      <w:r>
        <w:t xml:space="preserve"> </w:t>
      </w:r>
      <w:r>
        <w:t xml:space="preserve">50 (3): 1166–86.</w:t>
      </w:r>
      <w:r>
        <w:t xml:space="preserve"> </w:t>
      </w:r>
      <w:hyperlink r:id="rId133">
        <w:r>
          <w:rPr>
            <w:rStyle w:val="Hyperlink"/>
          </w:rPr>
          <w:t xml:space="preserve">https://doi.org/10.3758/s13428-017-0935-1</w:t>
        </w:r>
      </w:hyperlink>
      <w:r>
        <w:t xml:space="preserve">.</w:t>
      </w:r>
    </w:p>
    <w:bookmarkEnd w:id="134"/>
    <w:bookmarkStart w:id="136" w:name="ref-howard1997"/>
    <w:p>
      <w:pPr>
        <w:pStyle w:val="Bibliography"/>
      </w:pPr>
      <w:r>
        <w:t xml:space="preserve">Howard, James H., and Darlene V. Howard. 1997.</w:t>
      </w:r>
      <w:r>
        <w:t xml:space="preserve"> </w:t>
      </w:r>
      <w:r>
        <w:t xml:space="preserve">“Age Differences in Implicit Learning of Higher Order Dependencies in Serial Patterns.”</w:t>
      </w:r>
      <w:r>
        <w:t xml:space="preserve"> </w:t>
      </w:r>
      <w:r>
        <w:rPr>
          <w:i/>
          <w:iCs/>
        </w:rPr>
        <w:t xml:space="preserve">Psychology and Aging</w:t>
      </w:r>
      <w:r>
        <w:t xml:space="preserve"> </w:t>
      </w:r>
      <w:r>
        <w:t xml:space="preserve">12 (4): 634–56.</w:t>
      </w:r>
      <w:r>
        <w:t xml:space="preserve"> </w:t>
      </w:r>
      <w:hyperlink r:id="rId135">
        <w:r>
          <w:rPr>
            <w:rStyle w:val="Hyperlink"/>
          </w:rPr>
          <w:t xml:space="preserve">https://doi.org/10.1037/0882-7974.12.4.634</w:t>
        </w:r>
      </w:hyperlink>
      <w:r>
        <w:t xml:space="preserve">.</w:t>
      </w:r>
    </w:p>
    <w:bookmarkEnd w:id="136"/>
    <w:bookmarkStart w:id="138" w:name="ref-huensch2024"/>
    <w:p>
      <w:pPr>
        <w:pStyle w:val="Bibliography"/>
      </w:pPr>
      <w:r>
        <w:t xml:space="preserve">Huensch, Amanda. 2024.</w:t>
      </w:r>
      <w:r>
        <w:t xml:space="preserve"> </w:t>
      </w:r>
      <w:r>
        <w:t xml:space="preserve">“Clarifying the Role of Inhibitory Control in</w:t>
      </w:r>
      <w:r>
        <w:t xml:space="preserve"> </w:t>
      </w:r>
      <w:r>
        <w:t xml:space="preserve">L2</w:t>
      </w:r>
      <w:r>
        <w:t xml:space="preserve"> </w:t>
      </w:r>
      <w:r>
        <w:t xml:space="preserve">Phonological Processing: A Preregistered, Close Replication of</w:t>
      </w:r>
      <w:r>
        <w:t xml:space="preserve"> </w:t>
      </w:r>
      <w:r>
        <w:t xml:space="preserve">Darcy</w:t>
      </w:r>
      <w:r>
        <w:t xml:space="preserve"> </w:t>
      </w:r>
      <w:r>
        <w:t xml:space="preserve">Et Al. (2016).”</w:t>
      </w:r>
      <w:r>
        <w:t xml:space="preserve"> </w:t>
      </w:r>
      <w:r>
        <w:rPr>
          <w:i/>
          <w:iCs/>
        </w:rPr>
        <w:t xml:space="preserve">Studies in Second Language Acquisition</w:t>
      </w:r>
      <w:r>
        <w:t xml:space="preserve"> </w:t>
      </w:r>
      <w:r>
        <w:t xml:space="preserve">46 (5): 1392–412.</w:t>
      </w:r>
      <w:r>
        <w:t xml:space="preserve"> </w:t>
      </w:r>
      <w:hyperlink r:id="rId137">
        <w:r>
          <w:rPr>
            <w:rStyle w:val="Hyperlink"/>
          </w:rPr>
          <w:t xml:space="preserve">https://doi.org/10.1017/S0272263124000238</w:t>
        </w:r>
      </w:hyperlink>
      <w:r>
        <w:t xml:space="preserve">.</w:t>
      </w:r>
    </w:p>
    <w:bookmarkEnd w:id="138"/>
    <w:bookmarkStart w:id="140" w:name="ref-humberg2024"/>
    <w:p>
      <w:pPr>
        <w:pStyle w:val="Bibliography"/>
      </w:pPr>
      <w:r>
        <w:t xml:space="preserve">Humberg, Sarah, Simon Grund, and Steffen Nestler. 2024.</w:t>
      </w:r>
      <w:r>
        <w:t xml:space="preserve"> </w:t>
      </w:r>
      <w:r>
        <w:t xml:space="preserve">“Estimating Nonlinear Effects of Random Slopes: A Comparison of Multilevel Structural Equation Modeling with a Two-Step, a Single-Indicator, and a Plausible Values Approach.”</w:t>
      </w:r>
      <w:r>
        <w:t xml:space="preserve"> </w:t>
      </w:r>
      <w:r>
        <w:rPr>
          <w:i/>
          <w:iCs/>
        </w:rPr>
        <w:t xml:space="preserve">Behavior Research Methods</w:t>
      </w:r>
      <w:r>
        <w:t xml:space="preserve"> </w:t>
      </w:r>
      <w:r>
        <w:t xml:space="preserve">56 (7): 7912–38.</w:t>
      </w:r>
      <w:r>
        <w:t xml:space="preserve"> </w:t>
      </w:r>
      <w:hyperlink r:id="rId139">
        <w:r>
          <w:rPr>
            <w:rStyle w:val="Hyperlink"/>
          </w:rPr>
          <w:t xml:space="preserve">https://doi.org/10.3758/s13428-024-02462-9</w:t>
        </w:r>
      </w:hyperlink>
      <w:r>
        <w:t xml:space="preserve">.</w:t>
      </w:r>
    </w:p>
    <w:bookmarkEnd w:id="140"/>
    <w:bookmarkStart w:id="142" w:name="ref-kenanidis2026"/>
    <w:p>
      <w:pPr>
        <w:pStyle w:val="Bibliography"/>
      </w:pPr>
      <w:r>
        <w:t xml:space="preserve">Kenanidis, Panagiotis, Miquel Llompart, Diana Pili-Moss, and Ewa Dąbrowska. 2026.</w:t>
      </w:r>
      <w:r>
        <w:t xml:space="preserve"> </w:t>
      </w:r>
      <w:r>
        <w:t xml:space="preserve">“Cognitive Abilities Underlying the Earliest Stages of Second Language Acquisition: An Artificial Language Study.”</w:t>
      </w:r>
      <w:r>
        <w:t xml:space="preserve"> </w:t>
      </w:r>
      <w:r>
        <w:rPr>
          <w:i/>
          <w:iCs/>
        </w:rPr>
        <w:t xml:space="preserve">Language, Cognition and Neuroscience</w:t>
      </w:r>
      <w:r>
        <w:t xml:space="preserve"> </w:t>
      </w:r>
      <w:r>
        <w:t xml:space="preserve">41 (1): 110–35.</w:t>
      </w:r>
      <w:r>
        <w:t xml:space="preserve"> </w:t>
      </w:r>
      <w:hyperlink r:id="rId141">
        <w:r>
          <w:rPr>
            <w:rStyle w:val="Hyperlink"/>
          </w:rPr>
          <w:t xml:space="preserve">https://doi.org/10.1080/23273798.2025.2576908</w:t>
        </w:r>
      </w:hyperlink>
      <w:r>
        <w:t xml:space="preserve">.</w:t>
      </w:r>
    </w:p>
    <w:bookmarkEnd w:id="142"/>
    <w:bookmarkStart w:id="144" w:name="ref-kliesch2022"/>
    <w:p>
      <w:pPr>
        <w:pStyle w:val="Bibliography"/>
      </w:pPr>
      <w:r>
        <w:t xml:space="preserve">Kliesch, Maria, Robert Becker, and Alexis Hervais-Adelman. 2022.</w:t>
      </w:r>
      <w:r>
        <w:t xml:space="preserve"> </w:t>
      </w:r>
      <w:r>
        <w:t xml:space="preserve">“Global and Localized Network Characteristics of the Resting Brain Predict and Adapt to Foreign Language Learning in Older Adults.”</w:t>
      </w:r>
      <w:r>
        <w:t xml:space="preserve"> </w:t>
      </w:r>
      <w:r>
        <w:rPr>
          <w:i/>
          <w:iCs/>
        </w:rPr>
        <w:t xml:space="preserve">Scientific Reports</w:t>
      </w:r>
      <w:r>
        <w:t xml:space="preserve"> </w:t>
      </w:r>
      <w:r>
        <w:t xml:space="preserve">12 (1): 3633.</w:t>
      </w:r>
      <w:r>
        <w:t xml:space="preserve"> </w:t>
      </w:r>
      <w:hyperlink r:id="rId143">
        <w:r>
          <w:rPr>
            <w:rStyle w:val="Hyperlink"/>
          </w:rPr>
          <w:t xml:space="preserve">https://doi.org/10.1038/s41598-022-07629-y</w:t>
        </w:r>
      </w:hyperlink>
      <w:r>
        <w:t xml:space="preserve">.</w:t>
      </w:r>
    </w:p>
    <w:bookmarkEnd w:id="144"/>
    <w:bookmarkStart w:id="146" w:name="ref-kliesch2021"/>
    <w:p>
      <w:pPr>
        <w:pStyle w:val="Bibliography"/>
      </w:pPr>
      <w:r>
        <w:t xml:space="preserve">Kliesch, Maria, Nathalie Giroud, and Martin Meyer. 2021.</w:t>
      </w:r>
      <w:r>
        <w:t xml:space="preserve"> </w:t>
      </w:r>
      <w:r>
        <w:t xml:space="preserve">“</w:t>
      </w:r>
      <w:r>
        <w:t xml:space="preserve">EEG</w:t>
      </w:r>
      <w:r>
        <w:t xml:space="preserve"> </w:t>
      </w:r>
      <w:r>
        <w:t xml:space="preserve">Resting-State and Event-Related Potentials as Markers of Learning Success in Older Adults Following Second Language Training: A Pilot Study.”</w:t>
      </w:r>
      <w:r>
        <w:t xml:space="preserve"> </w:t>
      </w:r>
      <w:r>
        <w:rPr>
          <w:i/>
          <w:iCs/>
        </w:rPr>
        <w:t xml:space="preserve">Brain Plasticity</w:t>
      </w:r>
      <w:r>
        <w:t xml:space="preserve"> </w:t>
      </w:r>
      <w:r>
        <w:t xml:space="preserve">7 (2): 143–62.</w:t>
      </w:r>
      <w:r>
        <w:t xml:space="preserve"> </w:t>
      </w:r>
      <w:hyperlink r:id="rId145">
        <w:r>
          <w:rPr>
            <w:rStyle w:val="Hyperlink"/>
          </w:rPr>
          <w:t xml:space="preserve">https://doi.org/10.3233/bpl-200117</w:t>
        </w:r>
      </w:hyperlink>
      <w:r>
        <w:t xml:space="preserve">.</w:t>
      </w:r>
    </w:p>
    <w:bookmarkEnd w:id="146"/>
    <w:bookmarkStart w:id="148" w:name="ref-klimesch1999"/>
    <w:p>
      <w:pPr>
        <w:pStyle w:val="Bibliography"/>
      </w:pPr>
      <w:r>
        <w:t xml:space="preserve">Klimesch, Wolfgang. 1999.</w:t>
      </w:r>
      <w:r>
        <w:t xml:space="preserve"> </w:t>
      </w:r>
      <w:r>
        <w:t xml:space="preserve">“</w:t>
      </w:r>
      <w:r>
        <w:t xml:space="preserve">EEG</w:t>
      </w:r>
      <w:r>
        <w:t xml:space="preserve"> </w:t>
      </w:r>
      <w:r>
        <w:t xml:space="preserve">Alpha and Theta Oscillations Reflect Cognitive and Memory Performance: A Review and Analysis.”</w:t>
      </w:r>
      <w:r>
        <w:t xml:space="preserve"> </w:t>
      </w:r>
      <w:r>
        <w:rPr>
          <w:i/>
          <w:iCs/>
        </w:rPr>
        <w:t xml:space="preserve">Brain Research Reviews</w:t>
      </w:r>
      <w:r>
        <w:t xml:space="preserve"> </w:t>
      </w:r>
      <w:r>
        <w:t xml:space="preserve">29 (2-3): 169–95.</w:t>
      </w:r>
      <w:r>
        <w:t xml:space="preserve"> </w:t>
      </w:r>
      <w:hyperlink r:id="rId147">
        <w:r>
          <w:rPr>
            <w:rStyle w:val="Hyperlink"/>
          </w:rPr>
          <w:t xml:space="preserve">https://doi.org/10.1016/S0165-0173(98)00056-3</w:t>
        </w:r>
      </w:hyperlink>
      <w:r>
        <w:t xml:space="preserve">.</w:t>
      </w:r>
    </w:p>
    <w:bookmarkEnd w:id="148"/>
    <w:bookmarkStart w:id="150" w:name="ref-kruschke2021"/>
    <w:p>
      <w:pPr>
        <w:pStyle w:val="Bibliography"/>
      </w:pPr>
      <w:r>
        <w:t xml:space="preserve">Kruschke, John K. 2021.</w:t>
      </w:r>
      <w:r>
        <w:t xml:space="preserve"> </w:t>
      </w:r>
      <w:r>
        <w:t xml:space="preserve">“</w:t>
      </w:r>
      <w:r>
        <w:t xml:space="preserve">Bayesian</w:t>
      </w:r>
      <w:r>
        <w:t xml:space="preserve"> </w:t>
      </w:r>
      <w:r>
        <w:t xml:space="preserve">Analysis Reporting Guidelines.”</w:t>
      </w:r>
      <w:r>
        <w:t xml:space="preserve"> </w:t>
      </w:r>
      <w:r>
        <w:rPr>
          <w:i/>
          <w:iCs/>
        </w:rPr>
        <w:t xml:space="preserve">Nature Human Behaviour</w:t>
      </w:r>
      <w:r>
        <w:t xml:space="preserve"> </w:t>
      </w:r>
      <w:r>
        <w:t xml:space="preserve">5 (10): 1282–91.</w:t>
      </w:r>
      <w:r>
        <w:t xml:space="preserve"> </w:t>
      </w:r>
      <w:hyperlink r:id="rId149">
        <w:r>
          <w:rPr>
            <w:rStyle w:val="Hyperlink"/>
          </w:rPr>
          <w:t xml:space="preserve">https://doi.org/10.1038/s41562-021-01177-7</w:t>
        </w:r>
      </w:hyperlink>
      <w:r>
        <w:t xml:space="preserve">.</w:t>
      </w:r>
    </w:p>
    <w:bookmarkEnd w:id="150"/>
    <w:bookmarkStart w:id="152" w:name="ref-kruschke2018"/>
    <w:p>
      <w:pPr>
        <w:pStyle w:val="Bibliography"/>
      </w:pPr>
      <w:r>
        <w:t xml:space="preserve">Kruschke, John K., and Torrin M. Liddell. 2018.</w:t>
      </w:r>
      <w:r>
        <w:t xml:space="preserve"> </w:t>
      </w:r>
      <w:r>
        <w:t xml:space="preserve">“The</w:t>
      </w:r>
      <w:r>
        <w:t xml:space="preserve"> </w:t>
      </w:r>
      <w:r>
        <w:t xml:space="preserve">Bayesian</w:t>
      </w:r>
      <w:r>
        <w:t xml:space="preserve"> </w:t>
      </w:r>
      <w:r>
        <w:t xml:space="preserve">New</w:t>
      </w:r>
      <w:r>
        <w:t xml:space="preserve"> </w:t>
      </w:r>
      <w:r>
        <w:t xml:space="preserve">Statistics</w:t>
      </w:r>
      <w:r>
        <w:t xml:space="preserve">: Hypothesis Testing, Estimation, Meta-Analysis, and Power Analysis from a</w:t>
      </w:r>
      <w:r>
        <w:t xml:space="preserve"> </w:t>
      </w:r>
      <w:r>
        <w:t xml:space="preserve">Bayesian</w:t>
      </w:r>
      <w:r>
        <w:t xml:space="preserve"> </w:t>
      </w:r>
      <w:r>
        <w:t xml:space="preserve">Perspective.”</w:t>
      </w:r>
      <w:r>
        <w:t xml:space="preserve"> </w:t>
      </w:r>
      <w:r>
        <w:rPr>
          <w:i/>
          <w:iCs/>
        </w:rPr>
        <w:t xml:space="preserve">Psychonomic Bulletin &amp; Review</w:t>
      </w:r>
      <w:r>
        <w:t xml:space="preserve"> </w:t>
      </w:r>
      <w:r>
        <w:t xml:space="preserve">25 (1): 178–206.</w:t>
      </w:r>
      <w:r>
        <w:t xml:space="preserve"> </w:t>
      </w:r>
      <w:hyperlink r:id="rId151">
        <w:r>
          <w:rPr>
            <w:rStyle w:val="Hyperlink"/>
          </w:rPr>
          <w:t xml:space="preserve">https://doi.org/10.3758/s13423-016-1221-4</w:t>
        </w:r>
      </w:hyperlink>
      <w:r>
        <w:t xml:space="preserve">.</w:t>
      </w:r>
    </w:p>
    <w:bookmarkEnd w:id="152"/>
    <w:bookmarkStart w:id="154" w:name="ref-kurokawa2026"/>
    <w:p>
      <w:pPr>
        <w:pStyle w:val="Bibliography"/>
      </w:pPr>
      <w:r>
        <w:t xml:space="preserve">Kurokawa, Satsuki. 2026.</w:t>
      </w:r>
      <w:r>
        <w:t xml:space="preserve"> </w:t>
      </w:r>
      <w:r>
        <w:t xml:space="preserve">“Revisiting the Effects of Phonological Short-Term Memory on Second Language Vocabulary Acquisition: A Meta-Analysis.”</w:t>
      </w:r>
      <w:r>
        <w:t xml:space="preserve"> </w:t>
      </w:r>
      <w:r>
        <w:rPr>
          <w:i/>
          <w:iCs/>
        </w:rPr>
        <w:t xml:space="preserve">ITL – International Journal of Applied Linguistics</w:t>
      </w:r>
      <w:r>
        <w:t xml:space="preserve">, Advance online publication.</w:t>
      </w:r>
      <w:r>
        <w:t xml:space="preserve"> </w:t>
      </w:r>
      <w:hyperlink r:id="rId153">
        <w:r>
          <w:rPr>
            <w:rStyle w:val="Hyperlink"/>
          </w:rPr>
          <w:t xml:space="preserve">https://doi.org/10.1075/itl.25009.kur</w:t>
        </w:r>
      </w:hyperlink>
      <w:r>
        <w:t xml:space="preserve">.</w:t>
      </w:r>
    </w:p>
    <w:bookmarkEnd w:id="154"/>
    <w:bookmarkStart w:id="156" w:name="ref-lewandowski2009"/>
    <w:p>
      <w:pPr>
        <w:pStyle w:val="Bibliography"/>
      </w:pPr>
      <w:r>
        <w:t xml:space="preserve">Lewandowski, Daniel, Dorota Kurowicka, and Harry Joe. 2009.</w:t>
      </w:r>
      <w:r>
        <w:t xml:space="preserve"> </w:t>
      </w:r>
      <w:r>
        <w:t xml:space="preserve">“Generating Random Correlation Matrices Based on Vines and Extended Onion Method.”</w:t>
      </w:r>
      <w:r>
        <w:t xml:space="preserve"> </w:t>
      </w:r>
      <w:r>
        <w:rPr>
          <w:i/>
          <w:iCs/>
        </w:rPr>
        <w:t xml:space="preserve">Journal of Multivariate Analysis</w:t>
      </w:r>
      <w:r>
        <w:t xml:space="preserve"> </w:t>
      </w:r>
      <w:r>
        <w:t xml:space="preserve">100 (9): 1989–2001.</w:t>
      </w:r>
      <w:r>
        <w:t xml:space="preserve"> </w:t>
      </w:r>
      <w:hyperlink r:id="rId155">
        <w:r>
          <w:rPr>
            <w:rStyle w:val="Hyperlink"/>
          </w:rPr>
          <w:t xml:space="preserve">https://doi.org/10.1016/j.jmva.2009.04.008</w:t>
        </w:r>
      </w:hyperlink>
      <w:r>
        <w:t xml:space="preserve">.</w:t>
      </w:r>
    </w:p>
    <w:bookmarkEnd w:id="156"/>
    <w:bookmarkStart w:id="158" w:name="ref-li2014"/>
    <w:p>
      <w:pPr>
        <w:pStyle w:val="Bibliography"/>
      </w:pPr>
      <w:r>
        <w:t xml:space="preserve">Li, Ping, Jennifer Legault, and Kaitlyn A. Litcofsky. 2014.</w:t>
      </w:r>
      <w:r>
        <w:t xml:space="preserve"> </w:t>
      </w:r>
      <w:r>
        <w:t xml:space="preserve">“Neuroplasticity as a Function of Second Language Learning: Anatomical Changes in the Human Brain.”</w:t>
      </w:r>
      <w:r>
        <w:t xml:space="preserve"> </w:t>
      </w:r>
      <w:r>
        <w:rPr>
          <w:i/>
          <w:iCs/>
        </w:rPr>
        <w:t xml:space="preserve">Cortex</w:t>
      </w:r>
      <w:r>
        <w:t xml:space="preserve"> </w:t>
      </w:r>
      <w:r>
        <w:t xml:space="preserve">58: 301–24.</w:t>
      </w:r>
      <w:r>
        <w:t xml:space="preserve"> </w:t>
      </w:r>
      <w:hyperlink r:id="rId157">
        <w:r>
          <w:rPr>
            <w:rStyle w:val="Hyperlink"/>
          </w:rPr>
          <w:t xml:space="preserve">https://doi.org/10.1016/j.cortex.2014.05.001</w:t>
        </w:r>
      </w:hyperlink>
      <w:r>
        <w:t xml:space="preserve">.</w:t>
      </w:r>
    </w:p>
    <w:bookmarkEnd w:id="158"/>
    <w:bookmarkStart w:id="160" w:name="ref-lhq3"/>
    <w:p>
      <w:pPr>
        <w:pStyle w:val="Bibliography"/>
      </w:pPr>
      <w:r>
        <w:t xml:space="preserve">Li, Ping, Fan Zhang, Anya Yu, and Xiaowei Zhao. 2020.</w:t>
      </w:r>
      <w:r>
        <w:t xml:space="preserve"> </w:t>
      </w:r>
      <w:r>
        <w:t xml:space="preserve">“</w:t>
      </w:r>
      <w:r>
        <w:t xml:space="preserve">Language History Questionnaire</w:t>
      </w:r>
      <w:r>
        <w:t xml:space="preserve"> </w:t>
      </w:r>
      <w:r>
        <w:t xml:space="preserve">(</w:t>
      </w:r>
      <w:r>
        <w:t xml:space="preserve">LHQ3</w:t>
      </w:r>
      <w:r>
        <w:t xml:space="preserve">): An Enhanced Tool for Assessing Multilingual Experience.”</w:t>
      </w:r>
      <w:r>
        <w:t xml:space="preserve"> </w:t>
      </w:r>
      <w:r>
        <w:rPr>
          <w:i/>
          <w:iCs/>
        </w:rPr>
        <w:t xml:space="preserve">Bilingualism: Language and Cognition</w:t>
      </w:r>
      <w:r>
        <w:t xml:space="preserve"> </w:t>
      </w:r>
      <w:r>
        <w:t xml:space="preserve">23 (5): 938–44.</w:t>
      </w:r>
      <w:r>
        <w:t xml:space="preserve"> </w:t>
      </w:r>
      <w:hyperlink r:id="rId159">
        <w:r>
          <w:rPr>
            <w:rStyle w:val="Hyperlink"/>
          </w:rPr>
          <w:t xml:space="preserve">https://doi.org/10.1017/S1366728918001153</w:t>
        </w:r>
      </w:hyperlink>
      <w:r>
        <w:t xml:space="preserve">.</w:t>
      </w:r>
    </w:p>
    <w:bookmarkEnd w:id="160"/>
    <w:bookmarkStart w:id="162" w:name="ref-li2015"/>
    <w:p>
      <w:pPr>
        <w:pStyle w:val="Bibliography"/>
      </w:pPr>
      <w:r>
        <w:t xml:space="preserve">Li, Shaofeng. 2015.</w:t>
      </w:r>
      <w:r>
        <w:t xml:space="preserve"> </w:t>
      </w:r>
      <w:r>
        <w:t xml:space="preserve">“The Associations Between Language Aptitude and Second Language Grammar Acquisition: A Meta-Analytic Review of Five Decades of Research.”</w:t>
      </w:r>
      <w:r>
        <w:t xml:space="preserve"> </w:t>
      </w:r>
      <w:r>
        <w:rPr>
          <w:i/>
          <w:iCs/>
        </w:rPr>
        <w:t xml:space="preserve">Applied Linguistics</w:t>
      </w:r>
      <w:r>
        <w:t xml:space="preserve"> </w:t>
      </w:r>
      <w:r>
        <w:t xml:space="preserve">36 (3): 385–408.</w:t>
      </w:r>
      <w:r>
        <w:t xml:space="preserve"> </w:t>
      </w:r>
      <w:hyperlink r:id="rId161">
        <w:r>
          <w:rPr>
            <w:rStyle w:val="Hyperlink"/>
          </w:rPr>
          <w:t xml:space="preserve">https://doi.org/10.1093/applin/amu054</w:t>
        </w:r>
      </w:hyperlink>
      <w:r>
        <w:t xml:space="preserve">.</w:t>
      </w:r>
    </w:p>
    <w:bookmarkEnd w:id="162"/>
    <w:bookmarkStart w:id="164" w:name="ref-linck2014"/>
    <w:p>
      <w:pPr>
        <w:pStyle w:val="Bibliography"/>
      </w:pPr>
      <w:r>
        <w:t xml:space="preserve">Linck, Jared A., Peter Osthus, Joel T. Koeth, and Michael F. Bunting. 2014.</w:t>
      </w:r>
      <w:r>
        <w:t xml:space="preserve"> </w:t>
      </w:r>
      <w:r>
        <w:t xml:space="preserve">“Working Memory and Second Language Comprehension and Production: A Meta-Analysis.”</w:t>
      </w:r>
      <w:r>
        <w:t xml:space="preserve"> </w:t>
      </w:r>
      <w:r>
        <w:rPr>
          <w:i/>
          <w:iCs/>
        </w:rPr>
        <w:t xml:space="preserve">Psychonomic Bulletin &amp; Review</w:t>
      </w:r>
      <w:r>
        <w:t xml:space="preserve"> </w:t>
      </w:r>
      <w:r>
        <w:t xml:space="preserve">21 (4): 861–83.</w:t>
      </w:r>
      <w:r>
        <w:t xml:space="preserve"> </w:t>
      </w:r>
      <w:hyperlink r:id="rId163">
        <w:r>
          <w:rPr>
            <w:rStyle w:val="Hyperlink"/>
          </w:rPr>
          <w:t xml:space="preserve">https://doi.org/10.3758/s13423-013-0565-2</w:t>
        </w:r>
      </w:hyperlink>
      <w:r>
        <w:t xml:space="preserve">.</w:t>
      </w:r>
    </w:p>
    <w:bookmarkEnd w:id="164"/>
    <w:bookmarkStart w:id="166" w:name="ref-linckweiss2015"/>
    <w:p>
      <w:pPr>
        <w:pStyle w:val="Bibliography"/>
      </w:pPr>
      <w:r>
        <w:t xml:space="preserve">Linck, Jared A., and Daniel J. Weiss. 2015.</w:t>
      </w:r>
      <w:r>
        <w:t xml:space="preserve"> </w:t>
      </w:r>
      <w:r>
        <w:t xml:space="preserve">“Can Working Memory and Inhibitory Control Predict Second Language Learning in the Classroom?”</w:t>
      </w:r>
      <w:r>
        <w:t xml:space="preserve"> </w:t>
      </w:r>
      <w:r>
        <w:rPr>
          <w:i/>
          <w:iCs/>
        </w:rPr>
        <w:t xml:space="preserve">SAGE Open</w:t>
      </w:r>
      <w:r>
        <w:t xml:space="preserve"> </w:t>
      </w:r>
      <w:r>
        <w:t xml:space="preserve">5 (4): 2158244015607352.</w:t>
      </w:r>
      <w:r>
        <w:t xml:space="preserve"> </w:t>
      </w:r>
      <w:hyperlink r:id="rId165">
        <w:r>
          <w:rPr>
            <w:rStyle w:val="Hyperlink"/>
          </w:rPr>
          <w:t xml:space="preserve">https://doi.org/10.1177/2158244015607352</w:t>
        </w:r>
      </w:hyperlink>
      <w:r>
        <w:t xml:space="preserve">.</w:t>
      </w:r>
    </w:p>
    <w:bookmarkEnd w:id="166"/>
    <w:bookmarkStart w:id="168" w:name="ref-makowski2019"/>
    <w:p>
      <w:pPr>
        <w:pStyle w:val="Bibliography"/>
      </w:pPr>
      <w:r>
        <w:t xml:space="preserve">Makowski, Dominique, Mattan S. Ben-Shachar, S. H. Annabel Chen, and Daniel Lüdecke. 2019.</w:t>
      </w:r>
      <w:r>
        <w:t xml:space="preserve"> </w:t>
      </w:r>
      <w:r>
        <w:t xml:space="preserve">“Indices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 </w:t>
      </w:r>
      <w:r>
        <w:t xml:space="preserve">10: 2767.</w:t>
      </w:r>
      <w:r>
        <w:t xml:space="preserve"> </w:t>
      </w:r>
      <w:hyperlink r:id="rId167">
        <w:r>
          <w:rPr>
            <w:rStyle w:val="Hyperlink"/>
          </w:rPr>
          <w:t xml:space="preserve">https://doi.org/10.3389/fpsyg.2019.02767</w:t>
        </w:r>
      </w:hyperlink>
      <w:r>
        <w:t xml:space="preserve">.</w:t>
      </w:r>
    </w:p>
    <w:bookmarkEnd w:id="168"/>
    <w:bookmarkStart w:id="170" w:name="ref-martensson2012"/>
    <w:p>
      <w:pPr>
        <w:pStyle w:val="Bibliography"/>
      </w:pPr>
      <w:r>
        <w:t xml:space="preserve">Mårtensson, Johan, Johan Eriksson, Nils Christian Bodammer, et al. 2012.</w:t>
      </w:r>
      <w:r>
        <w:t xml:space="preserve"> </w:t>
      </w:r>
      <w:r>
        <w:t xml:space="preserve">“Growth of Language-Related Brain Areas After Foreign Language Learning.”</w:t>
      </w:r>
      <w:r>
        <w:t xml:space="preserve"> </w:t>
      </w:r>
      <w:r>
        <w:rPr>
          <w:i/>
          <w:iCs/>
        </w:rPr>
        <w:t xml:space="preserve">NeuroImage</w:t>
      </w:r>
      <w:r>
        <w:t xml:space="preserve"> </w:t>
      </w:r>
      <w:r>
        <w:t xml:space="preserve">63 (1): 240–44.</w:t>
      </w:r>
      <w:r>
        <w:t xml:space="preserve"> </w:t>
      </w:r>
      <w:hyperlink r:id="rId169">
        <w:r>
          <w:rPr>
            <w:rStyle w:val="Hyperlink"/>
          </w:rPr>
          <w:t xml:space="preserve">https://doi.org/10.1016/j.neuroimage.2012.06.043</w:t>
        </w:r>
      </w:hyperlink>
      <w:r>
        <w:t xml:space="preserve">.</w:t>
      </w:r>
    </w:p>
    <w:bookmarkEnd w:id="170"/>
    <w:bookmarkStart w:id="172" w:name="ref-marwick2018"/>
    <w:p>
      <w:pPr>
        <w:pStyle w:val="Bibliography"/>
      </w:pPr>
      <w:r>
        <w:t xml:space="preserve">Marwick, Ben, Carl Boettiger, and Lincoln Mullen. 2018.</w:t>
      </w:r>
      <w:r>
        <w:t xml:space="preserve"> </w:t>
      </w:r>
      <w:r>
        <w:t xml:space="preserve">“Packaging Data Analytical Work Reproducibly Using</w:t>
      </w:r>
      <w:r>
        <w:t xml:space="preserve"> </w:t>
      </w:r>
      <w:r>
        <w:t xml:space="preserve">R</w:t>
      </w:r>
      <w:r>
        <w:t xml:space="preserve"> </w:t>
      </w:r>
      <w:r>
        <w:t xml:space="preserve">(and Friends).”</w:t>
      </w:r>
      <w:r>
        <w:t xml:space="preserve"> </w:t>
      </w:r>
      <w:r>
        <w:rPr>
          <w:i/>
          <w:iCs/>
        </w:rPr>
        <w:t xml:space="preserve">The American Statistician</w:t>
      </w:r>
      <w:r>
        <w:t xml:space="preserve"> </w:t>
      </w:r>
      <w:r>
        <w:t xml:space="preserve">72 (1): 80–88.</w:t>
      </w:r>
      <w:r>
        <w:t xml:space="preserve"> </w:t>
      </w:r>
      <w:hyperlink r:id="rId171">
        <w:r>
          <w:rPr>
            <w:rStyle w:val="Hyperlink"/>
          </w:rPr>
          <w:t xml:space="preserve">https://doi.org/10.1080/00031305.2017.1375986</w:t>
        </w:r>
      </w:hyperlink>
      <w:r>
        <w:t xml:space="preserve">.</w:t>
      </w:r>
    </w:p>
    <w:bookmarkEnd w:id="172"/>
    <w:bookmarkStart w:id="174" w:name="ref-mclatchie2025"/>
    <w:p>
      <w:pPr>
        <w:pStyle w:val="Bibliography"/>
      </w:pPr>
      <w:r>
        <w:t xml:space="preserve">McLatchie, Yann, Sölvi Rögnvaldsson, Frank Weber, and Aki Vehtari. 2025.</w:t>
      </w:r>
      <w:r>
        <w:t xml:space="preserve"> </w:t>
      </w:r>
      <w:r>
        <w:t xml:space="preserve">“Advances in Projection Predictive Inference.”</w:t>
      </w:r>
      <w:r>
        <w:t xml:space="preserve"> </w:t>
      </w:r>
      <w:r>
        <w:rPr>
          <w:i/>
          <w:iCs/>
        </w:rPr>
        <w:t xml:space="preserve">Statistical Science</w:t>
      </w:r>
      <w:r>
        <w:t xml:space="preserve"> </w:t>
      </w:r>
      <w:r>
        <w:t xml:space="preserve">40 (1): 128–47.</w:t>
      </w:r>
      <w:r>
        <w:t xml:space="preserve"> </w:t>
      </w:r>
      <w:hyperlink r:id="rId173">
        <w:r>
          <w:rPr>
            <w:rStyle w:val="Hyperlink"/>
          </w:rPr>
          <w:t xml:space="preserve">https://doi.org/10.1214/24-STS949</w:t>
        </w:r>
      </w:hyperlink>
      <w:r>
        <w:t xml:space="preserve">.</w:t>
      </w:r>
    </w:p>
    <w:bookmarkEnd w:id="174"/>
    <w:bookmarkStart w:id="176" w:name="ref-misyak2012"/>
    <w:p>
      <w:pPr>
        <w:pStyle w:val="Bibliography"/>
      </w:pPr>
      <w:r>
        <w:t xml:space="preserve">Misyak, Jennifer B., and Morten H. Christiansen. 2012.</w:t>
      </w:r>
      <w:r>
        <w:t xml:space="preserve"> </w:t>
      </w:r>
      <w:r>
        <w:t xml:space="preserve">“Statistical Learning and Language: An Individual Differences Study.”</w:t>
      </w:r>
      <w:r>
        <w:t xml:space="preserve"> </w:t>
      </w:r>
      <w:r>
        <w:rPr>
          <w:i/>
          <w:iCs/>
        </w:rPr>
        <w:t xml:space="preserve">Language Learning</w:t>
      </w:r>
      <w:r>
        <w:t xml:space="preserve"> </w:t>
      </w:r>
      <w:r>
        <w:t xml:space="preserve">62 (1): 302–31.</w:t>
      </w:r>
      <w:r>
        <w:t xml:space="preserve"> </w:t>
      </w:r>
      <w:hyperlink r:id="rId175">
        <w:r>
          <w:rPr>
            <w:rStyle w:val="Hyperlink"/>
          </w:rPr>
          <w:t xml:space="preserve">https://doi.org/10.1111/j.1467-9922.2010.00626.x</w:t>
        </w:r>
      </w:hyperlink>
      <w:r>
        <w:t xml:space="preserve">.</w:t>
      </w:r>
    </w:p>
    <w:bookmarkEnd w:id="176"/>
    <w:bookmarkStart w:id="178" w:name="ref-morganshort2014"/>
    <w:p>
      <w:pPr>
        <w:pStyle w:val="Bibliography"/>
      </w:pPr>
      <w:r>
        <w:t xml:space="preserve">Morgan-Short, Kara, Mandy Faretta-Stutenberg, Katherine A. Brill-Schuetz, Helen Carpenter, and Patrick C. M. Wong. 2014.</w:t>
      </w:r>
      <w:r>
        <w:t xml:space="preserve"> </w:t>
      </w:r>
      <w:r>
        <w:t xml:space="preserve">“Declarative and Procedural Memory as Individual Differences in Second Language Acquisition.”</w:t>
      </w:r>
      <w:r>
        <w:t xml:space="preserve"> </w:t>
      </w:r>
      <w:r>
        <w:rPr>
          <w:i/>
          <w:iCs/>
        </w:rPr>
        <w:t xml:space="preserve">Bilingualism: Language and Cognition</w:t>
      </w:r>
      <w:r>
        <w:t xml:space="preserve"> </w:t>
      </w:r>
      <w:r>
        <w:t xml:space="preserve">17 (1): 56–72.</w:t>
      </w:r>
      <w:r>
        <w:t xml:space="preserve"> </w:t>
      </w:r>
      <w:hyperlink r:id="rId177">
        <w:r>
          <w:rPr>
            <w:rStyle w:val="Hyperlink"/>
          </w:rPr>
          <w:t xml:space="preserve">https://doi.org/10.1017/S1366728912000715</w:t>
        </w:r>
      </w:hyperlink>
      <w:r>
        <w:t xml:space="preserve">.</w:t>
      </w:r>
    </w:p>
    <w:bookmarkEnd w:id="178"/>
    <w:bookmarkStart w:id="180" w:name="ref-murre2011"/>
    <w:p>
      <w:pPr>
        <w:pStyle w:val="Bibliography"/>
      </w:pPr>
      <w:r>
        <w:t xml:space="preserve">Murre, Jaap M. J., and Antonio G. Chessa. 2011.</w:t>
      </w:r>
      <w:r>
        <w:t xml:space="preserve"> </w:t>
      </w:r>
      <w:r>
        <w:t xml:space="preserve">“Power Laws from Individual Differences in Learning and Forgetting: Mathematical Analyses.”</w:t>
      </w:r>
      <w:r>
        <w:t xml:space="preserve"> </w:t>
      </w:r>
      <w:r>
        <w:rPr>
          <w:i/>
          <w:iCs/>
        </w:rPr>
        <w:t xml:space="preserve">Psychonomic Bulletin &amp; Review</w:t>
      </w:r>
      <w:r>
        <w:t xml:space="preserve"> </w:t>
      </w:r>
      <w:r>
        <w:t xml:space="preserve">18 (3): 592–97.</w:t>
      </w:r>
      <w:r>
        <w:t xml:space="preserve"> </w:t>
      </w:r>
      <w:hyperlink r:id="rId179">
        <w:r>
          <w:rPr>
            <w:rStyle w:val="Hyperlink"/>
          </w:rPr>
          <w:t xml:space="preserve">https://doi.org/10.3758/s13423-011-0076-y</w:t>
        </w:r>
      </w:hyperlink>
      <w:r>
        <w:t xml:space="preserve">.</w:t>
      </w:r>
    </w:p>
    <w:bookmarkEnd w:id="180"/>
    <w:bookmarkStart w:id="182" w:name="ref-nissen1987"/>
    <w:p>
      <w:pPr>
        <w:pStyle w:val="Bibliography"/>
      </w:pPr>
      <w:r>
        <w:t xml:space="preserve">Nissen, Mary Jo, and Peter Bullemer. 1987.</w:t>
      </w:r>
      <w:r>
        <w:t xml:space="preserve"> </w:t>
      </w:r>
      <w:r>
        <w:t xml:space="preserve">“Attentional Requirements of Learning: Evidence from Performance Measures.”</w:t>
      </w:r>
      <w:r>
        <w:t xml:space="preserve"> </w:t>
      </w:r>
      <w:r>
        <w:rPr>
          <w:i/>
          <w:iCs/>
        </w:rPr>
        <w:t xml:space="preserve">Cognitive Psychology</w:t>
      </w:r>
      <w:r>
        <w:t xml:space="preserve"> </w:t>
      </w:r>
      <w:r>
        <w:t xml:space="preserve">19 (1): 1–32.</w:t>
      </w:r>
      <w:r>
        <w:t xml:space="preserve"> </w:t>
      </w:r>
      <w:hyperlink r:id="rId181">
        <w:r>
          <w:rPr>
            <w:rStyle w:val="Hyperlink"/>
          </w:rPr>
          <w:t xml:space="preserve">https://doi.org/10.1016/0010-0285(87)90002-8</w:t>
        </w:r>
      </w:hyperlink>
      <w:r>
        <w:t xml:space="preserve">.</w:t>
      </w:r>
    </w:p>
    <w:bookmarkEnd w:id="182"/>
    <w:bookmarkStart w:id="184" w:name="ref-nosek2018"/>
    <w:p>
      <w:pPr>
        <w:pStyle w:val="Bibliography"/>
      </w:pPr>
      <w:r>
        <w:t xml:space="preserve">Nosek, Brian A., Charles R. Ebersole, Alexander C. DeHaven, and David T. Mellor. 2018.</w:t>
      </w:r>
      <w:r>
        <w:t xml:space="preserve"> </w:t>
      </w:r>
      <w:r>
        <w:t xml:space="preserve">“The Preregistration Revolution.”</w:t>
      </w:r>
      <w:r>
        <w:t xml:space="preserve"> </w:t>
      </w:r>
      <w:r>
        <w:rPr>
          <w:i/>
          <w:iCs/>
        </w:rPr>
        <w:t xml:space="preserve">Proceedings of the National Academy of Sciences</w:t>
      </w:r>
      <w:r>
        <w:t xml:space="preserve"> </w:t>
      </w:r>
      <w:r>
        <w:t xml:space="preserve">115 (11): 2600–2606.</w:t>
      </w:r>
      <w:r>
        <w:t xml:space="preserve"> </w:t>
      </w:r>
      <w:hyperlink r:id="rId183">
        <w:r>
          <w:rPr>
            <w:rStyle w:val="Hyperlink"/>
          </w:rPr>
          <w:t xml:space="preserve">https://doi.org/10.1073/pnas.1708274114</w:t>
        </w:r>
      </w:hyperlink>
      <w:r>
        <w:t xml:space="preserve">.</w:t>
      </w:r>
    </w:p>
    <w:bookmarkEnd w:id="184"/>
    <w:bookmarkStart w:id="186" w:name="ref-ociepka2022"/>
    <w:p>
      <w:pPr>
        <w:pStyle w:val="Bibliography"/>
      </w:pPr>
      <w:r>
        <w:t xml:space="preserve">Ociepka, Michał, Patrycja Kałamała, and Adam Chuderski. 2022.</w:t>
      </w:r>
      <w:r>
        <w:t xml:space="preserve"> </w:t>
      </w:r>
      <w:r>
        <w:t xml:space="preserve">“High Individual Alpha Frequency Brains Run Fast, but It Does Not Make Them Smart.”</w:t>
      </w:r>
      <w:r>
        <w:t xml:space="preserve"> </w:t>
      </w:r>
      <w:r>
        <w:rPr>
          <w:i/>
          <w:iCs/>
        </w:rPr>
        <w:t xml:space="preserve">Intelligence</w:t>
      </w:r>
      <w:r>
        <w:t xml:space="preserve"> </w:t>
      </w:r>
      <w:r>
        <w:t xml:space="preserve">92: 101644.</w:t>
      </w:r>
      <w:r>
        <w:t xml:space="preserve"> </w:t>
      </w:r>
      <w:hyperlink r:id="rId185">
        <w:r>
          <w:rPr>
            <w:rStyle w:val="Hyperlink"/>
          </w:rPr>
          <w:t xml:space="preserve">https://doi.org/10.1016/j.intell.2022.101644</w:t>
        </w:r>
      </w:hyperlink>
      <w:r>
        <w:t xml:space="preserve">.</w:t>
      </w:r>
    </w:p>
    <w:bookmarkEnd w:id="186"/>
    <w:bookmarkStart w:id="188" w:name="ref-oliveira2023"/>
    <w:p>
      <w:pPr>
        <w:pStyle w:val="Bibliography"/>
      </w:pPr>
      <w:r>
        <w:t xml:space="preserve">Oliveira, Cátia M., Marianna E. Hayiou-Thomas, and Lisa M. Henderson. 2023.</w:t>
      </w:r>
      <w:r>
        <w:t xml:space="preserve"> </w:t>
      </w:r>
      <w:r>
        <w:t xml:space="preserve">“The Reliability of the Serial Reaction Time Task: Meta-Analysis of Test–Retest Correlations.”</w:t>
      </w:r>
      <w:r>
        <w:t xml:space="preserve"> </w:t>
      </w:r>
      <w:r>
        <w:rPr>
          <w:i/>
          <w:iCs/>
        </w:rPr>
        <w:t xml:space="preserve">Royal Society Open Science</w:t>
      </w:r>
      <w:r>
        <w:t xml:space="preserve"> </w:t>
      </w:r>
      <w:r>
        <w:t xml:space="preserve">10 (7): 221542.</w:t>
      </w:r>
      <w:r>
        <w:t xml:space="preserve"> </w:t>
      </w:r>
      <w:hyperlink r:id="rId187">
        <w:r>
          <w:rPr>
            <w:rStyle w:val="Hyperlink"/>
          </w:rPr>
          <w:t xml:space="preserve">https://doi.org/10.1098/rsos.221542</w:t>
        </w:r>
      </w:hyperlink>
      <w:r>
        <w:t xml:space="preserve">.</w:t>
      </w:r>
    </w:p>
    <w:bookmarkEnd w:id="188"/>
    <w:bookmarkStart w:id="190" w:name="ref-ouyang2020"/>
    <w:p>
      <w:pPr>
        <w:pStyle w:val="Bibliography"/>
      </w:pPr>
      <w:r>
        <w:t xml:space="preserve">Ouyang, Guang, Andrea Hildebrandt, Florian Schmitz, and Christoph S. Herrmann. 2020.</w:t>
      </w:r>
      <w:r>
        <w:t xml:space="preserve"> </w:t>
      </w:r>
      <w:r>
        <w:t xml:space="preserve">“Decomposing Alpha and 1/f Brain Activities Reveals Their Differential Associations with Cognitive Processing Speed.”</w:t>
      </w:r>
      <w:r>
        <w:t xml:space="preserve"> </w:t>
      </w:r>
      <w:r>
        <w:rPr>
          <w:i/>
          <w:iCs/>
        </w:rPr>
        <w:t xml:space="preserve">NeuroImage</w:t>
      </w:r>
      <w:r>
        <w:t xml:space="preserve"> </w:t>
      </w:r>
      <w:r>
        <w:t xml:space="preserve">205: 116304.</w:t>
      </w:r>
      <w:r>
        <w:t xml:space="preserve"> </w:t>
      </w:r>
      <w:hyperlink r:id="rId189">
        <w:r>
          <w:rPr>
            <w:rStyle w:val="Hyperlink"/>
          </w:rPr>
          <w:t xml:space="preserve">https://doi.org/10.1016/j.neuroimage.2019.116304</w:t>
        </w:r>
      </w:hyperlink>
      <w:r>
        <w:t xml:space="preserve">.</w:t>
      </w:r>
    </w:p>
    <w:bookmarkEnd w:id="190"/>
    <w:bookmarkStart w:id="192" w:name="ref-paap2013"/>
    <w:p>
      <w:pPr>
        <w:pStyle w:val="Bibliography"/>
      </w:pPr>
      <w:r>
        <w:t xml:space="preserve">Paap, Kenneth R., and Zachary I. Greenberg. 2013.</w:t>
      </w:r>
      <w:r>
        <w:t xml:space="preserve"> </w:t>
      </w:r>
      <w:r>
        <w:t xml:space="preserve">“There Is No Coherent Evidence for a Bilingual Advantage in Executive Processing.”</w:t>
      </w:r>
      <w:r>
        <w:t xml:space="preserve"> </w:t>
      </w:r>
      <w:r>
        <w:rPr>
          <w:i/>
          <w:iCs/>
        </w:rPr>
        <w:t xml:space="preserve">Cognitive Psychology</w:t>
      </w:r>
      <w:r>
        <w:t xml:space="preserve"> </w:t>
      </w:r>
      <w:r>
        <w:t xml:space="preserve">66 (2): 232–58.</w:t>
      </w:r>
      <w:r>
        <w:t xml:space="preserve"> </w:t>
      </w:r>
      <w:hyperlink r:id="rId191">
        <w:r>
          <w:rPr>
            <w:rStyle w:val="Hyperlink"/>
          </w:rPr>
          <w:t xml:space="preserve">https://doi.org/10.1016/j.cogpsych.2012.12.002</w:t>
        </w:r>
      </w:hyperlink>
      <w:r>
        <w:t xml:space="preserve">.</w:t>
      </w:r>
    </w:p>
    <w:bookmarkEnd w:id="192"/>
    <w:bookmarkStart w:id="194" w:name="ref-piironen2020"/>
    <w:p>
      <w:pPr>
        <w:pStyle w:val="Bibliography"/>
      </w:pPr>
      <w:r>
        <w:t xml:space="preserve">Piironen, Juho, Markus Paasiniemi, and Aki Vehtari. 2020.</w:t>
      </w:r>
      <w:r>
        <w:t xml:space="preserve"> </w:t>
      </w:r>
      <w:r>
        <w:t xml:space="preserve">“Projective Inference in High-Dimensional Problems: Prediction and Feature Selection.”</w:t>
      </w:r>
      <w:r>
        <w:t xml:space="preserve"> </w:t>
      </w:r>
      <w:r>
        <w:rPr>
          <w:i/>
          <w:iCs/>
        </w:rPr>
        <w:t xml:space="preserve">Electronic Journal of Statistics</w:t>
      </w:r>
      <w:r>
        <w:t xml:space="preserve"> </w:t>
      </w:r>
      <w:r>
        <w:t xml:space="preserve">14 (1).</w:t>
      </w:r>
      <w:r>
        <w:t xml:space="preserve"> </w:t>
      </w:r>
      <w:hyperlink r:id="rId193">
        <w:r>
          <w:rPr>
            <w:rStyle w:val="Hyperlink"/>
          </w:rPr>
          <w:t xml:space="preserve">https://doi.org/10.1214/20-EJS1711</w:t>
        </w:r>
      </w:hyperlink>
      <w:r>
        <w:t xml:space="preserve">.</w:t>
      </w:r>
    </w:p>
    <w:bookmarkEnd w:id="194"/>
    <w:bookmarkStart w:id="196" w:name="ref-piironen2017"/>
    <w:p>
      <w:pPr>
        <w:pStyle w:val="Bibliography"/>
      </w:pPr>
      <w:r>
        <w:t xml:space="preserve">Piironen, Juho, and Aki Vehtari. 2017.</w:t>
      </w:r>
      <w:r>
        <w:t xml:space="preserve"> </w:t>
      </w:r>
      <w:r>
        <w:t xml:space="preserve">“Comparison of</w:t>
      </w:r>
      <w:r>
        <w:t xml:space="preserve"> </w:t>
      </w:r>
      <w:r>
        <w:t xml:space="preserve">Bayesian</w:t>
      </w:r>
      <w:r>
        <w:t xml:space="preserve"> </w:t>
      </w:r>
      <w:r>
        <w:t xml:space="preserve">Predictive Methods for Model Selection.”</w:t>
      </w:r>
      <w:r>
        <w:t xml:space="preserve"> </w:t>
      </w:r>
      <w:r>
        <w:rPr>
          <w:i/>
          <w:iCs/>
        </w:rPr>
        <w:t xml:space="preserve">Statistics and Computing</w:t>
      </w:r>
      <w:r>
        <w:t xml:space="preserve"> </w:t>
      </w:r>
      <w:r>
        <w:t xml:space="preserve">27 (3): 711–35.</w:t>
      </w:r>
      <w:r>
        <w:t xml:space="preserve"> </w:t>
      </w:r>
      <w:hyperlink r:id="rId195">
        <w:r>
          <w:rPr>
            <w:rStyle w:val="Hyperlink"/>
          </w:rPr>
          <w:t xml:space="preserve">https://doi.org/10.1007/s11222-016-9649-y</w:t>
        </w:r>
      </w:hyperlink>
      <w:r>
        <w:t xml:space="preserve">.</w:t>
      </w:r>
    </w:p>
    <w:bookmarkEnd w:id="196"/>
    <w:bookmarkStart w:id="198" w:name="ref-prat2020"/>
    <w:p>
      <w:pPr>
        <w:pStyle w:val="Bibliography"/>
      </w:pPr>
      <w:r>
        <w:t xml:space="preserve">Prat, Chantel S., Tara M. Madhyastha, Malayka J. Mottarella, and Chu-Hsuan Kuo. 2020.</w:t>
      </w:r>
      <w:r>
        <w:t xml:space="preserve"> </w:t>
      </w:r>
      <w:r>
        <w:t xml:space="preserve">“Relating Natural Language Aptitude to Individual Differences in Learning Programming Languages.”</w:t>
      </w:r>
      <w:r>
        <w:t xml:space="preserve"> </w:t>
      </w:r>
      <w:r>
        <w:rPr>
          <w:i/>
          <w:iCs/>
        </w:rPr>
        <w:t xml:space="preserve">Scientific Reports</w:t>
      </w:r>
      <w:r>
        <w:t xml:space="preserve"> </w:t>
      </w:r>
      <w:r>
        <w:t xml:space="preserve">10 (1): 3817.</w:t>
      </w:r>
      <w:r>
        <w:t xml:space="preserve"> </w:t>
      </w:r>
      <w:hyperlink r:id="rId197">
        <w:r>
          <w:rPr>
            <w:rStyle w:val="Hyperlink"/>
          </w:rPr>
          <w:t xml:space="preserve">https://doi.org/10.1038/s41598-020-60661-8</w:t>
        </w:r>
      </w:hyperlink>
      <w:r>
        <w:t xml:space="preserve">.</w:t>
      </w:r>
    </w:p>
    <w:bookmarkEnd w:id="198"/>
    <w:bookmarkStart w:id="200" w:name="ref-prat2016"/>
    <w:p>
      <w:pPr>
        <w:pStyle w:val="Bibliography"/>
      </w:pPr>
      <w:r>
        <w:t xml:space="preserve">Prat, Chantel S., Brianna L. Yamasaki, Reina A. Kluender, and Andrea Stocco. 2016.</w:t>
      </w:r>
      <w:r>
        <w:t xml:space="preserve"> </w:t>
      </w:r>
      <w:r>
        <w:t xml:space="preserve">“Resting-State</w:t>
      </w:r>
      <w:r>
        <w:t xml:space="preserve"> </w:t>
      </w:r>
      <w:r>
        <w:t xml:space="preserve">qEEG</w:t>
      </w:r>
      <w:r>
        <w:t xml:space="preserve"> </w:t>
      </w:r>
      <w:r>
        <w:t xml:space="preserve">Predicts Rate of Second Language Learning in Adults.”</w:t>
      </w:r>
      <w:r>
        <w:t xml:space="preserve"> </w:t>
      </w:r>
      <w:r>
        <w:rPr>
          <w:i/>
          <w:iCs/>
        </w:rPr>
        <w:t xml:space="preserve">Brain and Language</w:t>
      </w:r>
      <w:r>
        <w:t xml:space="preserve"> </w:t>
      </w:r>
      <w:r>
        <w:t xml:space="preserve">157–158: 44–50.</w:t>
      </w:r>
      <w:r>
        <w:t xml:space="preserve"> </w:t>
      </w:r>
      <w:hyperlink r:id="rId199">
        <w:r>
          <w:rPr>
            <w:rStyle w:val="Hyperlink"/>
          </w:rPr>
          <w:t xml:space="preserve">https://doi.org/10.1016/j.bandl.2016.04.007</w:t>
        </w:r>
      </w:hyperlink>
      <w:r>
        <w:t xml:space="preserve">.</w:t>
      </w:r>
    </w:p>
    <w:bookmarkEnd w:id="200"/>
    <w:bookmarkStart w:id="202" w:name="ref-prat2019"/>
    <w:p>
      <w:pPr>
        <w:pStyle w:val="Bibliography"/>
      </w:pPr>
      <w:r>
        <w:t xml:space="preserve">Prat, Chantel S., Brianna L. Yamasaki, and Erica R. Peterson. 2019.</w:t>
      </w:r>
      <w:r>
        <w:t xml:space="preserve"> </w:t>
      </w:r>
      <w:r>
        <w:t xml:space="preserve">“Individual Differences in Resting-State Brain Rhythms Uniquely Predict Second Language Learning Rate and Willingness to Communicate in Adults.”</w:t>
      </w:r>
      <w:r>
        <w:t xml:space="preserve"> </w:t>
      </w:r>
      <w:r>
        <w:rPr>
          <w:i/>
          <w:iCs/>
        </w:rPr>
        <w:t xml:space="preserve">Journal of Cognitive Neuroscience</w:t>
      </w:r>
      <w:r>
        <w:t xml:space="preserve"> </w:t>
      </w:r>
      <w:r>
        <w:t xml:space="preserve">31 (1): 78–94.</w:t>
      </w:r>
      <w:r>
        <w:t xml:space="preserve"> </w:t>
      </w:r>
      <w:hyperlink r:id="rId201">
        <w:r>
          <w:rPr>
            <w:rStyle w:val="Hyperlink"/>
          </w:rPr>
          <w:t xml:space="preserve">https://doi.org/10.1162/jocn_a_01337</w:t>
        </w:r>
      </w:hyperlink>
      <w:r>
        <w:t xml:space="preserve">.</w:t>
      </w:r>
    </w:p>
    <w:bookmarkEnd w:id="202"/>
    <w:bookmarkStart w:id="204" w:name="ref-rcoreteam"/>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203">
        <w:r>
          <w:rPr>
            <w:rStyle w:val="Hyperlink"/>
          </w:rPr>
          <w:t xml:space="preserve">https://www.R-project.org/</w:t>
        </w:r>
      </w:hyperlink>
      <w:r>
        <w:t xml:space="preserve">.</w:t>
      </w:r>
    </w:p>
    <w:bookmarkEnd w:id="204"/>
    <w:bookmarkStart w:id="206" w:name="ref-rivera2023"/>
    <w:p>
      <w:pPr>
        <w:pStyle w:val="Bibliography"/>
      </w:pPr>
      <w:r>
        <w:t xml:space="preserve">Rivera, Marta, Daniela Paolieri, Antonio Iniesta, Ana I. Pérez, and Teresa Bajo. 2023.</w:t>
      </w:r>
      <w:r>
        <w:t xml:space="preserve"> </w:t>
      </w:r>
      <w:r>
        <w:t xml:space="preserve">“Second Language Acquisition of Grammatical Rules: The Effects of Learning Condition, Rule Difficulty, and Executive Function.”</w:t>
      </w:r>
      <w:r>
        <w:t xml:space="preserve"> </w:t>
      </w:r>
      <w:r>
        <w:rPr>
          <w:i/>
          <w:iCs/>
        </w:rPr>
        <w:t xml:space="preserve">Bilingualism: Language and Cognition</w:t>
      </w:r>
      <w:r>
        <w:t xml:space="preserve"> </w:t>
      </w:r>
      <w:r>
        <w:t xml:space="preserve">26 (4): 639–52.</w:t>
      </w:r>
      <w:r>
        <w:t xml:space="preserve"> </w:t>
      </w:r>
      <w:hyperlink r:id="rId205">
        <w:r>
          <w:rPr>
            <w:rStyle w:val="Hyperlink"/>
          </w:rPr>
          <w:t xml:space="preserve">https://doi.org/10.1017/S1366728922000815</w:t>
        </w:r>
      </w:hyperlink>
      <w:r>
        <w:t xml:space="preserve">.</w:t>
      </w:r>
    </w:p>
    <w:bookmarkEnd w:id="206"/>
    <w:bookmarkStart w:id="208" w:name="ref-roberts2017"/>
    <w:p>
      <w:pPr>
        <w:pStyle w:val="Bibliography"/>
      </w:pPr>
      <w:r>
        <w:t xml:space="preserve">Roberts, David R., Volker Bahn, Simone Ciuti, et al. 2017.</w:t>
      </w:r>
      <w:r>
        <w:t xml:space="preserve"> </w:t>
      </w:r>
      <w:r>
        <w:t xml:space="preserve">“Cross-Validation Strategies for Data with Temporal, Spatial, Hierarchical, or Phylogenetic Structure.”</w:t>
      </w:r>
      <w:r>
        <w:t xml:space="preserve"> </w:t>
      </w:r>
      <w:r>
        <w:rPr>
          <w:i/>
          <w:iCs/>
        </w:rPr>
        <w:t xml:space="preserve">Ecography</w:t>
      </w:r>
      <w:r>
        <w:t xml:space="preserve"> </w:t>
      </w:r>
      <w:r>
        <w:t xml:space="preserve">40 (8): 913–29.</w:t>
      </w:r>
      <w:r>
        <w:t xml:space="preserve"> </w:t>
      </w:r>
      <w:hyperlink r:id="rId207">
        <w:r>
          <w:rPr>
            <w:rStyle w:val="Hyperlink"/>
          </w:rPr>
          <w:t xml:space="preserve">https://doi.org/10.1111/ecog.02881</w:t>
        </w:r>
      </w:hyperlink>
      <w:r>
        <w:t xml:space="preserve">.</w:t>
      </w:r>
    </w:p>
    <w:bookmarkEnd w:id="208"/>
    <w:bookmarkStart w:id="210" w:name="ref-rouderhaaf2019"/>
    <w:p>
      <w:pPr>
        <w:pStyle w:val="Bibliography"/>
      </w:pPr>
      <w:r>
        <w:t xml:space="preserve">Rouder, Jeffrey N., and Julia M. Haaf. 2019.</w:t>
      </w:r>
      <w:r>
        <w:t xml:space="preserve"> </w:t>
      </w:r>
      <w:r>
        <w:t xml:space="preserve">“A Psychometrics of Individual Differences in Experimental Tasks.”</w:t>
      </w:r>
      <w:r>
        <w:t xml:space="preserve"> </w:t>
      </w:r>
      <w:r>
        <w:rPr>
          <w:i/>
          <w:iCs/>
        </w:rPr>
        <w:t xml:space="preserve">Psychonomic Bulletin &amp; Review</w:t>
      </w:r>
      <w:r>
        <w:t xml:space="preserve"> </w:t>
      </w:r>
      <w:r>
        <w:t xml:space="preserve">26 (2): 452–67.</w:t>
      </w:r>
      <w:r>
        <w:t xml:space="preserve"> </w:t>
      </w:r>
      <w:hyperlink r:id="rId209">
        <w:r>
          <w:rPr>
            <w:rStyle w:val="Hyperlink"/>
          </w:rPr>
          <w:t xml:space="preserve">https://doi.org/10.3758/s13423-018-1558-y</w:t>
        </w:r>
      </w:hyperlink>
      <w:r>
        <w:t xml:space="preserve">.</w:t>
      </w:r>
    </w:p>
    <w:bookmarkEnd w:id="210"/>
    <w:bookmarkStart w:id="212" w:name="ref-rouder2023"/>
    <w:p>
      <w:pPr>
        <w:pStyle w:val="Bibliography"/>
      </w:pPr>
      <w:r>
        <w:t xml:space="preserve">Rouder, Jeffrey N., Aakriti Kumar, and Julia M. Haaf. 2023.</w:t>
      </w:r>
      <w:r>
        <w:t xml:space="preserve"> </w:t>
      </w:r>
      <w:r>
        <w:t xml:space="preserve">“Why Many Studies of Individual Differences with Inhibition Tasks May Not Localize Correlations.”</w:t>
      </w:r>
      <w:r>
        <w:t xml:space="preserve"> </w:t>
      </w:r>
      <w:r>
        <w:rPr>
          <w:i/>
          <w:iCs/>
        </w:rPr>
        <w:t xml:space="preserve">Psychonomic Bulletin &amp; Review</w:t>
      </w:r>
      <w:r>
        <w:t xml:space="preserve"> </w:t>
      </w:r>
      <w:r>
        <w:t xml:space="preserve">30 (6): 2049–66.</w:t>
      </w:r>
      <w:r>
        <w:t xml:space="preserve"> </w:t>
      </w:r>
      <w:hyperlink r:id="rId211">
        <w:r>
          <w:rPr>
            <w:rStyle w:val="Hyperlink"/>
          </w:rPr>
          <w:t xml:space="preserve">https://doi.org/10.3758/s13423-023-02293-3</w:t>
        </w:r>
      </w:hyperlink>
      <w:r>
        <w:t xml:space="preserve">.</w:t>
      </w:r>
    </w:p>
    <w:bookmarkEnd w:id="212"/>
    <w:bookmarkStart w:id="214" w:name="ref-rubin2021"/>
    <w:p>
      <w:pPr>
        <w:pStyle w:val="Bibliography"/>
      </w:pPr>
      <w:r>
        <w:t xml:space="preserve">Rubin, Mark. 2021.</w:t>
      </w:r>
      <w:r>
        <w:t xml:space="preserve"> </w:t>
      </w:r>
      <w:r>
        <w:t xml:space="preserve">“When to Adjust Alpha During Multiple Testing: A Consideration of Disjunction, Conjunction, and Individual Testing.”</w:t>
      </w:r>
      <w:r>
        <w:t xml:space="preserve"> </w:t>
      </w:r>
      <w:r>
        <w:rPr>
          <w:i/>
          <w:iCs/>
        </w:rPr>
        <w:t xml:space="preserve">Synthese</w:t>
      </w:r>
      <w:r>
        <w:t xml:space="preserve"> </w:t>
      </w:r>
      <w:r>
        <w:t xml:space="preserve">199 (3-4): 10969–1000.</w:t>
      </w:r>
      <w:r>
        <w:t xml:space="preserve"> </w:t>
      </w:r>
      <w:hyperlink r:id="rId213">
        <w:r>
          <w:rPr>
            <w:rStyle w:val="Hyperlink"/>
          </w:rPr>
          <w:t xml:space="preserve">https://doi.org/10.1007/s11229-021-03276-4</w:t>
        </w:r>
      </w:hyperlink>
      <w:r>
        <w:t xml:space="preserve">.</w:t>
      </w:r>
    </w:p>
    <w:bookmarkEnd w:id="214"/>
    <w:bookmarkStart w:id="216" w:name="ref-schad2021"/>
    <w:p>
      <w:pPr>
        <w:pStyle w:val="Bibliography"/>
      </w:pPr>
      <w:r>
        <w:t xml:space="preserve">Schad, Daniel J., Michael Betancourt, and Shravan Vasishth. 2021.</w:t>
      </w:r>
      <w:r>
        <w:t xml:space="preserve"> </w:t>
      </w:r>
      <w:r>
        <w:t xml:space="preserve">“Toward a Principled</w:t>
      </w:r>
      <w:r>
        <w:t xml:space="preserve"> </w:t>
      </w:r>
      <w:r>
        <w:t xml:space="preserve">Bayesian</w:t>
      </w:r>
      <w:r>
        <w:t xml:space="preserve"> </w:t>
      </w:r>
      <w:r>
        <w:t xml:space="preserve">Workflow in Cognitive Science.”</w:t>
      </w:r>
      <w:r>
        <w:t xml:space="preserve"> </w:t>
      </w:r>
      <w:r>
        <w:rPr>
          <w:i/>
          <w:iCs/>
        </w:rPr>
        <w:t xml:space="preserve">Psychological Methods</w:t>
      </w:r>
      <w:r>
        <w:t xml:space="preserve"> </w:t>
      </w:r>
      <w:r>
        <w:t xml:space="preserve">26 (1): 103–26.</w:t>
      </w:r>
      <w:r>
        <w:t xml:space="preserve"> </w:t>
      </w:r>
      <w:hyperlink r:id="rId215">
        <w:r>
          <w:rPr>
            <w:rStyle w:val="Hyperlink"/>
          </w:rPr>
          <w:t xml:space="preserve">https://doi.org/10.1037/met0000275</w:t>
        </w:r>
      </w:hyperlink>
      <w:r>
        <w:t xml:space="preserve">.</w:t>
      </w:r>
    </w:p>
    <w:bookmarkEnd w:id="216"/>
    <w:bookmarkStart w:id="218" w:name="ref-scharfen2018"/>
    <w:p>
      <w:pPr>
        <w:pStyle w:val="Bibliography"/>
      </w:pPr>
      <w:r>
        <w:t xml:space="preserve">Scharfen, Jana, Judith Marie Peters, and Heinz Holling. 2018.</w:t>
      </w:r>
      <w:r>
        <w:t xml:space="preserve"> </w:t>
      </w:r>
      <w:r>
        <w:t xml:space="preserve">“Retest Effects in Cognitive Ability Tests: A Meta-Analysis.”</w:t>
      </w:r>
      <w:r>
        <w:t xml:space="preserve"> </w:t>
      </w:r>
      <w:r>
        <w:rPr>
          <w:i/>
          <w:iCs/>
        </w:rPr>
        <w:t xml:space="preserve">Intelligence</w:t>
      </w:r>
      <w:r>
        <w:t xml:space="preserve"> </w:t>
      </w:r>
      <w:r>
        <w:t xml:space="preserve">67: 44–66.</w:t>
      </w:r>
      <w:r>
        <w:t xml:space="preserve"> </w:t>
      </w:r>
      <w:hyperlink r:id="rId217">
        <w:r>
          <w:rPr>
            <w:rStyle w:val="Hyperlink"/>
          </w:rPr>
          <w:t xml:space="preserve">https://doi.org/10.1016/j.intell.2018.01.003</w:t>
        </w:r>
      </w:hyperlink>
      <w:r>
        <w:t xml:space="preserve">.</w:t>
      </w:r>
    </w:p>
    <w:bookmarkEnd w:id="218"/>
    <w:bookmarkStart w:id="220" w:name="ref-schielzeth2010"/>
    <w:p>
      <w:pPr>
        <w:pStyle w:val="Bibliography"/>
      </w:pPr>
      <w:r>
        <w:t xml:space="preserve">Schielzeth, Holger. 2010.</w:t>
      </w:r>
      <w:r>
        <w:t xml:space="preserve"> </w:t>
      </w:r>
      <w:r>
        <w:t xml:space="preserve">“Simple Means to Improve the Interpretability of Regression Coefficients.”</w:t>
      </w:r>
      <w:r>
        <w:t xml:space="preserve"> </w:t>
      </w:r>
      <w:r>
        <w:rPr>
          <w:i/>
          <w:iCs/>
        </w:rPr>
        <w:t xml:space="preserve">Methods in Ecology and Evolution</w:t>
      </w:r>
      <w:r>
        <w:t xml:space="preserve"> </w:t>
      </w:r>
      <w:r>
        <w:t xml:space="preserve">1 (2): 103–13.</w:t>
      </w:r>
      <w:r>
        <w:t xml:space="preserve"> </w:t>
      </w:r>
      <w:hyperlink r:id="rId219">
        <w:r>
          <w:rPr>
            <w:rStyle w:val="Hyperlink"/>
          </w:rPr>
          <w:t xml:space="preserve">https://doi.org/10.1111/j.2041-210X.2010.00012.x</w:t>
        </w:r>
      </w:hyperlink>
      <w:r>
        <w:t xml:space="preserve">.</w:t>
      </w:r>
    </w:p>
    <w:bookmarkEnd w:id="220"/>
    <w:bookmarkStart w:id="221" w:name="ref-shadish2002"/>
    <w:p>
      <w:pPr>
        <w:pStyle w:val="Bibliography"/>
      </w:pPr>
      <w:r>
        <w:t xml:space="preserve">Shadish, William R., Thomas D. Cook, and Donald T. Campbell. 2002.</w:t>
      </w:r>
      <w:r>
        <w:t xml:space="preserve"> </w:t>
      </w:r>
      <w:r>
        <w:rPr>
          <w:i/>
          <w:iCs/>
        </w:rPr>
        <w:t xml:space="preserve">Experimental and Quasi-Experimental Designs for Generalized Causal Inference</w:t>
      </w:r>
      <w:r>
        <w:t xml:space="preserve">. Houghton Mifflin.</w:t>
      </w:r>
    </w:p>
    <w:bookmarkEnd w:id="221"/>
    <w:bookmarkStart w:id="223" w:name="ref-simons2016"/>
    <w:p>
      <w:pPr>
        <w:pStyle w:val="Bibliography"/>
      </w:pPr>
      <w:r>
        <w:t xml:space="preserve">Simons, Daniel J., Walter R. Boot, Neil Charness, et al. 2016.</w:t>
      </w:r>
      <w:r>
        <w:t xml:space="preserve"> </w:t>
      </w:r>
      <w:r>
        <w:t xml:space="preserve">“Do</w:t>
      </w:r>
      <w:r>
        <w:t xml:space="preserve"> </w:t>
      </w:r>
      <w:r>
        <w:t xml:space="preserve">‘Brain-Training’</w:t>
      </w:r>
      <w:r>
        <w:t xml:space="preserve"> </w:t>
      </w:r>
      <w:r>
        <w:t xml:space="preserve">Programs Work?”</w:t>
      </w:r>
      <w:r>
        <w:t xml:space="preserve"> </w:t>
      </w:r>
      <w:r>
        <w:rPr>
          <w:i/>
          <w:iCs/>
        </w:rPr>
        <w:t xml:space="preserve">Psychological Science in the Public Interest</w:t>
      </w:r>
      <w:r>
        <w:t xml:space="preserve"> </w:t>
      </w:r>
      <w:r>
        <w:t xml:space="preserve">17 (3): 103–86.</w:t>
      </w:r>
      <w:r>
        <w:t xml:space="preserve"> </w:t>
      </w:r>
      <w:hyperlink r:id="rId222">
        <w:r>
          <w:rPr>
            <w:rStyle w:val="Hyperlink"/>
          </w:rPr>
          <w:t xml:space="preserve">https://doi.org/10.1177/1529100616661983</w:t>
        </w:r>
      </w:hyperlink>
      <w:r>
        <w:t xml:space="preserve">.</w:t>
      </w:r>
    </w:p>
    <w:bookmarkEnd w:id="223"/>
    <w:bookmarkStart w:id="225" w:name="ref-soskuthy2017"/>
    <w:p>
      <w:pPr>
        <w:pStyle w:val="Bibliography"/>
      </w:pPr>
      <w:r>
        <w:t xml:space="preserve">Sóskuthy, Márton. 2017.</w:t>
      </w:r>
      <w:r>
        <w:t xml:space="preserve"> </w:t>
      </w:r>
      <w:r>
        <w:rPr>
          <w:i/>
          <w:iCs/>
        </w:rPr>
        <w:t xml:space="preserve">Generalised Additive Mixed Models for Dynamic Analysis in Linguistics: A Practical Introduction</w:t>
      </w:r>
      <w:r>
        <w:t xml:space="preserve">. arXiv.</w:t>
      </w:r>
      <w:r>
        <w:t xml:space="preserve"> </w:t>
      </w:r>
      <w:hyperlink r:id="rId224">
        <w:r>
          <w:rPr>
            <w:rStyle w:val="Hyperlink"/>
          </w:rPr>
          <w:t xml:space="preserve">https://doi.org/10.48550/arXiv.1703.05339</w:t>
        </w:r>
      </w:hyperlink>
      <w:r>
        <w:t xml:space="preserve">.</w:t>
      </w:r>
    </w:p>
    <w:bookmarkEnd w:id="225"/>
    <w:bookmarkStart w:id="227" w:name="ref-stroop1935"/>
    <w:p>
      <w:pPr>
        <w:pStyle w:val="Bibliography"/>
      </w:pPr>
      <w:r>
        <w:t xml:space="preserve">Stroop, J. Ridley. 1935.</w:t>
      </w:r>
      <w:r>
        <w:t xml:space="preserve"> </w:t>
      </w:r>
      <w:r>
        <w:t xml:space="preserve">“Studies of Interference in Serial Verbal Reactions.”</w:t>
      </w:r>
      <w:r>
        <w:t xml:space="preserve"> </w:t>
      </w:r>
      <w:r>
        <w:rPr>
          <w:i/>
          <w:iCs/>
        </w:rPr>
        <w:t xml:space="preserve">Journal of Experimental Psychology</w:t>
      </w:r>
      <w:r>
        <w:t xml:space="preserve"> </w:t>
      </w:r>
      <w:r>
        <w:t xml:space="preserve">18 (6): 643–62.</w:t>
      </w:r>
      <w:r>
        <w:t xml:space="preserve"> </w:t>
      </w:r>
      <w:hyperlink r:id="rId226">
        <w:r>
          <w:rPr>
            <w:rStyle w:val="Hyperlink"/>
          </w:rPr>
          <w:t xml:space="preserve">https://doi.org/10.1037/h0054651</w:t>
        </w:r>
      </w:hyperlink>
      <w:r>
        <w:t xml:space="preserve">.</w:t>
      </w:r>
    </w:p>
    <w:bookmarkEnd w:id="227"/>
    <w:bookmarkStart w:id="229" w:name="ref-vehtari2017"/>
    <w:p>
      <w:pPr>
        <w:pStyle w:val="Bibliography"/>
      </w:pPr>
      <w:r>
        <w:t xml:space="preserve">Vehtari, Aki, Andrew Gelman, and Jonah Gabry. 2017.</w:t>
      </w:r>
      <w:r>
        <w:t xml:space="preserve"> </w:t>
      </w:r>
      <w:r>
        <w:t xml:space="preserve">“Practical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 </w:t>
      </w:r>
      <w:r>
        <w:t xml:space="preserve">27 (5): 1413–32.</w:t>
      </w:r>
      <w:r>
        <w:t xml:space="preserve"> </w:t>
      </w:r>
      <w:hyperlink r:id="rId228">
        <w:r>
          <w:rPr>
            <w:rStyle w:val="Hyperlink"/>
          </w:rPr>
          <w:t xml:space="preserve">https://doi.org/10.1007/s11222-016-9696-4</w:t>
        </w:r>
      </w:hyperlink>
      <w:r>
        <w:t xml:space="preserve">.</w:t>
      </w:r>
    </w:p>
    <w:bookmarkEnd w:id="229"/>
    <w:bookmarkStart w:id="231" w:name="ref-vehtari2021"/>
    <w:p>
      <w:pPr>
        <w:pStyle w:val="Bibliography"/>
      </w:pPr>
      <w:r>
        <w:t xml:space="preserve">Vehtari, Aki, Andrew Gelman, Daniel Simpson, Bob Carpenter, and Paul-Christian Bürkner. 2021.</w:t>
      </w:r>
      <w:r>
        <w:t xml:space="preserve"> </w:t>
      </w:r>
      <w:r>
        <w:t xml:space="preserve">“Rank-Normalization,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 </w:t>
      </w:r>
      <w:r>
        <w:t xml:space="preserve">16 (2): 667–718.</w:t>
      </w:r>
      <w:r>
        <w:t xml:space="preserve"> </w:t>
      </w:r>
      <w:hyperlink r:id="rId230">
        <w:r>
          <w:rPr>
            <w:rStyle w:val="Hyperlink"/>
          </w:rPr>
          <w:t xml:space="preserve">https://doi.org/10.1214/20-BA1221</w:t>
        </w:r>
      </w:hyperlink>
      <w:r>
        <w:t xml:space="preserve">.</w:t>
      </w:r>
    </w:p>
    <w:bookmarkEnd w:id="231"/>
    <w:bookmarkStart w:id="233" w:name="ref-voytek2015"/>
    <w:p>
      <w:pPr>
        <w:pStyle w:val="Bibliography"/>
      </w:pPr>
      <w:r>
        <w:t xml:space="preserve">Voytek, Bradley, Mark A. Kramer, John Case, et al. 2015.</w:t>
      </w:r>
      <w:r>
        <w:t xml:space="preserve"> </w:t>
      </w:r>
      <w:r>
        <w:t xml:space="preserve">“Age-Related Changes in 1/f Neural Electrophysiological Noise.”</w:t>
      </w:r>
      <w:r>
        <w:t xml:space="preserve"> </w:t>
      </w:r>
      <w:r>
        <w:rPr>
          <w:i/>
          <w:iCs/>
        </w:rPr>
        <w:t xml:space="preserve">The Journal of Neuroscience</w:t>
      </w:r>
      <w:r>
        <w:t xml:space="preserve"> </w:t>
      </w:r>
      <w:r>
        <w:t xml:space="preserve">35 (38): 13257–65.</w:t>
      </w:r>
      <w:r>
        <w:t xml:space="preserve"> </w:t>
      </w:r>
      <w:hyperlink r:id="rId232">
        <w:r>
          <w:rPr>
            <w:rStyle w:val="Hyperlink"/>
          </w:rPr>
          <w:t xml:space="preserve">https://doi.org/10.1523/JNEUROSCI.2332-14.2015</w:t>
        </w:r>
      </w:hyperlink>
      <w:r>
        <w:t xml:space="preserve">.</w:t>
      </w:r>
    </w:p>
    <w:bookmarkEnd w:id="233"/>
    <w:bookmarkStart w:id="235" w:name="ref-wagenmakers2012"/>
    <w:p>
      <w:pPr>
        <w:pStyle w:val="Bibliography"/>
      </w:pPr>
      <w:r>
        <w:t xml:space="preserve">Wagenmakers, Eric-Jan, Ruud Wetzels, Denny Borsboom, Han L. J. van der Maas, and Rogier A. Kievit</w:t>
      </w:r>
      <w:r>
        <w:t xml:space="preserve">. 2012.</w:t>
      </w:r>
      <w:r>
        <w:t xml:space="preserve"> </w:t>
      </w:r>
      <w:r>
        <w:t xml:space="preserve">“An Agenda for Purely Confirmatory Research.”</w:t>
      </w:r>
      <w:r>
        <w:t xml:space="preserve"> </w:t>
      </w:r>
      <w:r>
        <w:rPr>
          <w:i/>
          <w:iCs/>
        </w:rPr>
        <w:t xml:space="preserve">Perspectives on Psychological Science</w:t>
      </w:r>
      <w:r>
        <w:t xml:space="preserve"> </w:t>
      </w:r>
      <w:r>
        <w:t xml:space="preserve">7 (6): 632–38.</w:t>
      </w:r>
      <w:r>
        <w:t xml:space="preserve"> </w:t>
      </w:r>
      <w:hyperlink r:id="rId234">
        <w:r>
          <w:rPr>
            <w:rStyle w:val="Hyperlink"/>
          </w:rPr>
          <w:t xml:space="preserve">https://doi.org/10.1177/1745691612463078</w:t>
        </w:r>
      </w:hyperlink>
      <w:r>
        <w:t xml:space="preserve">.</w:t>
      </w:r>
    </w:p>
    <w:bookmarkEnd w:id="235"/>
    <w:bookmarkStart w:id="237" w:name="ref-welch1967"/>
    <w:p>
      <w:pPr>
        <w:pStyle w:val="Bibliography"/>
      </w:pPr>
      <w:r>
        <w:t xml:space="preserve">Welch, Peter D. 1967.</w:t>
      </w:r>
      <w:r>
        <w:t xml:space="preserve"> </w:t>
      </w:r>
      <w:r>
        <w:t xml:space="preserve">“The Use of Fast</w:t>
      </w:r>
      <w:r>
        <w:t xml:space="preserve"> </w:t>
      </w:r>
      <w:r>
        <w:t xml:space="preserve">Fourier</w:t>
      </w:r>
      <w:r>
        <w:t xml:space="preserve"> </w:t>
      </w:r>
      <w:r>
        <w:t xml:space="preserve">Transform for the Estimation of Power Spectra: A Method Based on Time Averaging over Short, Modified Periodograms.”</w:t>
      </w:r>
      <w:r>
        <w:t xml:space="preserve"> </w:t>
      </w:r>
      <w:r>
        <w:rPr>
          <w:i/>
          <w:iCs/>
        </w:rPr>
        <w:t xml:space="preserve">IEEE Transactions on Audio and Electroacoustics</w:t>
      </w:r>
      <w:r>
        <w:t xml:space="preserve"> </w:t>
      </w:r>
      <w:r>
        <w:t xml:space="preserve">15 (2): 70–73.</w:t>
      </w:r>
      <w:r>
        <w:t xml:space="preserve"> </w:t>
      </w:r>
      <w:hyperlink r:id="rId236">
        <w:r>
          <w:rPr>
            <w:rStyle w:val="Hyperlink"/>
          </w:rPr>
          <w:t xml:space="preserve">https://doi.org/10.1109/TAU.1967.1161901</w:t>
        </w:r>
      </w:hyperlink>
      <w:r>
        <w:t xml:space="preserve">.</w:t>
      </w:r>
    </w:p>
    <w:bookmarkEnd w:id="237"/>
    <w:bookmarkStart w:id="239" w:name="ref-winterwieling2016"/>
    <w:p>
      <w:pPr>
        <w:pStyle w:val="Bibliography"/>
      </w:pPr>
      <w:r>
        <w:t xml:space="preserve">Winter, Bodo, and Martijn Wieling. 2016.</w:t>
      </w:r>
      <w:r>
        <w:t xml:space="preserve"> </w:t>
      </w:r>
      <w:r>
        <w:t xml:space="preserve">“How to Analyze Linguistic Change Using Mixed Models, Growth Curve Analysis and Generalized Additive Modeling.”</w:t>
      </w:r>
      <w:r>
        <w:t xml:space="preserve"> </w:t>
      </w:r>
      <w:r>
        <w:rPr>
          <w:i/>
          <w:iCs/>
        </w:rPr>
        <w:t xml:space="preserve">Journal of Language Evolution</w:t>
      </w:r>
      <w:r>
        <w:t xml:space="preserve"> </w:t>
      </w:r>
      <w:r>
        <w:t xml:space="preserve">1 (1): 7–18.</w:t>
      </w:r>
      <w:r>
        <w:t xml:space="preserve"> </w:t>
      </w:r>
      <w:hyperlink r:id="rId238">
        <w:r>
          <w:rPr>
            <w:rStyle w:val="Hyperlink"/>
          </w:rPr>
          <w:t xml:space="preserve">https://doi.org/10.1093/jole/lzv003</w:t>
        </w:r>
      </w:hyperlink>
      <w:r>
        <w:t xml:space="preserve">.</w:t>
      </w:r>
    </w:p>
    <w:bookmarkEnd w:id="239"/>
    <w:bookmarkStart w:id="241" w:name="ref-zhou2024"/>
    <w:p>
      <w:pPr>
        <w:pStyle w:val="Bibliography"/>
      </w:pPr>
      <w:r>
        <w:t xml:space="preserve">Zhou, Haoyu, Sam Boeve, and Louisa Bogaerts. 2024.</w:t>
      </w:r>
      <w:r>
        <w:t xml:space="preserve"> </w:t>
      </w:r>
      <w:r>
        <w:t xml:space="preserve">“A Meta-Analysis of 97 Studies Reveals That Statistical Learning and Language Ability Are Only Weakly Correlated.”</w:t>
      </w:r>
      <w:r>
        <w:t xml:space="preserve"> </w:t>
      </w:r>
      <w:r>
        <w:rPr>
          <w:i/>
          <w:iCs/>
        </w:rPr>
        <w:t xml:space="preserve">L’Ann</w:t>
      </w:r>
      <w:r>
        <w:rPr>
          <w:i/>
          <w:iCs/>
        </w:rPr>
        <w:t xml:space="preserve">é</w:t>
      </w:r>
      <w:r>
        <w:rPr>
          <w:i/>
          <w:iCs/>
        </w:rPr>
        <w:t xml:space="preserve">e Psychologique</w:t>
      </w:r>
      <w:r>
        <w:t xml:space="preserve"> </w:t>
      </w:r>
      <w:r>
        <w:t xml:space="preserve">124 (3): 283–316.</w:t>
      </w:r>
      <w:r>
        <w:t xml:space="preserve"> </w:t>
      </w:r>
      <w:hyperlink r:id="rId240">
        <w:r>
          <w:rPr>
            <w:rStyle w:val="Hyperlink"/>
          </w:rPr>
          <w:t xml:space="preserve">https://doi.org/10.3917/anpsy1.243.0283</w:t>
        </w:r>
      </w:hyperlink>
      <w:r>
        <w:t xml:space="preserve">.</w:t>
      </w:r>
    </w:p>
    <w:bookmarkEnd w:id="241"/>
    <w:bookmarkEnd w:id="242"/>
    <w:bookmarkEnd w:id="2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hyperlink" Id="rId26" Target="https://claude.com/claude-code" TargetMode="External" /><Relationship Type="http://schemas.openxmlformats.org/officeDocument/2006/relationships/hyperlink" Id="rId195" Target="https://doi.org/10.1007/s11222-016-9649-y" TargetMode="External" /><Relationship Type="http://schemas.openxmlformats.org/officeDocument/2006/relationships/hyperlink" Id="rId228" Target="https://doi.org/10.1007/s11222-016-9696-4" TargetMode="External" /><Relationship Type="http://schemas.openxmlformats.org/officeDocument/2006/relationships/hyperlink" Id="rId213" Target="https://doi.org/10.1007/s11229-021-03276-4" TargetMode="External" /><Relationship Type="http://schemas.openxmlformats.org/officeDocument/2006/relationships/hyperlink" Id="rId119" Target="https://doi.org/10.1007/s12021-022-09581-8" TargetMode="External" /><Relationship Type="http://schemas.openxmlformats.org/officeDocument/2006/relationships/hyperlink" Id="rId181" Target="https://doi.org/10.1016/0010-0285(87)90002-8" TargetMode="External" /><Relationship Type="http://schemas.openxmlformats.org/officeDocument/2006/relationships/hyperlink" Id="rId147" Target="https://doi.org/10.1016/S0165-0173(98)00056-3" TargetMode="External" /><Relationship Type="http://schemas.openxmlformats.org/officeDocument/2006/relationships/hyperlink" Id="rId199" Target="https://doi.org/10.1016/j.bandl.2016.04.007" TargetMode="External" /><Relationship Type="http://schemas.openxmlformats.org/officeDocument/2006/relationships/hyperlink" Id="rId191" Target="https://doi.org/10.1016/j.cogpsych.2012.12.002" TargetMode="External" /><Relationship Type="http://schemas.openxmlformats.org/officeDocument/2006/relationships/hyperlink" Id="rId157" Target="https://doi.org/10.1016/j.cortex.2014.05.001" TargetMode="External" /><Relationship Type="http://schemas.openxmlformats.org/officeDocument/2006/relationships/hyperlink" Id="rId217" Target="https://doi.org/10.1016/j.intell.2018.01.003" TargetMode="External" /><Relationship Type="http://schemas.openxmlformats.org/officeDocument/2006/relationships/hyperlink" Id="rId185" Target="https://doi.org/10.1016/j.intell.2022.101644" TargetMode="External" /><Relationship Type="http://schemas.openxmlformats.org/officeDocument/2006/relationships/hyperlink" Id="rId70" Target="https://doi.org/10.1016/j.jml.2012.11.001" TargetMode="External" /><Relationship Type="http://schemas.openxmlformats.org/officeDocument/2006/relationships/hyperlink" Id="rId155" Target="https://doi.org/10.1016/j.jmva.2009.04.008" TargetMode="External" /><Relationship Type="http://schemas.openxmlformats.org/officeDocument/2006/relationships/hyperlink" Id="rId169" Target="https://doi.org/10.1016/j.neuroimage.2012.06.043" TargetMode="External" /><Relationship Type="http://schemas.openxmlformats.org/officeDocument/2006/relationships/hyperlink" Id="rId123" Target="https://doi.org/10.1016/j.neuroimage.2013.04.059" TargetMode="External" /><Relationship Type="http://schemas.openxmlformats.org/officeDocument/2006/relationships/hyperlink" Id="rId107" Target="https://doi.org/10.1016/j.neuroimage.2017.06.078" TargetMode="External" /><Relationship Type="http://schemas.openxmlformats.org/officeDocument/2006/relationships/hyperlink" Id="rId189" Target="https://doi.org/10.1016/j.neuroimage.2019.116304" TargetMode="External" /><Relationship Type="http://schemas.openxmlformats.org/officeDocument/2006/relationships/hyperlink" Id="rId115" Target="https://doi.org/10.1017/CBO9780511790942" TargetMode="External" /><Relationship Type="http://schemas.openxmlformats.org/officeDocument/2006/relationships/hyperlink" Id="rId137" Target="https://doi.org/10.1017/S0272263124000238" TargetMode="External" /><Relationship Type="http://schemas.openxmlformats.org/officeDocument/2006/relationships/hyperlink" Id="rId177" Target="https://doi.org/10.1017/S1366728912000715" TargetMode="External" /><Relationship Type="http://schemas.openxmlformats.org/officeDocument/2006/relationships/hyperlink" Id="rId159" Target="https://doi.org/10.1017/S1366728918001153" TargetMode="External" /><Relationship Type="http://schemas.openxmlformats.org/officeDocument/2006/relationships/hyperlink" Id="rId205" Target="https://doi.org/10.1017/S1366728922000815" TargetMode="External" /><Relationship Type="http://schemas.openxmlformats.org/officeDocument/2006/relationships/hyperlink" Id="rId135" Target="https://doi.org/10.1037/0882-7974.12.4.634" TargetMode="External" /><Relationship Type="http://schemas.openxmlformats.org/officeDocument/2006/relationships/hyperlink" Id="rId99" Target="https://doi.org/10.1037/bul0000192" TargetMode="External" /><Relationship Type="http://schemas.openxmlformats.org/officeDocument/2006/relationships/hyperlink" Id="rId226" Target="https://doi.org/10.1037/h0054651" TargetMode="External" /><Relationship Type="http://schemas.openxmlformats.org/officeDocument/2006/relationships/hyperlink" Id="rId93" Target="https://doi.org/10.1037/met0000065" TargetMode="External" /><Relationship Type="http://schemas.openxmlformats.org/officeDocument/2006/relationships/hyperlink" Id="rId77" Target="https://doi.org/10.1037/met0000159" TargetMode="External" /><Relationship Type="http://schemas.openxmlformats.org/officeDocument/2006/relationships/hyperlink" Id="rId215" Target="https://doi.org/10.1037/met0000275" TargetMode="External" /><Relationship Type="http://schemas.openxmlformats.org/officeDocument/2006/relationships/hyperlink" Id="rId72" Target="https://doi.org/10.1037/pag0000439" TargetMode="External" /><Relationship Type="http://schemas.openxmlformats.org/officeDocument/2006/relationships/hyperlink" Id="rId95" Target="https://doi.org/10.1038/s41562-019-0609-3" TargetMode="External" /><Relationship Type="http://schemas.openxmlformats.org/officeDocument/2006/relationships/hyperlink" Id="rId149" Target="https://doi.org/10.1038/s41562-021-01177-7" TargetMode="External" /><Relationship Type="http://schemas.openxmlformats.org/officeDocument/2006/relationships/hyperlink" Id="rId97" Target="https://doi.org/10.1038/s41593-020-00744-x" TargetMode="External" /><Relationship Type="http://schemas.openxmlformats.org/officeDocument/2006/relationships/hyperlink" Id="rId197" Target="https://doi.org/10.1038/s41598-020-60661-8" TargetMode="External" /><Relationship Type="http://schemas.openxmlformats.org/officeDocument/2006/relationships/hyperlink" Id="rId143" Target="https://doi.org/10.1038/s41598-022-07629-y" TargetMode="External" /><Relationship Type="http://schemas.openxmlformats.org/officeDocument/2006/relationships/hyperlink" Id="rId183" Target="https://doi.org/10.1073/pnas.1708274114" TargetMode="External" /><Relationship Type="http://schemas.openxmlformats.org/officeDocument/2006/relationships/hyperlink" Id="rId153" Target="https://doi.org/10.1075/itl.25009.kur" TargetMode="External" /><Relationship Type="http://schemas.openxmlformats.org/officeDocument/2006/relationships/hyperlink" Id="rId171" Target="https://doi.org/10.1080/00031305.2017.1375986" TargetMode="External" /><Relationship Type="http://schemas.openxmlformats.org/officeDocument/2006/relationships/hyperlink" Id="rId83" Target="https://doi.org/10.1080/13854046.2012.680913" TargetMode="External" /><Relationship Type="http://schemas.openxmlformats.org/officeDocument/2006/relationships/hyperlink" Id="rId121" Target="https://doi.org/10.1080/14790718.2024.2415993" TargetMode="External" /><Relationship Type="http://schemas.openxmlformats.org/officeDocument/2006/relationships/hyperlink" Id="rId141" Target="https://doi.org/10.1080/23273798.2025.2576908" TargetMode="External" /><Relationship Type="http://schemas.openxmlformats.org/officeDocument/2006/relationships/hyperlink" Id="rId161" Target="https://doi.org/10.1093/applin/amu054" TargetMode="External" /><Relationship Type="http://schemas.openxmlformats.org/officeDocument/2006/relationships/hyperlink" Id="rId68" Target="https://doi.org/10.1093/ije/dyh299" TargetMode="External" /><Relationship Type="http://schemas.openxmlformats.org/officeDocument/2006/relationships/hyperlink" Id="rId238" Target="https://doi.org/10.1093/jole/lzv003" TargetMode="External" /><Relationship Type="http://schemas.openxmlformats.org/officeDocument/2006/relationships/hyperlink" Id="rId109" Target="https://doi.org/10.1093/pan/mpi032" TargetMode="External" /><Relationship Type="http://schemas.openxmlformats.org/officeDocument/2006/relationships/hyperlink" Id="rId187" Target="https://doi.org/10.1098/rsos.221542" TargetMode="External" /><Relationship Type="http://schemas.openxmlformats.org/officeDocument/2006/relationships/hyperlink" Id="rId236" Target="https://doi.org/10.1109/TAU.1967.1161901" TargetMode="External" /><Relationship Type="http://schemas.openxmlformats.org/officeDocument/2006/relationships/hyperlink" Id="rId207" Target="https://doi.org/10.1111/ecog.02881" TargetMode="External" /><Relationship Type="http://schemas.openxmlformats.org/officeDocument/2006/relationships/hyperlink" Id="rId175" Target="https://doi.org/10.1111/j.1467-9922.2010.00626.x" TargetMode="External" /><Relationship Type="http://schemas.openxmlformats.org/officeDocument/2006/relationships/hyperlink" Id="rId219" Target="https://doi.org/10.1111/j.2041-210X.2010.00012.x" TargetMode="External" /><Relationship Type="http://schemas.openxmlformats.org/officeDocument/2006/relationships/hyperlink" Id="rId125" Target="https://doi.org/10.1111/psyp.12043" TargetMode="External" /><Relationship Type="http://schemas.openxmlformats.org/officeDocument/2006/relationships/hyperlink" Id="rId91" Target="https://doi.org/10.1111/psyp.13064" TargetMode="External" /><Relationship Type="http://schemas.openxmlformats.org/officeDocument/2006/relationships/hyperlink" Id="rId101" Target="https://doi.org/10.1111/psyp.14543" TargetMode="External" /><Relationship Type="http://schemas.openxmlformats.org/officeDocument/2006/relationships/hyperlink" Id="rId105" Target="https://doi.org/10.1111/rssa.12378" TargetMode="External" /><Relationship Type="http://schemas.openxmlformats.org/officeDocument/2006/relationships/hyperlink" Id="rId201" Target="https://doi.org/10.1162/jocn_a_01337" TargetMode="External" /><Relationship Type="http://schemas.openxmlformats.org/officeDocument/2006/relationships/hyperlink" Id="rId222" Target="https://doi.org/10.1177/1529100616661983" TargetMode="External" /><Relationship Type="http://schemas.openxmlformats.org/officeDocument/2006/relationships/hyperlink" Id="rId234" Target="https://doi.org/10.1177/1745691612463078" TargetMode="External" /><Relationship Type="http://schemas.openxmlformats.org/officeDocument/2006/relationships/hyperlink" Id="rId75" Target="https://doi.org/10.1177/1745691613491271" TargetMode="External" /><Relationship Type="http://schemas.openxmlformats.org/officeDocument/2006/relationships/hyperlink" Id="rId113" Target="https://doi.org/10.1177/1745691614551642" TargetMode="External" /><Relationship Type="http://schemas.openxmlformats.org/officeDocument/2006/relationships/hyperlink" Id="rId165" Target="https://doi.org/10.1177/2158244015607352" TargetMode="External" /><Relationship Type="http://schemas.openxmlformats.org/officeDocument/2006/relationships/hyperlink" Id="rId111" Target="https://doi.org/10.1214/06-BA117A" TargetMode="External" /><Relationship Type="http://schemas.openxmlformats.org/officeDocument/2006/relationships/hyperlink" Id="rId117" Target="https://doi.org/10.1214/08-AOAS191" TargetMode="External" /><Relationship Type="http://schemas.openxmlformats.org/officeDocument/2006/relationships/hyperlink" Id="rId230" Target="https://doi.org/10.1214/20-BA1221" TargetMode="External" /><Relationship Type="http://schemas.openxmlformats.org/officeDocument/2006/relationships/hyperlink" Id="rId193" Target="https://doi.org/10.1214/20-EJS1711" TargetMode="External" /><Relationship Type="http://schemas.openxmlformats.org/officeDocument/2006/relationships/hyperlink" Id="rId173" Target="https://doi.org/10.1214/24-STS949" TargetMode="External" /><Relationship Type="http://schemas.openxmlformats.org/officeDocument/2006/relationships/hyperlink" Id="rId232" Target="https://doi.org/10.1523/JNEUROSCI.2332-14.2015" TargetMode="External" /><Relationship Type="http://schemas.openxmlformats.org/officeDocument/2006/relationships/hyperlink" Id="rId85" Target="https://doi.org/10.18637/jss.v076.i01" TargetMode="External" /><Relationship Type="http://schemas.openxmlformats.org/officeDocument/2006/relationships/hyperlink" Id="rId79" Target="https://doi.org/10.18637/jss.v080.i01" TargetMode="External" /><Relationship Type="http://schemas.openxmlformats.org/officeDocument/2006/relationships/hyperlink" Id="rId145" Target="https://doi.org/10.3233/bpl-200117" TargetMode="External" /><Relationship Type="http://schemas.openxmlformats.org/officeDocument/2006/relationships/hyperlink" Id="rId81" Target="https://doi.org/10.32614/RJ-2018-017" TargetMode="External" /><Relationship Type="http://schemas.openxmlformats.org/officeDocument/2006/relationships/hyperlink" Id="rId127" Target="https://doi.org/10.3389/fnagi.2023.1123185" TargetMode="External" /><Relationship Type="http://schemas.openxmlformats.org/officeDocument/2006/relationships/hyperlink" Id="rId167" Target="https://doi.org/10.3389/fpsyg.2019.02767" TargetMode="External" /><Relationship Type="http://schemas.openxmlformats.org/officeDocument/2006/relationships/hyperlink" Id="rId89" Target="https://doi.org/10.3389/fpsyg.2022.943988" TargetMode="External" /><Relationship Type="http://schemas.openxmlformats.org/officeDocument/2006/relationships/hyperlink" Id="rId129" Target="https://doi.org/10.3758/BF03212979" TargetMode="External" /><Relationship Type="http://schemas.openxmlformats.org/officeDocument/2006/relationships/hyperlink" Id="rId179" Target="https://doi.org/10.3758/s13423-011-0076-y" TargetMode="External" /><Relationship Type="http://schemas.openxmlformats.org/officeDocument/2006/relationships/hyperlink" Id="rId163" Target="https://doi.org/10.3758/s13423-013-0565-2" TargetMode="External" /><Relationship Type="http://schemas.openxmlformats.org/officeDocument/2006/relationships/hyperlink" Id="rId151" Target="https://doi.org/10.3758/s13423-016-1221-4" TargetMode="External" /><Relationship Type="http://schemas.openxmlformats.org/officeDocument/2006/relationships/hyperlink" Id="rId209" Target="https://doi.org/10.3758/s13423-018-1558-y" TargetMode="External" /><Relationship Type="http://schemas.openxmlformats.org/officeDocument/2006/relationships/hyperlink" Id="rId211" Target="https://doi.org/10.3758/s13423-023-02293-3" TargetMode="External" /><Relationship Type="http://schemas.openxmlformats.org/officeDocument/2006/relationships/hyperlink" Id="rId133" Target="https://doi.org/10.3758/s13428-017-0935-1" TargetMode="External" /><Relationship Type="http://schemas.openxmlformats.org/officeDocument/2006/relationships/hyperlink" Id="rId66" Target="https://doi.org/10.3758/s13428-019-01237-x" TargetMode="External" /><Relationship Type="http://schemas.openxmlformats.org/officeDocument/2006/relationships/hyperlink" Id="rId103" Target="https://doi.org/10.3758/s13428-022-02038-5" TargetMode="External" /><Relationship Type="http://schemas.openxmlformats.org/officeDocument/2006/relationships/hyperlink" Id="rId139" Target="https://doi.org/10.3758/s13428-024-02462-9" TargetMode="External" /><Relationship Type="http://schemas.openxmlformats.org/officeDocument/2006/relationships/hyperlink" Id="rId240" Target="https://doi.org/10.3917/anpsy1.243.0283" TargetMode="External" /><Relationship Type="http://schemas.openxmlformats.org/officeDocument/2006/relationships/hyperlink" Id="rId224" Target="https://doi.org/10.48550/arXiv.1703.05339" TargetMode="External" /><Relationship Type="http://schemas.openxmlformats.org/officeDocument/2006/relationships/hyperlink" Id="rId87" Target="https://doi.org/10.48550/arXiv.2109.04702" TargetMode="External" /><Relationship Type="http://schemas.openxmlformats.org/officeDocument/2006/relationships/hyperlink" Id="rId131" Target="https://doi.org/10.5334/joc.169" TargetMode="External" /><Relationship Type="http://schemas.openxmlformats.org/officeDocument/2006/relationships/hyperlink" Id="rId60" Target="https://github.com/pablobernabeu/LESS-cognitive-predictors" TargetMode="External" /><Relationship Type="http://schemas.openxmlformats.org/officeDocument/2006/relationships/hyperlink" Id="rId29" Target="https://osf.io/tjr54" TargetMode="External" /><Relationship Type="http://schemas.openxmlformats.org/officeDocument/2006/relationships/hyperlink" Id="rId59" Target="https://osf.io/tq7vy" TargetMode="External" /><Relationship Type="http://schemas.openxmlformats.org/officeDocument/2006/relationships/hyperlink" Id="rId20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6" Target="https://claude.com/claude-code" TargetMode="External" /><Relationship Type="http://schemas.openxmlformats.org/officeDocument/2006/relationships/hyperlink" Id="rId195" Target="https://doi.org/10.1007/s11222-016-9649-y" TargetMode="External" /><Relationship Type="http://schemas.openxmlformats.org/officeDocument/2006/relationships/hyperlink" Id="rId228" Target="https://doi.org/10.1007/s11222-016-9696-4" TargetMode="External" /><Relationship Type="http://schemas.openxmlformats.org/officeDocument/2006/relationships/hyperlink" Id="rId213" Target="https://doi.org/10.1007/s11229-021-03276-4" TargetMode="External" /><Relationship Type="http://schemas.openxmlformats.org/officeDocument/2006/relationships/hyperlink" Id="rId119" Target="https://doi.org/10.1007/s12021-022-09581-8" TargetMode="External" /><Relationship Type="http://schemas.openxmlformats.org/officeDocument/2006/relationships/hyperlink" Id="rId181" Target="https://doi.org/10.1016/0010-0285(87)90002-8" TargetMode="External" /><Relationship Type="http://schemas.openxmlformats.org/officeDocument/2006/relationships/hyperlink" Id="rId147" Target="https://doi.org/10.1016/S0165-0173(98)00056-3" TargetMode="External" /><Relationship Type="http://schemas.openxmlformats.org/officeDocument/2006/relationships/hyperlink" Id="rId199" Target="https://doi.org/10.1016/j.bandl.2016.04.007" TargetMode="External" /><Relationship Type="http://schemas.openxmlformats.org/officeDocument/2006/relationships/hyperlink" Id="rId191" Target="https://doi.org/10.1016/j.cogpsych.2012.12.002" TargetMode="External" /><Relationship Type="http://schemas.openxmlformats.org/officeDocument/2006/relationships/hyperlink" Id="rId157" Target="https://doi.org/10.1016/j.cortex.2014.05.001" TargetMode="External" /><Relationship Type="http://schemas.openxmlformats.org/officeDocument/2006/relationships/hyperlink" Id="rId217" Target="https://doi.org/10.1016/j.intell.2018.01.003" TargetMode="External" /><Relationship Type="http://schemas.openxmlformats.org/officeDocument/2006/relationships/hyperlink" Id="rId185" Target="https://doi.org/10.1016/j.intell.2022.101644" TargetMode="External" /><Relationship Type="http://schemas.openxmlformats.org/officeDocument/2006/relationships/hyperlink" Id="rId70" Target="https://doi.org/10.1016/j.jml.2012.11.001" TargetMode="External" /><Relationship Type="http://schemas.openxmlformats.org/officeDocument/2006/relationships/hyperlink" Id="rId155" Target="https://doi.org/10.1016/j.jmva.2009.04.008" TargetMode="External" /><Relationship Type="http://schemas.openxmlformats.org/officeDocument/2006/relationships/hyperlink" Id="rId169" Target="https://doi.org/10.1016/j.neuroimage.2012.06.043" TargetMode="External" /><Relationship Type="http://schemas.openxmlformats.org/officeDocument/2006/relationships/hyperlink" Id="rId123" Target="https://doi.org/10.1016/j.neuroimage.2013.04.059" TargetMode="External" /><Relationship Type="http://schemas.openxmlformats.org/officeDocument/2006/relationships/hyperlink" Id="rId107" Target="https://doi.org/10.1016/j.neuroimage.2017.06.078" TargetMode="External" /><Relationship Type="http://schemas.openxmlformats.org/officeDocument/2006/relationships/hyperlink" Id="rId189" Target="https://doi.org/10.1016/j.neuroimage.2019.116304" TargetMode="External" /><Relationship Type="http://schemas.openxmlformats.org/officeDocument/2006/relationships/hyperlink" Id="rId115" Target="https://doi.org/10.1017/CBO9780511790942" TargetMode="External" /><Relationship Type="http://schemas.openxmlformats.org/officeDocument/2006/relationships/hyperlink" Id="rId137" Target="https://doi.org/10.1017/S0272263124000238" TargetMode="External" /><Relationship Type="http://schemas.openxmlformats.org/officeDocument/2006/relationships/hyperlink" Id="rId177" Target="https://doi.org/10.1017/S1366728912000715" TargetMode="External" /><Relationship Type="http://schemas.openxmlformats.org/officeDocument/2006/relationships/hyperlink" Id="rId159" Target="https://doi.org/10.1017/S1366728918001153" TargetMode="External" /><Relationship Type="http://schemas.openxmlformats.org/officeDocument/2006/relationships/hyperlink" Id="rId205" Target="https://doi.org/10.1017/S1366728922000815" TargetMode="External" /><Relationship Type="http://schemas.openxmlformats.org/officeDocument/2006/relationships/hyperlink" Id="rId135" Target="https://doi.org/10.1037/0882-7974.12.4.634" TargetMode="External" /><Relationship Type="http://schemas.openxmlformats.org/officeDocument/2006/relationships/hyperlink" Id="rId99" Target="https://doi.org/10.1037/bul0000192" TargetMode="External" /><Relationship Type="http://schemas.openxmlformats.org/officeDocument/2006/relationships/hyperlink" Id="rId226" Target="https://doi.org/10.1037/h0054651" TargetMode="External" /><Relationship Type="http://schemas.openxmlformats.org/officeDocument/2006/relationships/hyperlink" Id="rId93" Target="https://doi.org/10.1037/met0000065" TargetMode="External" /><Relationship Type="http://schemas.openxmlformats.org/officeDocument/2006/relationships/hyperlink" Id="rId77" Target="https://doi.org/10.1037/met0000159" TargetMode="External" /><Relationship Type="http://schemas.openxmlformats.org/officeDocument/2006/relationships/hyperlink" Id="rId215" Target="https://doi.org/10.1037/met0000275" TargetMode="External" /><Relationship Type="http://schemas.openxmlformats.org/officeDocument/2006/relationships/hyperlink" Id="rId72" Target="https://doi.org/10.1037/pag0000439" TargetMode="External" /><Relationship Type="http://schemas.openxmlformats.org/officeDocument/2006/relationships/hyperlink" Id="rId95" Target="https://doi.org/10.1038/s41562-019-0609-3" TargetMode="External" /><Relationship Type="http://schemas.openxmlformats.org/officeDocument/2006/relationships/hyperlink" Id="rId149" Target="https://doi.org/10.1038/s41562-021-01177-7" TargetMode="External" /><Relationship Type="http://schemas.openxmlformats.org/officeDocument/2006/relationships/hyperlink" Id="rId97" Target="https://doi.org/10.1038/s41593-020-00744-x" TargetMode="External" /><Relationship Type="http://schemas.openxmlformats.org/officeDocument/2006/relationships/hyperlink" Id="rId197" Target="https://doi.org/10.1038/s41598-020-60661-8" TargetMode="External" /><Relationship Type="http://schemas.openxmlformats.org/officeDocument/2006/relationships/hyperlink" Id="rId143" Target="https://doi.org/10.1038/s41598-022-07629-y" TargetMode="External" /><Relationship Type="http://schemas.openxmlformats.org/officeDocument/2006/relationships/hyperlink" Id="rId183" Target="https://doi.org/10.1073/pnas.1708274114" TargetMode="External" /><Relationship Type="http://schemas.openxmlformats.org/officeDocument/2006/relationships/hyperlink" Id="rId153" Target="https://doi.org/10.1075/itl.25009.kur" TargetMode="External" /><Relationship Type="http://schemas.openxmlformats.org/officeDocument/2006/relationships/hyperlink" Id="rId171" Target="https://doi.org/10.1080/00031305.2017.1375986" TargetMode="External" /><Relationship Type="http://schemas.openxmlformats.org/officeDocument/2006/relationships/hyperlink" Id="rId83" Target="https://doi.org/10.1080/13854046.2012.680913" TargetMode="External" /><Relationship Type="http://schemas.openxmlformats.org/officeDocument/2006/relationships/hyperlink" Id="rId121" Target="https://doi.org/10.1080/14790718.2024.2415993" TargetMode="External" /><Relationship Type="http://schemas.openxmlformats.org/officeDocument/2006/relationships/hyperlink" Id="rId141" Target="https://doi.org/10.1080/23273798.2025.2576908" TargetMode="External" /><Relationship Type="http://schemas.openxmlformats.org/officeDocument/2006/relationships/hyperlink" Id="rId161" Target="https://doi.org/10.1093/applin/amu054" TargetMode="External" /><Relationship Type="http://schemas.openxmlformats.org/officeDocument/2006/relationships/hyperlink" Id="rId68" Target="https://doi.org/10.1093/ije/dyh299" TargetMode="External" /><Relationship Type="http://schemas.openxmlformats.org/officeDocument/2006/relationships/hyperlink" Id="rId238" Target="https://doi.org/10.1093/jole/lzv003" TargetMode="External" /><Relationship Type="http://schemas.openxmlformats.org/officeDocument/2006/relationships/hyperlink" Id="rId109" Target="https://doi.org/10.1093/pan/mpi032" TargetMode="External" /><Relationship Type="http://schemas.openxmlformats.org/officeDocument/2006/relationships/hyperlink" Id="rId187" Target="https://doi.org/10.1098/rsos.221542" TargetMode="External" /><Relationship Type="http://schemas.openxmlformats.org/officeDocument/2006/relationships/hyperlink" Id="rId236" Target="https://doi.org/10.1109/TAU.1967.1161901" TargetMode="External" /><Relationship Type="http://schemas.openxmlformats.org/officeDocument/2006/relationships/hyperlink" Id="rId207" Target="https://doi.org/10.1111/ecog.02881" TargetMode="External" /><Relationship Type="http://schemas.openxmlformats.org/officeDocument/2006/relationships/hyperlink" Id="rId175" Target="https://doi.org/10.1111/j.1467-9922.2010.00626.x" TargetMode="External" /><Relationship Type="http://schemas.openxmlformats.org/officeDocument/2006/relationships/hyperlink" Id="rId219" Target="https://doi.org/10.1111/j.2041-210X.2010.00012.x" TargetMode="External" /><Relationship Type="http://schemas.openxmlformats.org/officeDocument/2006/relationships/hyperlink" Id="rId125" Target="https://doi.org/10.1111/psyp.12043" TargetMode="External" /><Relationship Type="http://schemas.openxmlformats.org/officeDocument/2006/relationships/hyperlink" Id="rId91" Target="https://doi.org/10.1111/psyp.13064" TargetMode="External" /><Relationship Type="http://schemas.openxmlformats.org/officeDocument/2006/relationships/hyperlink" Id="rId101" Target="https://doi.org/10.1111/psyp.14543" TargetMode="External" /><Relationship Type="http://schemas.openxmlformats.org/officeDocument/2006/relationships/hyperlink" Id="rId105" Target="https://doi.org/10.1111/rssa.12378" TargetMode="External" /><Relationship Type="http://schemas.openxmlformats.org/officeDocument/2006/relationships/hyperlink" Id="rId201" Target="https://doi.org/10.1162/jocn_a_01337" TargetMode="External" /><Relationship Type="http://schemas.openxmlformats.org/officeDocument/2006/relationships/hyperlink" Id="rId222" Target="https://doi.org/10.1177/1529100616661983" TargetMode="External" /><Relationship Type="http://schemas.openxmlformats.org/officeDocument/2006/relationships/hyperlink" Id="rId234" Target="https://doi.org/10.1177/1745691612463078" TargetMode="External" /><Relationship Type="http://schemas.openxmlformats.org/officeDocument/2006/relationships/hyperlink" Id="rId75" Target="https://doi.org/10.1177/1745691613491271" TargetMode="External" /><Relationship Type="http://schemas.openxmlformats.org/officeDocument/2006/relationships/hyperlink" Id="rId113" Target="https://doi.org/10.1177/1745691614551642" TargetMode="External" /><Relationship Type="http://schemas.openxmlformats.org/officeDocument/2006/relationships/hyperlink" Id="rId165" Target="https://doi.org/10.1177/2158244015607352" TargetMode="External" /><Relationship Type="http://schemas.openxmlformats.org/officeDocument/2006/relationships/hyperlink" Id="rId111" Target="https://doi.org/10.1214/06-BA117A" TargetMode="External" /><Relationship Type="http://schemas.openxmlformats.org/officeDocument/2006/relationships/hyperlink" Id="rId117" Target="https://doi.org/10.1214/08-AOAS191" TargetMode="External" /><Relationship Type="http://schemas.openxmlformats.org/officeDocument/2006/relationships/hyperlink" Id="rId230" Target="https://doi.org/10.1214/20-BA1221" TargetMode="External" /><Relationship Type="http://schemas.openxmlformats.org/officeDocument/2006/relationships/hyperlink" Id="rId193" Target="https://doi.org/10.1214/20-EJS1711" TargetMode="External" /><Relationship Type="http://schemas.openxmlformats.org/officeDocument/2006/relationships/hyperlink" Id="rId173" Target="https://doi.org/10.1214/24-STS949" TargetMode="External" /><Relationship Type="http://schemas.openxmlformats.org/officeDocument/2006/relationships/hyperlink" Id="rId232" Target="https://doi.org/10.1523/JNEUROSCI.2332-14.2015" TargetMode="External" /><Relationship Type="http://schemas.openxmlformats.org/officeDocument/2006/relationships/hyperlink" Id="rId85" Target="https://doi.org/10.18637/jss.v076.i01" TargetMode="External" /><Relationship Type="http://schemas.openxmlformats.org/officeDocument/2006/relationships/hyperlink" Id="rId79" Target="https://doi.org/10.18637/jss.v080.i01" TargetMode="External" /><Relationship Type="http://schemas.openxmlformats.org/officeDocument/2006/relationships/hyperlink" Id="rId145" Target="https://doi.org/10.3233/bpl-200117" TargetMode="External" /><Relationship Type="http://schemas.openxmlformats.org/officeDocument/2006/relationships/hyperlink" Id="rId81" Target="https://doi.org/10.32614/RJ-2018-017" TargetMode="External" /><Relationship Type="http://schemas.openxmlformats.org/officeDocument/2006/relationships/hyperlink" Id="rId127" Target="https://doi.org/10.3389/fnagi.2023.1123185" TargetMode="External" /><Relationship Type="http://schemas.openxmlformats.org/officeDocument/2006/relationships/hyperlink" Id="rId167" Target="https://doi.org/10.3389/fpsyg.2019.02767" TargetMode="External" /><Relationship Type="http://schemas.openxmlformats.org/officeDocument/2006/relationships/hyperlink" Id="rId89" Target="https://doi.org/10.3389/fpsyg.2022.943988" TargetMode="External" /><Relationship Type="http://schemas.openxmlformats.org/officeDocument/2006/relationships/hyperlink" Id="rId129" Target="https://doi.org/10.3758/BF03212979" TargetMode="External" /><Relationship Type="http://schemas.openxmlformats.org/officeDocument/2006/relationships/hyperlink" Id="rId179" Target="https://doi.org/10.3758/s13423-011-0076-y" TargetMode="External" /><Relationship Type="http://schemas.openxmlformats.org/officeDocument/2006/relationships/hyperlink" Id="rId163" Target="https://doi.org/10.3758/s13423-013-0565-2" TargetMode="External" /><Relationship Type="http://schemas.openxmlformats.org/officeDocument/2006/relationships/hyperlink" Id="rId151" Target="https://doi.org/10.3758/s13423-016-1221-4" TargetMode="External" /><Relationship Type="http://schemas.openxmlformats.org/officeDocument/2006/relationships/hyperlink" Id="rId209" Target="https://doi.org/10.3758/s13423-018-1558-y" TargetMode="External" /><Relationship Type="http://schemas.openxmlformats.org/officeDocument/2006/relationships/hyperlink" Id="rId211" Target="https://doi.org/10.3758/s13423-023-02293-3" TargetMode="External" /><Relationship Type="http://schemas.openxmlformats.org/officeDocument/2006/relationships/hyperlink" Id="rId133" Target="https://doi.org/10.3758/s13428-017-0935-1" TargetMode="External" /><Relationship Type="http://schemas.openxmlformats.org/officeDocument/2006/relationships/hyperlink" Id="rId66" Target="https://doi.org/10.3758/s13428-019-01237-x" TargetMode="External" /><Relationship Type="http://schemas.openxmlformats.org/officeDocument/2006/relationships/hyperlink" Id="rId103" Target="https://doi.org/10.3758/s13428-022-02038-5" TargetMode="External" /><Relationship Type="http://schemas.openxmlformats.org/officeDocument/2006/relationships/hyperlink" Id="rId139" Target="https://doi.org/10.3758/s13428-024-02462-9" TargetMode="External" /><Relationship Type="http://schemas.openxmlformats.org/officeDocument/2006/relationships/hyperlink" Id="rId240" Target="https://doi.org/10.3917/anpsy1.243.0283" TargetMode="External" /><Relationship Type="http://schemas.openxmlformats.org/officeDocument/2006/relationships/hyperlink" Id="rId224" Target="https://doi.org/10.48550/arXiv.1703.05339" TargetMode="External" /><Relationship Type="http://schemas.openxmlformats.org/officeDocument/2006/relationships/hyperlink" Id="rId87" Target="https://doi.org/10.48550/arXiv.2109.04702" TargetMode="External" /><Relationship Type="http://schemas.openxmlformats.org/officeDocument/2006/relationships/hyperlink" Id="rId131" Target="https://doi.org/10.5334/joc.169" TargetMode="External" /><Relationship Type="http://schemas.openxmlformats.org/officeDocument/2006/relationships/hyperlink" Id="rId60" Target="https://github.com/pablobernabeu/LESS-cognitive-predictors" TargetMode="External" /><Relationship Type="http://schemas.openxmlformats.org/officeDocument/2006/relationships/hyperlink" Id="rId29" Target="https://osf.io/tjr54" TargetMode="External" /><Relationship Type="http://schemas.openxmlformats.org/officeDocument/2006/relationships/hyperlink" Id="rId59" Target="https://osf.io/tq7vy" TargetMode="External" /><Relationship Type="http://schemas.openxmlformats.org/officeDocument/2006/relationships/hyperlink" Id="rId20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Cognitive and Resting-State EEG Predictors of Intensive Multilingual Learning, and Change in Executive Function across Training: A Bayesian Multilevel Study</dc:title>
  <dc:creator>Pablo Bernabeu; Christina Athanasiadi; Stella L. Pischinger; Gabriella Silva; My Ngoc Giang Hoang; Vincent DeLuca; Jason Rothman; Iva Ivanova; Claudia Poch; Jorge González Alonso</dc:creator>
  <cp:keywords>second language acquisition, working memory, statistical learning, resting-state EEG, individual alpha frequency, Bayesian multilevel models, individual differences</cp:keywords>
  <dcterms:created xsi:type="dcterms:W3CDTF">2026-09-08T07:29:39Z</dcterms:created>
  <dcterms:modified xsi:type="dcterms:W3CDTF">2026-09-08T07:29:39Z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Adults vary widely in how well they learn a new language. We examined individual differences during intensive training by testing whether baseline working memory, inhibitory control, statistical learning, and resting-state electroencephalography (EEG) predicted grammaticality-judgement accuracy as 65 Norwegian–English bilinguals learned one of two artificial languages. We also tested change in executive function between the first and fifth sessions. Working memory was positively associated with accuracy, most clearly for gender agreement, the property sampled throughout training; evidence for a pooled association was weaker. No baseline measure showed a credible association with the rate of change. Inhibitory control and statistical learning showed no clear associations, and resting-state EEG measures added little predictive information. Working-memory span increased, whereas inhibitory control and statistical learning did not. Together, these findings point to working memory as a correlate of language-learning performance and change during training, while the absence of a no-training control prevents a causal interpretation.</vt:lpwstr>
  </property>
  <property fmtid="{D5CDD505-2E9C-101B-9397-08002B2CF9AE}" pid="3" name="affiliations">
    <vt:lpwstr/>
  </property>
  <property fmtid="{D5CDD505-2E9C-101B-9397-08002B2CF9AE}" pid="4" name="author-note">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editor">
    <vt:lpwstr>source</vt:lpwstr>
  </property>
  <property fmtid="{D5CDD505-2E9C-101B-9397-08002B2CF9AE}" pid="11" name="execute">
    <vt:lpwstr/>
  </property>
  <property fmtid="{D5CDD505-2E9C-101B-9397-08002B2CF9AE}" pid="12" name="floatsintext">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horttitle">
    <vt:lpwstr>Predictors and Plasticity in Multilingual Learning</vt:lpwstr>
  </property>
  <property fmtid="{D5CDD505-2E9C-101B-9397-08002B2CF9AE}" pid="18" name="toc-title">
    <vt:lpwstr>Table of contents</vt:lpwstr>
  </property>
</Properties>
</file>