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Override PartName="/word/media/rId425.png" ContentType="image/png"/>
  <Override PartName="/word/media/rId122.png" ContentType="image/png"/>
  <Override PartName="/word/media/rId55.png" ContentType="image/png"/>
  <Override PartName="/word/media/rId102.png" ContentType="image/png"/>
  <Override PartName="/word/media/rId417.png" ContentType="image/png"/>
  <Override PartName="/word/media/rId94.png" ContentType="image/png"/>
  <Override PartName="/word/media/rId109.png" ContentType="image/png"/>
  <Override PartName="/word/media/rId421.png" ContentType="image/png"/>
  <Override PartName="/word/media/rId98.png" ContentType="image/png"/>
  <Override PartName="/word/media/rId61.png" ContentType="image/png"/>
  <Override PartName="/word/media/rId68.png" ContentType="image/png"/>
  <Override PartName="/word/media/rId72.png" ContentType="image/png"/>
  <Override PartName="/word/media/rId50.png" ContentType="image/png"/>
  <Override PartName="/word/media/rId82.png" ContentType="image/png"/>
  <Override PartName="/word/media/rId1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The Neurocognition of Longitudinal L3 Morphosyntactic Transfer: A Bayesian Single-Trial ERP Study of Three Grammatical Properties in Two Artificial Languages</w:t>
      </w:r>
    </w:p>
    <w:p>
      <w:pPr>
        <w:pStyle w:val="Author"/>
      </w:pPr>
      <w:r>
        <w:t xml:space="preserve"> </w:t>
      </w:r>
    </w:p>
    <w:p>
      <w:pPr>
        <w:pStyle w:val="Author"/>
      </w:pPr>
      <w:r>
        <w:t xml:space="preserve">Pablo Bernabeu</w:t>
      </w:r>
      <w:r>
        <w:rPr>
          <w:vertAlign w:val="superscript"/>
        </w:rPr>
        <w:t xml:space="preserve">1,2</w:t>
      </w:r>
      <w:r>
        <w:t xml:space="preserve">, Christina Athanasiadi</w:t>
      </w:r>
      <w:r>
        <w:rPr>
          <w:vertAlign w:val="superscript"/>
        </w:rPr>
        <w:t xml:space="preserve">2</w:t>
      </w:r>
      <w:r>
        <w:t xml:space="preserve">, Stella L. Pischinger</w:t>
      </w:r>
      <w:r>
        <w:rPr>
          <w:vertAlign w:val="superscript"/>
        </w:rPr>
        <w:t xml:space="preserve">2</w:t>
      </w:r>
      <w:r>
        <w:t xml:space="preserve">, Gabriella Silva</w:t>
      </w:r>
      <w:r>
        <w:rPr>
          <w:vertAlign w:val="superscript"/>
        </w:rPr>
        <w:t xml:space="preserve">3</w:t>
      </w:r>
      <w:r>
        <w:t xml:space="preserve">, My Ngoc Giang Hoang</w:t>
      </w:r>
      <w:r>
        <w:rPr>
          <w:vertAlign w:val="superscript"/>
        </w:rPr>
        <w:t xml:space="preserve">2</w:t>
      </w:r>
      <w:r>
        <w:t xml:space="preserve">, Vincent DeLuca</w:t>
      </w:r>
      <w:r>
        <w:rPr>
          <w:vertAlign w:val="superscript"/>
        </w:rPr>
        <w:t xml:space="preserve">2</w:t>
      </w:r>
      <w:r>
        <w:t xml:space="preserve">, Jason Rothman</w:t>
      </w:r>
      <w:r>
        <w:rPr>
          <w:vertAlign w:val="superscript"/>
        </w:rPr>
        <w:t xml:space="preserve">2,3,4</w:t>
      </w:r>
      <w:r>
        <w:t xml:space="preserve">, Iva Ivanova</w:t>
      </w:r>
      <w:r>
        <w:rPr>
          <w:vertAlign w:val="superscript"/>
        </w:rPr>
        <w:t xml:space="preserve">5</w:t>
      </w:r>
      <w:r>
        <w:t xml:space="preserve">, Claudia Poch</w:t>
      </w:r>
      <w:r>
        <w:rPr>
          <w:vertAlign w:val="superscript"/>
        </w:rPr>
        <w:t xml:space="preserve">3</w:t>
      </w:r>
      <w:r>
        <w:t xml:space="preserve">, and Jorge González Alonso</w:t>
      </w:r>
      <w:r>
        <w:rPr>
          <w:vertAlign w:val="superscript"/>
        </w:rPr>
        <w:t xml:space="preserve">2,3</w:t>
      </w:r>
    </w:p>
    <w:p>
      <w:pPr>
        <w:pStyle w:val="Author"/>
      </w:pPr>
      <w:r>
        <w:rPr>
          <w:vertAlign w:val="superscript"/>
        </w:rPr>
        <w:t xml:space="preserve">1</w:t>
      </w:r>
      <w:r>
        <w:t xml:space="preserve">Department of Education, University of Oxford</w:t>
      </w:r>
    </w:p>
    <w:p>
      <w:pPr>
        <w:pStyle w:val="Author"/>
      </w:pPr>
      <w:r>
        <w:rPr>
          <w:vertAlign w:val="superscript"/>
        </w:rPr>
        <w:t xml:space="preserve">2</w:t>
      </w:r>
      <w:r>
        <w:t xml:space="preserve">Center for Language, Brain and Learning (C-LaBL), UiT The Arctic University of Norway</w:t>
      </w:r>
    </w:p>
    <w:p>
      <w:pPr>
        <w:pStyle w:val="Author"/>
      </w:pPr>
      <w:r>
        <w:rPr>
          <w:vertAlign w:val="superscript"/>
        </w:rPr>
        <w:t xml:space="preserve">3</w:t>
      </w:r>
      <w:r>
        <w:t xml:space="preserve">Nebrija Research Center in Cognition (CINC), Nebrija University</w:t>
      </w:r>
    </w:p>
    <w:p>
      <w:pPr>
        <w:pStyle w:val="Author"/>
      </w:pPr>
      <w:r>
        <w:rPr>
          <w:vertAlign w:val="superscript"/>
        </w:rPr>
        <w:t xml:space="preserve">4</w:t>
      </w:r>
      <w:r>
        <w:t xml:space="preserve">Department of Linguistics and English Language, Lancaster University</w:t>
      </w:r>
    </w:p>
    <w:p>
      <w:pPr>
        <w:pStyle w:val="Author"/>
      </w:pPr>
      <w:r>
        <w:rPr>
          <w:vertAlign w:val="superscript"/>
        </w:rPr>
        <w:t xml:space="preserve">5</w:t>
      </w:r>
      <w:r>
        <w:t xml:space="preserve">Department of Psychology, University of Texas at El Paso</w:t>
      </w:r>
    </w:p>
    <w:p>
      <w:pPr>
        <w:pStyle w:val="BodyText"/>
      </w:pPr>
      <w:r>
        <w:t xml:space="preserve"> </w:t>
      </w:r>
    </w:p>
    <w:p>
      <w:pPr>
        <w:pStyle w:val="BodyText"/>
      </w:pPr>
      <w:r>
        <w:t xml:space="preserve"> </w:t>
      </w:r>
    </w:p>
    <w:bookmarkEnd w:id="22"/>
    <w:bookmarkStart w:id="48" w:name="author-note"/>
    <w:p>
      <w:pPr>
        <w:pStyle w:val="Heading1"/>
      </w:pPr>
      <w:r>
        <w:t xml:space="preserve">Author Note</w:t>
      </w:r>
    </w:p>
    <w:p>
      <w:pPr>
        <w:pStyle w:val="FirstParagraph"/>
      </w:pPr>
      <w:r>
        <w:t xml:space="preserve">Pablo Bernabeu</w:t>
      </w:r>
      <w:r>
        <w:t xml:space="preserve"> </w:t>
      </w:r>
      <w:bookmarkStart w:id="26"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https://orcid.org/0000-0003-1083-2460</w:t>
        </w:r>
      </w:hyperlink>
    </w:p>
    <w:p>
      <w:pPr>
        <w:pStyle w:val="BodyText"/>
      </w:pPr>
      <w:r>
        <w:t xml:space="preserve">Gabriella Silva</w:t>
      </w:r>
      <w:r>
        <w:t xml:space="preserve"> </w:t>
      </w:r>
      <w:bookmarkStart w:id="30" w:name="orc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31">
        <w:r>
          <w:rPr>
            <w:rStyle w:val="Hyperlink"/>
          </w:rPr>
          <w:t xml:space="preserve">https://orcid.org/0000-0002-5349-7036</w:t>
        </w:r>
      </w:hyperlink>
    </w:p>
    <w:p>
      <w:pPr>
        <w:pStyle w:val="BodyText"/>
      </w:pPr>
      <w:r>
        <w:t xml:space="preserve">Vincent DeLuca</w:t>
      </w:r>
      <w:r>
        <w:t xml:space="preserve"> </w:t>
      </w:r>
      <w:bookmarkStart w:id="34" w:name="orcid"/>
      <w:r>
        <w:drawing>
          <wp:inline>
            <wp:extent cx="152279" cy="152279"/>
            <wp:effectExtent b="0" l="0" r="0" t="0"/>
            <wp:docPr descr="Orcid ID Logo: A green circle with white letters ID" title="" id="32" name="Picture"/>
            <a:graphic>
              <a:graphicData uri="http://schemas.openxmlformats.org/drawingml/2006/picture">
                <pic:pic>
                  <pic:nvPicPr>
                    <pic:cNvPr descr="_extensions/wjschne/apaquarto/ORCID-iD_icon-vector.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4"/>
      <w:r>
        <w:t xml:space="preserve"> </w:t>
      </w:r>
      <w:hyperlink r:id="rId35">
        <w:r>
          <w:rPr>
            <w:rStyle w:val="Hyperlink"/>
          </w:rPr>
          <w:t xml:space="preserve">https://orcid.org/0000-0002-2275-209X</w:t>
        </w:r>
      </w:hyperlink>
    </w:p>
    <w:p>
      <w:pPr>
        <w:pStyle w:val="BodyText"/>
      </w:pPr>
      <w:r>
        <w:t xml:space="preserve">Jason Rothman</w:t>
      </w:r>
      <w:r>
        <w:t xml:space="preserve"> </w:t>
      </w:r>
      <w:bookmarkStart w:id="38" w:name="orcid"/>
      <w:r>
        <w:drawing>
          <wp:inline>
            <wp:extent cx="152279" cy="152279"/>
            <wp:effectExtent b="0" l="0" r="0" t="0"/>
            <wp:docPr descr="Orcid ID Logo: A green circle with white letters ID" title="" id="36" name="Picture"/>
            <a:graphic>
              <a:graphicData uri="http://schemas.openxmlformats.org/drawingml/2006/picture">
                <pic:pic>
                  <pic:nvPicPr>
                    <pic:cNvPr descr="_extensions/wjschne/apaquarto/ORCID-iD_icon-vector.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8"/>
      <w:r>
        <w:t xml:space="preserve"> </w:t>
      </w:r>
      <w:hyperlink r:id="rId39">
        <w:r>
          <w:rPr>
            <w:rStyle w:val="Hyperlink"/>
          </w:rPr>
          <w:t xml:space="preserve">https://orcid.org/0009-0003-3936-6384</w:t>
        </w:r>
      </w:hyperlink>
    </w:p>
    <w:p>
      <w:pPr>
        <w:pStyle w:val="BodyText"/>
      </w:pPr>
      <w:r>
        <w:t xml:space="preserve">Claudia Poch</w:t>
      </w:r>
      <w:r>
        <w:t xml:space="preserve"> </w:t>
      </w:r>
      <w:bookmarkStart w:id="42" w:name="orcid"/>
      <w:r>
        <w:drawing>
          <wp:inline>
            <wp:extent cx="152279" cy="152279"/>
            <wp:effectExtent b="0" l="0" r="0" t="0"/>
            <wp:docPr descr="Orcid ID Logo: A green circle with white letters ID" title="" id="40" name="Picture"/>
            <a:graphic>
              <a:graphicData uri="http://schemas.openxmlformats.org/drawingml/2006/picture">
                <pic:pic>
                  <pic:nvPicPr>
                    <pic:cNvPr descr="_extensions/wjschne/apaquarto/ORCID-iD_icon-vector.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2"/>
      <w:r>
        <w:t xml:space="preserve"> </w:t>
      </w:r>
      <w:hyperlink r:id="rId43">
        <w:r>
          <w:rPr>
            <w:rStyle w:val="Hyperlink"/>
          </w:rPr>
          <w:t xml:space="preserve">https://orcid.org/0000-0002-9357-4948</w:t>
        </w:r>
      </w:hyperlink>
    </w:p>
    <w:p>
      <w:pPr>
        <w:pStyle w:val="BodyText"/>
      </w:pPr>
      <w:r>
        <w:t xml:space="preserve">Jorge González Alonso</w:t>
      </w:r>
      <w:r>
        <w:t xml:space="preserve"> </w:t>
      </w:r>
      <w:bookmarkStart w:id="46" w:name="orcid"/>
      <w:r>
        <w:drawing>
          <wp:inline>
            <wp:extent cx="152279" cy="152279"/>
            <wp:effectExtent b="0" l="0" r="0" t="0"/>
            <wp:docPr descr="Orcid ID Logo: A green circle with white letters ID" title="" id="44" name="Picture"/>
            <a:graphic>
              <a:graphicData uri="http://schemas.openxmlformats.org/drawingml/2006/picture">
                <pic:pic>
                  <pic:nvPicPr>
                    <pic:cNvPr descr="_extensions/wjschne/apaquarto/ORCID-iD_icon-vector.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6"/>
      <w:r>
        <w:t xml:space="preserve"> </w:t>
      </w:r>
      <w:hyperlink r:id="rId47">
        <w:r>
          <w:rPr>
            <w:rStyle w:val="Hyperlink"/>
          </w:rPr>
          <w:t xml:space="preserve">https://orcid.org/0000-0001-5047-3226</w:t>
        </w:r>
      </w:hyperlink>
    </w:p>
    <w:p>
      <w:pPr>
        <w:pStyle w:val="BodyText"/>
      </w:pPr>
      <w:r>
        <w:t xml:space="preserve">Correspondence concerning this article should be addressed to Pablo Bernabeu, Department of Education, University of Oxford, 15 Norham Gardens, Oxford OX2 6PY, United Kingdom, Email: pcbernabeu@gmail.com; or Jorge González Alonso, Nebrija Research Center in Cognition (CINC), Nebrija University, Calle de Asura 90, 28043 Madrid, Spain, Email: jgonzalezal@nebrija.es.</w:t>
      </w:r>
    </w:p>
    <w:p>
      <w:r>
        <w:br w:type="page"/>
      </w:r>
    </w:p>
    <w:bookmarkEnd w:id="48"/>
    <w:bookmarkStart w:id="49" w:name="abstract"/>
    <w:p>
      <w:pPr>
        <w:pStyle w:val="Heading1"/>
      </w:pPr>
      <w:r>
        <w:t xml:space="preserve">Abstract</w:t>
      </w:r>
    </w:p>
    <w:p>
      <w:pPr>
        <w:pStyle w:val="AbstractFirstParagraph"/>
      </w:pPr>
      <w:r>
        <w:t xml:space="preserve">Theories of third-language (L3) morphosyntactic transfer disagree over whether prior grammars are transferred whole or property by property. The Typological Primacy Model predicts that similarity in the lexicon selects the grammar that is transferred, whereas property-by-property accounts allow a prior-language property to be recruited whatever the lexicon resembles. We trained 65 Norwegian–English bilinguals on Mini-Norwegian or Mini-English, miniature languages sharing their grammatical morphemes but built on Norwegian or English words, and recorded grammaticality judgements and event-related potentials (ERPs) to three properties across four sessions, the last a retention test months later. For gender agreement, which Norwegian has and English lacks, signal-detection analyses of the judgements showed the Mini-Norwegian group to be no more sensitive than the Mini-English group at any session. In the ERPs, gender-agreement violations elicited a negativity that grew across sessions in the late window; neither it nor its growth differed credibly between groups. In the later sessions, Mini-Norwegian learners more readily judged gender-agreement sentences grammatical, ungrammatical ones included, a criterion difference not credible once each learner’s change in criterion was modelled. Differential object marking and verb–object number agreement, absent from both prior languages, showed no credible group difference in sensitivity at any session. The absence of a Mini-Norwegian advantage is what property-by-property accounts allow and lexically cued wholesale transfer does not. Without a measurement before training or a comparison group lacking gender, the design narrows the debate without settling it. Lexical similarity brought no sensitivity advantage, and its influence on acceptance remains suggestive.</w:t>
      </w:r>
    </w:p>
    <w:p>
      <w:pPr>
        <w:pStyle w:val="BodyText"/>
      </w:pPr>
      <w:r>
        <w:rPr>
          <w:i/>
          <w:iCs/>
        </w:rPr>
        <w:t xml:space="preserve">Keywords</w:t>
      </w:r>
      <w:r>
        <w:t xml:space="preserve">: L3 acquisition, morphosyntactic transfer, ERP, artificial language, signal detection theory, Bayesian multilevel models</w:t>
      </w:r>
    </w:p>
    <w:p>
      <w:r>
        <w:br w:type="page"/>
      </w:r>
    </w:p>
    <w:bookmarkEnd w:id="49"/>
    <w:bookmarkStart w:id="60" w:name="firstheader"/>
    <w:p>
      <w:pPr>
        <w:pStyle w:val="Heading1"/>
      </w:pPr>
      <w:r>
        <w:t xml:space="preserve">The Neurocognition of Longitudinal L3 Morphosyntactic Transfer: A Bayesian Single-Trial ERP Study of Three Grammatical Properties in Two Artificial Languages</w:t>
      </w:r>
    </w:p>
    <w:p>
      <w:pPr>
        <w:pStyle w:val="FirstParagraph"/>
      </w:pPr>
      <w:r>
        <w:t xml:space="preserve">When multilingual speakers add a third or later language (L3/Ln), the grammars they</w:t>
      </w:r>
      <w:r>
        <w:t xml:space="preserve"> </w:t>
      </w:r>
      <w:r>
        <w:t xml:space="preserve">already command shape how its morphosyntax is represented and processed. How that prior knowledge is</w:t>
      </w:r>
      <w:r>
        <w:t xml:space="preserve"> </w:t>
      </w:r>
      <w:r>
        <w:t xml:space="preserve">recruited is a central question dividing contemporary models of L3</w:t>
      </w:r>
      <w:r>
        <w:t xml:space="preserve"> </w:t>
      </w:r>
      <w:r>
        <w:t xml:space="preserve">morphosyntactic transfer. Wholesale-transfer accounts hold that a single</w:t>
      </w:r>
      <w:r>
        <w:t xml:space="preserve"> </w:t>
      </w:r>
      <w:r>
        <w:t xml:space="preserve">previously acquired grammar is selected as the basis for the initial L3 grammar,</w:t>
      </w:r>
      <w:r>
        <w:t xml:space="preserve"> </w:t>
      </w:r>
      <w:r>
        <w:t xml:space="preserve">whether on typological grounds</w:t>
      </w:r>
      <w:r>
        <w:t xml:space="preserve"> </w:t>
      </w:r>
      <w:r>
        <w:t xml:space="preserve">(the Typological Primacy Model:</w:t>
      </w:r>
      <w:r>
        <w:t xml:space="preserve"> </w:t>
      </w:r>
      <w:hyperlink w:anchor="ref-rothman2011">
        <w:r>
          <w:rPr>
            <w:rStyle w:val="Hyperlink"/>
          </w:rPr>
          <w:t xml:space="preserve">Rothman, 2011</w:t>
        </w:r>
      </w:hyperlink>
      <w:r>
        <w:t xml:space="preserve">,</w:t>
      </w:r>
      <w:r>
        <w:t xml:space="preserve"> </w:t>
      </w:r>
      <w:hyperlink w:anchor="ref-rothman2015">
        <w:r>
          <w:rPr>
            <w:rStyle w:val="Hyperlink"/>
          </w:rPr>
          <w:t xml:space="preserve">2015</w:t>
        </w:r>
      </w:hyperlink>
      <w:r>
        <w:t xml:space="preserve">)</w:t>
      </w:r>
      <w:r>
        <w:t xml:space="preserve"> </w:t>
      </w:r>
      <w:r>
        <w:t xml:space="preserve">or because the second language enjoys a privileged cognitive status</w:t>
      </w:r>
      <w:r>
        <w:t xml:space="preserve"> </w:t>
      </w:r>
      <w:r>
        <w:t xml:space="preserve">(the L2 Status Factor:</w:t>
      </w:r>
      <w:r>
        <w:t xml:space="preserve"> </w:t>
      </w:r>
      <w:hyperlink w:anchor="ref-bardel2007">
        <w:r>
          <w:rPr>
            <w:rStyle w:val="Hyperlink"/>
          </w:rPr>
          <w:t xml:space="preserve">Bardel &amp; Falk, 2007</w:t>
        </w:r>
      </w:hyperlink>
      <w:r>
        <w:t xml:space="preserve">;</w:t>
      </w:r>
      <w:r>
        <w:t xml:space="preserve"> </w:t>
      </w:r>
      <w:hyperlink w:anchor="ref-falk2011">
        <w:r>
          <w:rPr>
            <w:rStyle w:val="Hyperlink"/>
          </w:rPr>
          <w:t xml:space="preserve">Falk &amp; Bardel, 2011</w:t>
        </w:r>
      </w:hyperlink>
      <w:r>
        <w:t xml:space="preserve">)</w:t>
      </w:r>
      <w:r>
        <w:t xml:space="preserve">. Property-by-property accounts</w:t>
      </w:r>
      <w:r>
        <w:t xml:space="preserve"> </w:t>
      </w:r>
      <w:r>
        <w:t xml:space="preserve">predict instead that transfer is selective and incremental, with individual</w:t>
      </w:r>
      <w:r>
        <w:t xml:space="preserve"> </w:t>
      </w:r>
      <w:r>
        <w:t xml:space="preserve">structures transferred (and, where helpful,</w:t>
      </w:r>
      <w:r>
        <w:t xml:space="preserve"> </w:t>
      </w:r>
      <w:r>
        <w:t xml:space="preserve">“enhanced”</w:t>
      </w:r>
      <w:r>
        <w:t xml:space="preserve">) one at a time as the</w:t>
      </w:r>
      <w:r>
        <w:t xml:space="preserve"> </w:t>
      </w:r>
      <w:r>
        <w:t xml:space="preserve">learner detects structural similarity. The Linguistic Proximity Model</w:t>
      </w:r>
      <w:r>
        <w:t xml:space="preserve"> </w:t>
      </w:r>
      <w:r>
        <w:t xml:space="preserve">(</w:t>
      </w:r>
      <w:hyperlink w:anchor="ref-westergaard2017">
        <w:r>
          <w:rPr>
            <w:rStyle w:val="Hyperlink"/>
          </w:rPr>
          <w:t xml:space="preserve">Westergaard et al., 2017</w:t>
        </w:r>
      </w:hyperlink>
      <w:r>
        <w:t xml:space="preserve">,</w:t>
      </w:r>
      <w:r>
        <w:t xml:space="preserve"> </w:t>
      </w:r>
      <w:hyperlink w:anchor="ref-westergaard2023">
        <w:r>
          <w:rPr>
            <w:rStyle w:val="Hyperlink"/>
          </w:rPr>
          <w:t xml:space="preserve">2023</w:t>
        </w:r>
      </w:hyperlink>
      <w:r>
        <w:t xml:space="preserve">;</w:t>
      </w:r>
      <w:r>
        <w:t xml:space="preserve"> </w:t>
      </w:r>
      <w:hyperlink w:anchor="ref-westergaard2021">
        <w:r>
          <w:rPr>
            <w:rStyle w:val="Hyperlink"/>
          </w:rPr>
          <w:t xml:space="preserve">Westergaard, 2021</w:t>
        </w:r>
      </w:hyperlink>
      <w:r>
        <w:t xml:space="preserve">)</w:t>
      </w:r>
      <w:r>
        <w:t xml:space="preserve">, the Scalpel Model</w:t>
      </w:r>
      <w:r>
        <w:t xml:space="preserve"> </w:t>
      </w:r>
      <w:r>
        <w:t xml:space="preserve">(</w:t>
      </w:r>
      <w:hyperlink w:anchor="ref-slabakova2017">
        <w:r>
          <w:rPr>
            <w:rStyle w:val="Hyperlink"/>
          </w:rPr>
          <w:t xml:space="preserve">Slabakova, 2017</w:t>
        </w:r>
      </w:hyperlink>
      <w:r>
        <w:t xml:space="preserve">)</w:t>
      </w:r>
      <w:r>
        <w:t xml:space="preserve"> </w:t>
      </w:r>
      <w:r>
        <w:t xml:space="preserve">and the Cumulative-Enhancement Model</w:t>
      </w:r>
      <w:r>
        <w:t xml:space="preserve"> </w:t>
      </w:r>
      <w:r>
        <w:t xml:space="preserve">(</w:t>
      </w:r>
      <w:hyperlink w:anchor="ref-flynn2004">
        <w:r>
          <w:rPr>
            <w:rStyle w:val="Hyperlink"/>
          </w:rPr>
          <w:t xml:space="preserve">Flynn et al., 2004</w:t>
        </w:r>
      </w:hyperlink>
      <w:r>
        <w:t xml:space="preserve">)</w:t>
      </w:r>
      <w:r>
        <w:t xml:space="preserve"> </w:t>
      </w:r>
      <w:r>
        <w:t xml:space="preserve">all take that form.</w:t>
      </w:r>
      <w:r>
        <w:t xml:space="preserve"> </w:t>
      </w:r>
      <w:r>
        <w:t xml:space="preserve">The wholesale position has recent defenders who raise conceptual and empirical objections</w:t>
      </w:r>
      <w:r>
        <w:t xml:space="preserve"> </w:t>
      </w:r>
      <w:r>
        <w:t xml:space="preserve">to selective transfer</w:t>
      </w:r>
      <w:r>
        <w:t xml:space="preserve"> </w:t>
      </w:r>
      <w:r>
        <w:t xml:space="preserve">(</w:t>
      </w:r>
      <w:hyperlink w:anchor="ref-schwartzsprouse2021">
        <w:r>
          <w:rPr>
            <w:rStyle w:val="Hyperlink"/>
          </w:rPr>
          <w:t xml:space="preserve">Schwartz &amp; Sprouse, 2021</w:t>
        </w:r>
      </w:hyperlink>
      <w:r>
        <w:t xml:space="preserve">)</w:t>
      </w:r>
      <w:r>
        <w:t xml:space="preserve">, and initial-stage evidence from early</w:t>
      </w:r>
      <w:r>
        <w:t xml:space="preserve"> </w:t>
      </w:r>
      <w:r>
        <w:t xml:space="preserve">Catalan–Spanish bilinguals, whose performance on four properties was compatible with</w:t>
      </w:r>
      <w:r>
        <w:t xml:space="preserve"> </w:t>
      </w:r>
      <w:r>
        <w:t xml:space="preserve">Catalan as the single source of their initial English grammar, has been read as support</w:t>
      </w:r>
      <w:r>
        <w:t xml:space="preserve"> </w:t>
      </w:r>
      <w:r>
        <w:t xml:space="preserve">for it</w:t>
      </w:r>
      <w:r>
        <w:t xml:space="preserve"> </w:t>
      </w:r>
      <w:r>
        <w:t xml:space="preserve">(</w:t>
      </w:r>
      <w:hyperlink w:anchor="ref-gonzalezalonso2021">
        <w:r>
          <w:rPr>
            <w:rStyle w:val="Hyperlink"/>
          </w:rPr>
          <w:t xml:space="preserve">González Alonso et al., 2021</w:t>
        </w:r>
      </w:hyperlink>
      <w:r>
        <w:t xml:space="preserve">)</w:t>
      </w:r>
      <w:r>
        <w:t xml:space="preserve">. Distinguishing these positions requires more than observing</w:t>
      </w:r>
      <w:r>
        <w:t xml:space="preserve"> </w:t>
      </w:r>
      <w:r>
        <w:t xml:space="preserve">that prior-language congruence or a miniature language conditions performance. It requires</w:t>
      </w:r>
      <w:r>
        <w:t xml:space="preserve"> </w:t>
      </w:r>
      <w:r>
        <w:t xml:space="preserve">contrasts for which the accounts make mutually exclusive predictions, measurements early</w:t>
      </w:r>
      <w:r>
        <w:t xml:space="preserve"> </w:t>
      </w:r>
      <w:r>
        <w:t xml:space="preserve">enough to identify the initial representation before learning can obscure its provenance,</w:t>
      </w:r>
      <w:r>
        <w:t xml:space="preserve"> </w:t>
      </w:r>
      <w:r>
        <w:t xml:space="preserve">and evidence that distinguishes representational transfer from transient effects of</w:t>
      </w:r>
      <w:r>
        <w:t xml:space="preserve"> </w:t>
      </w:r>
      <w:r>
        <w:t xml:space="preserve">attention and processing</w:t>
      </w:r>
      <w:r>
        <w:t xml:space="preserve"> </w:t>
      </w:r>
      <w:r>
        <w:t xml:space="preserve">(</w:t>
      </w:r>
      <w:hyperlink w:anchor="ref-gonzalezalonso2020">
        <w:r>
          <w:rPr>
            <w:rStyle w:val="Hyperlink"/>
          </w:rPr>
          <w:t xml:space="preserve">González Alonso et al., 2020</w:t>
        </w:r>
      </w:hyperlink>
      <w:r>
        <w:t xml:space="preserve">,</w:t>
      </w:r>
      <w:r>
        <w:t xml:space="preserve"> </w:t>
      </w:r>
      <w:hyperlink w:anchor="ref-gonzalezalonso2025">
        <w:r>
          <w:rPr>
            <w:rStyle w:val="Hyperlink"/>
          </w:rPr>
          <w:t xml:space="preserve">2025</w:t>
        </w:r>
      </w:hyperlink>
      <w:r>
        <w:t xml:space="preserve">)</w:t>
      </w:r>
      <w:r>
        <w:t xml:space="preserve">. Longitudinal</w:t>
      </w:r>
      <w:r>
        <w:t xml:space="preserve"> </w:t>
      </w:r>
      <w:r>
        <w:t xml:space="preserve">data are essential for characterising development, but later trajectories do not by</w:t>
      </w:r>
      <w:r>
        <w:t xml:space="preserve"> </w:t>
      </w:r>
      <w:r>
        <w:t xml:space="preserve">themselves recover which representational state initiated that development</w:t>
      </w:r>
      <w:r>
        <w:t xml:space="preserve"> </w:t>
      </w:r>
      <w:r>
        <w:t xml:space="preserve">(</w:t>
      </w:r>
      <w:hyperlink w:anchor="ref-puigmayenco2025">
        <w:r>
          <w:rPr>
            <w:rStyle w:val="Hyperlink"/>
          </w:rPr>
          <w:t xml:space="preserve">Puig-Mayenco, 2025</w:t>
        </w:r>
      </w:hyperlink>
      <w:r>
        <w:t xml:space="preserve">)</w:t>
      </w:r>
      <w:r>
        <w:t xml:space="preserve">.</w:t>
      </w:r>
    </w:p>
    <w:bookmarkStart w:id="54" w:name="X444feecdf020f8e7f76d34fa2f0fed412dea1f0"/>
    <w:p>
      <w:pPr>
        <w:pStyle w:val="Heading2"/>
      </w:pPr>
      <w:r>
        <w:t xml:space="preserve">Electrophysiology of morphosyntactic processing</w:t>
      </w:r>
    </w:p>
    <w:p>
      <w:pPr>
        <w:pStyle w:val="FirstParagraph"/>
      </w:pPr>
      <w:r>
        <w:t xml:space="preserve">Event-related potentials (ERPs) provide a millisecond-resolution index of how the</w:t>
      </w:r>
      <w:r>
        <w:t xml:space="preserve"> </w:t>
      </w:r>
      <w:r>
        <w:t xml:space="preserve">brain responds to grammatical violations and are therefore well suited to</w:t>
      </w:r>
      <w:r>
        <w:t xml:space="preserve"> </w:t>
      </w:r>
      <w:r>
        <w:t xml:space="preserve">characterising when language-conditioned processing diverges, including before a</w:t>
      </w:r>
      <w:r>
        <w:t xml:space="preserve"> </w:t>
      </w:r>
      <w:r>
        <w:t xml:space="preserve">difference surfaces in overt behaviour. They do not, on their own, establish that a</w:t>
      </w:r>
      <w:r>
        <w:t xml:space="preserve"> </w:t>
      </w:r>
      <w:r>
        <w:t xml:space="preserve">difference reflects a copied grammatical representation rather than attention, anomaly</w:t>
      </w:r>
      <w:r>
        <w:t xml:space="preserve"> </w:t>
      </w:r>
      <w:r>
        <w:t xml:space="preserve">detection or another process engaged by the task</w:t>
      </w:r>
      <w:r>
        <w:t xml:space="preserve"> </w:t>
      </w:r>
      <w:r>
        <w:t xml:space="preserve">(</w:t>
      </w:r>
      <w:hyperlink w:anchor="ref-gonzalezalonso2020">
        <w:r>
          <w:rPr>
            <w:rStyle w:val="Hyperlink"/>
          </w:rPr>
          <w:t xml:space="preserve">González Alonso et al., 2020</w:t>
        </w:r>
      </w:hyperlink>
      <w:r>
        <w:t xml:space="preserve">)</w:t>
      </w:r>
      <w:r>
        <w:t xml:space="preserve">. Most evidence on L3 morphosyntactic transfer has come from offline, untimed</w:t>
      </w:r>
      <w:r>
        <w:t xml:space="preserve"> </w:t>
      </w:r>
      <w:r>
        <w:t xml:space="preserve">acceptability judgements</w:t>
      </w:r>
      <w:r>
        <w:t xml:space="preserve"> </w:t>
      </w:r>
      <w:r>
        <w:t xml:space="preserve">(</w:t>
      </w:r>
      <w:hyperlink w:anchor="ref-puigmayenco2020">
        <w:r>
          <w:rPr>
            <w:rStyle w:val="Hyperlink"/>
          </w:rPr>
          <w:t xml:space="preserve">Puig-Mayenco et al., 2020</w:t>
        </w:r>
      </w:hyperlink>
      <w:r>
        <w:t xml:space="preserve">;</w:t>
      </w:r>
      <w:r>
        <w:t xml:space="preserve"> </w:t>
      </w:r>
      <w:hyperlink w:anchor="ref-skalba2026">
        <w:r>
          <w:rPr>
            <w:rStyle w:val="Hyperlink"/>
          </w:rPr>
          <w:t xml:space="preserve">Skałba et al., 2026</w:t>
        </w:r>
      </w:hyperlink>
      <w:r>
        <w:t xml:space="preserve">)</w:t>
      </w:r>
      <w:r>
        <w:t xml:space="preserve">. These index the outcome of</w:t>
      </w:r>
      <w:r>
        <w:t xml:space="preserve"> </w:t>
      </w:r>
      <w:r>
        <w:t xml:space="preserve">learning. They leave untouched the moment-to-moment processing that ERPs expose</w:t>
      </w:r>
      <w:r>
        <w:t xml:space="preserve"> </w:t>
      </w:r>
      <w:r>
        <w:t xml:space="preserve">(</w:t>
      </w:r>
      <w:hyperlink w:anchor="ref-angelovska2023">
        <w:r>
          <w:rPr>
            <w:rStyle w:val="Hyperlink"/>
          </w:rPr>
          <w:t xml:space="preserve">Angelovska &amp; Roehm, 2023</w:t>
        </w:r>
      </w:hyperlink>
      <w:r>
        <w:t xml:space="preserve">;</w:t>
      </w:r>
      <w:r>
        <w:t xml:space="preserve"> </w:t>
      </w:r>
      <w:hyperlink w:anchor="ref-rothmanalemanbanon2015">
        <w:r>
          <w:rPr>
            <w:rStyle w:val="Hyperlink"/>
          </w:rPr>
          <w:t xml:space="preserve">Rothman et al., 2015</w:t>
        </w:r>
      </w:hyperlink>
      <w:r>
        <w:t xml:space="preserve">)</w:t>
      </w:r>
      <w:r>
        <w:t xml:space="preserve">. A single-trial ERP design can therefore test</w:t>
      </w:r>
      <w:r>
        <w:t xml:space="preserve"> </w:t>
      </w:r>
      <w:r>
        <w:t xml:space="preserve">whether prior-language structure covaries with online comprehension. The imbalance is</w:t>
      </w:r>
      <w:r>
        <w:t xml:space="preserve"> </w:t>
      </w:r>
      <w:r>
        <w:t xml:space="preserve">visible in the literature itself (</w:t>
      </w:r>
      <w:hyperlink w:anchor="fig-literature">
        <w:r>
          <w:rPr>
            <w:rStyle w:val="Hyperlink"/>
          </w:rPr>
          <w:t xml:space="preserve">Figure 1</w:t>
        </w:r>
      </w:hyperlink>
      <w:r>
        <w:t xml:space="preserve">). In all,</w:t>
      </w:r>
      <w:r>
        <w:t xml:space="preserve"> </w:t>
      </w:r>
      <w:r>
        <w:t xml:space="preserve">369 records on L3 transfer were indexed between</w:t>
      </w:r>
      <w:r>
        <w:t xml:space="preserve"> </w:t>
      </w:r>
      <w:r>
        <w:t xml:space="preserve">2005 and 2025. Of those, 50 used</w:t>
      </w:r>
      <w:r>
        <w:t xml:space="preserve"> </w:t>
      </w:r>
      <w:r>
        <w:t xml:space="preserve">acceptability or grammaticality judgements and 5</w:t>
      </w:r>
      <w:r>
        <w:t xml:space="preserve"> </w:t>
      </w:r>
      <w:r>
        <w:t xml:space="preserve">used electrophysiology, a ratio of roughly 10 to one. The field has grown</w:t>
      </w:r>
      <w:r>
        <w:t xml:space="preserve"> </w:t>
      </w:r>
      <w:r>
        <w:t xml:space="preserve">steadily while its electrophysiological base has not. Online evidence has nonetheless</w:t>
      </w:r>
      <w:r>
        <w:t xml:space="preserve"> </w:t>
      </w:r>
      <w:r>
        <w:t xml:space="preserve">begun to appear. Eye-tracking in early learners of Norwegian shows facilitative and</w:t>
      </w:r>
      <w:r>
        <w:t xml:space="preserve"> </w:t>
      </w:r>
      <w:r>
        <w:t xml:space="preserve">non-facilitative influence from each prior language on different properties</w:t>
      </w:r>
      <w:r>
        <w:t xml:space="preserve"> </w:t>
      </w:r>
      <w:r>
        <w:t xml:space="preserve">(</w:t>
      </w:r>
      <w:hyperlink w:anchor="ref-skalba2026">
        <w:r>
          <w:rPr>
            <w:rStyle w:val="Hyperlink"/>
          </w:rPr>
          <w:t xml:space="preserve">Skałba et al., 2026</w:t>
        </w:r>
      </w:hyperlink>
      <w:r>
        <w:t xml:space="preserve">)</w:t>
      </w:r>
      <w:r>
        <w:t xml:space="preserve">.</w:t>
      </w:r>
    </w:p>
    <w:bookmarkStart w:id="53" w:name="fig-literature"/>
    <w:p>
      <w:pPr>
        <w:pStyle w:val="FigureTitle"/>
      </w:pPr>
      <w:r>
        <w:t xml:space="preserve">Figure 1</w:t>
      </w:r>
    </w:p>
    <w:p>
      <w:pPr>
        <w:pStyle w:val="Caption"/>
      </w:pPr>
      <w:r>
        <w:t xml:space="preserve">Methodological Composition of the L3-Transfer Literature Indexed in Scopus, by Publication Year</w:t>
      </w:r>
    </w:p>
    <w:p>
      <w:pPr>
        <w:pStyle w:val="FigureWithNote"/>
      </w:pPr>
      <w:r>
        <w:drawing>
          <wp:inline>
            <wp:extent cx="5943600" cy="2560319"/>
            <wp:effectExtent b="0" l="0" r="0" t="0"/>
            <wp:docPr descr="" title="" id="51" name="Picture"/>
            <a:graphic>
              <a:graphicData uri="http://schemas.openxmlformats.org/drawingml/2006/picture">
                <pic:pic>
                  <pic:nvPicPr>
                    <pic:cNvPr descr="paper_1_morphosyntax_files/figure-docx/fig-literature-1.png" id="52" name="Picture"/>
                    <pic:cNvPicPr>
                      <a:picLocks noChangeArrowheads="1" noChangeAspect="1"/>
                    </pic:cNvPicPr>
                  </pic:nvPicPr>
                  <pic:blipFill>
                    <a:blip r:embed="rId50"/>
                    <a:stretch>
                      <a:fillRect/>
                    </a:stretch>
                  </pic:blipFill>
                  <pic:spPr bwMode="auto">
                    <a:xfrm>
                      <a:off x="0" y="0"/>
                      <a:ext cx="5943600" cy="2560319"/>
                    </a:xfrm>
                    <a:prstGeom prst="rect">
                      <a:avLst/>
                    </a:prstGeom>
                    <a:noFill/>
                    <a:ln w="9525">
                      <a:noFill/>
                      <a:headEnd/>
                      <a:tailEnd/>
                    </a:ln>
                  </pic:spPr>
                </pic:pic>
              </a:graphicData>
            </a:graphic>
          </wp:inline>
        </w:drawing>
      </w:r>
    </w:p>
    <w:bookmarkEnd w:id="53"/>
    <w:p>
      <w:pPr>
        <w:pStyle w:val="FigureNote"/>
      </w:pPr>
      <w:r>
        <w:rPr>
          <w:i/>
          <w:iCs/>
        </w:rPr>
        <w:t xml:space="preserve">Note</w:t>
      </w:r>
      <w:r>
        <w:t xml:space="preserve">. Each line gives the number of Scopus records per publication year. All records are those matching the L3-transfer query. Judgement tasks and ERP/EEG are the subsets whose title, abstract or keywords also mention acceptability or grammaticality judgements, or event-related potentials, ERP or EEG (electroencephalography). The two subsets can overlap, and none of the three is restricted to morphosyntax. Where the two subsets have the same count, only the ERP/EEG line is visible. The counts index relative composition and are not an exhaustive census: Scopus under-covers books and chapters, keyword matching errs in both directions, and records indexed late may still be added for the most recent years. The retrieval queries are recorded in the project repository.</w:t>
      </w:r>
    </w:p>
    <w:p>
      <w:pPr>
        <w:pStyle w:val="BodyText"/>
      </w:pPr>
      <w:r>
        <w:t xml:space="preserve">Three components are relevant here. The left-anterior negativity (LAN) is often linked to</w:t>
      </w:r>
      <w:r>
        <w:t xml:space="preserve"> </w:t>
      </w:r>
      <w:r>
        <w:t xml:space="preserve">automatic morphosyntactic agreement checking. The N400, a negativity sensitive to</w:t>
      </w:r>
      <w:r>
        <w:t xml:space="preserve"> </w:t>
      </w:r>
      <w:r>
        <w:t xml:space="preserve">lexical–semantic and thematic integration</w:t>
      </w:r>
      <w:r>
        <w:t xml:space="preserve"> </w:t>
      </w:r>
      <w:r>
        <w:t xml:space="preserve">(</w:t>
      </w:r>
      <w:hyperlink w:anchor="ref-frisch2001">
        <w:r>
          <w:rPr>
            <w:rStyle w:val="Hyperlink"/>
          </w:rPr>
          <w:t xml:space="preserve">Frisch &amp; Schlesewsky, 2001</w:t>
        </w:r>
      </w:hyperlink>
      <w:r>
        <w:t xml:space="preserve">;</w:t>
      </w:r>
      <w:r>
        <w:t xml:space="preserve"> </w:t>
      </w:r>
      <w:hyperlink w:anchor="ref-nieuwland2013">
        <w:r>
          <w:rPr>
            <w:rStyle w:val="Hyperlink"/>
          </w:rPr>
          <w:t xml:space="preserve">Nieuwland et al., 2013</w:t>
        </w:r>
      </w:hyperlink>
      <w:r>
        <w:t xml:space="preserve">)</w:t>
      </w:r>
      <w:r>
        <w:t xml:space="preserve">, also marks the</w:t>
      </w:r>
      <w:r>
        <w:t xml:space="preserve"> </w:t>
      </w:r>
      <w:r>
        <w:t xml:space="preserve">early stages of morphosyntactic learning, before a late positivity emerges with rising</w:t>
      </w:r>
      <w:r>
        <w:t xml:space="preserve"> </w:t>
      </w:r>
      <w:r>
        <w:t xml:space="preserve">proficiency</w:t>
      </w:r>
      <w:r>
        <w:t xml:space="preserve"> </w:t>
      </w:r>
      <w:r>
        <w:t xml:space="preserve">(</w:t>
      </w:r>
      <w:hyperlink w:anchor="ref-osterhout2006">
        <w:r>
          <w:rPr>
            <w:rStyle w:val="Hyperlink"/>
          </w:rPr>
          <w:t xml:space="preserve">Osterhout et al., 2006</w:t>
        </w:r>
      </w:hyperlink>
      <w:r>
        <w:t xml:space="preserve">)</w:t>
      </w:r>
      <w:r>
        <w:t xml:space="preserve">. That later positivity is the P600, first reported for words</w:t>
      </w:r>
      <w:r>
        <w:t xml:space="preserve"> </w:t>
      </w:r>
      <w:r>
        <w:t xml:space="preserve">inconsistent with the preferred syntactic analysis</w:t>
      </w:r>
      <w:r>
        <w:t xml:space="preserve"> </w:t>
      </w:r>
      <w:r>
        <w:t xml:space="preserve">(</w:t>
      </w:r>
      <w:hyperlink w:anchor="ref-osterhout1992">
        <w:r>
          <w:rPr>
            <w:rStyle w:val="Hyperlink"/>
          </w:rPr>
          <w:t xml:space="preserve">Osterhout &amp; Holcomb, 1992</w:t>
        </w:r>
      </w:hyperlink>
      <w:r>
        <w:t xml:space="preserve">)</w:t>
      </w:r>
      <w:r>
        <w:t xml:space="preserve">. Over</w:t>
      </w:r>
      <w:r>
        <w:t xml:space="preserve"> </w:t>
      </w:r>
      <w:r>
        <w:t xml:space="preserve">centro-posterior sites, it has since been associated with syntactic reanalysis and repair,</w:t>
      </w:r>
      <w:r>
        <w:t xml:space="preserve"> </w:t>
      </w:r>
      <w:r>
        <w:t xml:space="preserve">and with the late integration of syntactic and semantic information</w:t>
      </w:r>
      <w:r>
        <w:t xml:space="preserve"> </w:t>
      </w:r>
      <w:r>
        <w:t xml:space="preserve">(</w:t>
      </w:r>
      <w:hyperlink w:anchor="ref-friederici2002tics">
        <w:r>
          <w:rPr>
            <w:rStyle w:val="Hyperlink"/>
          </w:rPr>
          <w:t xml:space="preserve">Friederici, 2002</w:t>
        </w:r>
      </w:hyperlink>
      <w:r>
        <w:t xml:space="preserve">;</w:t>
      </w:r>
      <w:r>
        <w:t xml:space="preserve"> </w:t>
      </w:r>
      <w:hyperlink w:anchor="ref-friederici2002pnas">
        <w:r>
          <w:rPr>
            <w:rStyle w:val="Hyperlink"/>
          </w:rPr>
          <w:t xml:space="preserve">Friederici et al., 2002</w:t>
        </w:r>
      </w:hyperlink>
      <w:r>
        <w:t xml:space="preserve">)</w:t>
      </w:r>
      <w:r>
        <w:t xml:space="preserve">. These map onto the three latency windows</w:t>
      </w:r>
      <w:r>
        <w:t xml:space="preserve"> </w:t>
      </w:r>
      <w:r>
        <w:t xml:space="preserve">analysed here (200–500, 300–600 and 400–900 ms). Training studies show that the brain’s response to</w:t>
      </w:r>
      <w:r>
        <w:t xml:space="preserve"> </w:t>
      </w:r>
      <w:r>
        <w:t xml:space="preserve">second-language violations becomes more native-like as proficiency increases</w:t>
      </w:r>
      <w:r>
        <w:t xml:space="preserve"> </w:t>
      </w:r>
      <w:r>
        <w:t xml:space="preserve">(</w:t>
      </w:r>
      <w:hyperlink w:anchor="ref-morganshort2012">
        <w:r>
          <w:rPr>
            <w:rStyle w:val="Hyperlink"/>
          </w:rPr>
          <w:t xml:space="preserve">Morgan-Short, Steinhauer, et al., 2012</w:t>
        </w:r>
      </w:hyperlink>
      <w:r>
        <w:t xml:space="preserve">)</w:t>
      </w:r>
      <w:r>
        <w:t xml:space="preserve">, and again across a consolidation</w:t>
      </w:r>
      <w:r>
        <w:t xml:space="preserve"> </w:t>
      </w:r>
      <w:r>
        <w:t xml:space="preserve">interval containing no further exposure</w:t>
      </w:r>
      <w:r>
        <w:t xml:space="preserve"> </w:t>
      </w:r>
      <w:r>
        <w:t xml:space="preserve">(</w:t>
      </w:r>
      <w:hyperlink w:anchor="ref-morganshort2012plos">
        <w:r>
          <w:rPr>
            <w:rStyle w:val="Hyperlink"/>
          </w:rPr>
          <w:t xml:space="preserve">Morgan-Short, Finger, et al., 2012</w:t>
        </w:r>
      </w:hyperlink>
      <w:r>
        <w:t xml:space="preserve">)</w:t>
      </w:r>
      <w:r>
        <w:t xml:space="preserve">, with negativities and</w:t>
      </w:r>
      <w:r>
        <w:t xml:space="preserve"> </w:t>
      </w:r>
      <w:r>
        <w:t xml:space="preserve">P600s emerging or shifting over time. Native speakers</w:t>
      </w:r>
      <w:r>
        <w:t xml:space="preserve"> </w:t>
      </w:r>
      <w:r>
        <w:t xml:space="preserve">(</w:t>
      </w:r>
      <w:hyperlink w:anchor="ref-tanner2014">
        <w:r>
          <w:rPr>
            <w:rStyle w:val="Hyperlink"/>
          </w:rPr>
          <w:t xml:space="preserve">Tanner &amp; Van Hell, 2014</w:t>
        </w:r>
      </w:hyperlink>
      <w:r>
        <w:t xml:space="preserve">)</w:t>
      </w:r>
      <w:r>
        <w:t xml:space="preserve"> </w:t>
      </w:r>
      <w:r>
        <w:t xml:space="preserve">and learners</w:t>
      </w:r>
      <w:r>
        <w:t xml:space="preserve"> </w:t>
      </w:r>
      <w:r>
        <w:t xml:space="preserve">(</w:t>
      </w:r>
      <w:hyperlink w:anchor="ref-tanner2013">
        <w:r>
          <w:rPr>
            <w:rStyle w:val="Hyperlink"/>
          </w:rPr>
          <w:t xml:space="preserve">Tanner et al., 2013</w:t>
        </w:r>
      </w:hyperlink>
      <w:r>
        <w:t xml:space="preserve">)</w:t>
      </w:r>
      <w:r>
        <w:t xml:space="preserve"> </w:t>
      </w:r>
      <w:r>
        <w:t xml:space="preserve">also differ systematically from one another in whether they recruit a more</w:t>
      </w:r>
      <w:r>
        <w:t xml:space="preserve"> </w:t>
      </w:r>
      <w:r>
        <w:t xml:space="preserve">negativity-dominated or a more P600-dominated response. Artificial-language paradigms, in</w:t>
      </w:r>
      <w:r>
        <w:t xml:space="preserve"> </w:t>
      </w:r>
      <w:r>
        <w:t xml:space="preserve">which the input is fully controlled, have been particularly valuable for isolating</w:t>
      </w:r>
      <w:r>
        <w:t xml:space="preserve"> </w:t>
      </w:r>
      <w:r>
        <w:t xml:space="preserve">these dynamics from the confounds of natural-language exposure</w:t>
      </w:r>
      <w:r>
        <w:t xml:space="preserve"> </w:t>
      </w:r>
      <w:r>
        <w:t xml:space="preserve">(</w:t>
      </w:r>
      <w:hyperlink w:anchor="ref-friederici2002pnas">
        <w:r>
          <w:rPr>
            <w:rStyle w:val="Hyperlink"/>
          </w:rPr>
          <w:t xml:space="preserve">Friederici et al., 2002</w:t>
        </w:r>
      </w:hyperlink>
      <w:r>
        <w:t xml:space="preserve">;</w:t>
      </w:r>
      <w:r>
        <w:t xml:space="preserve"> </w:t>
      </w:r>
      <w:hyperlink w:anchor="ref-gonzalezalonso2020">
        <w:r>
          <w:rPr>
            <w:rStyle w:val="Hyperlink"/>
          </w:rPr>
          <w:t xml:space="preserve">González Alonso et al., 2020</w:t>
        </w:r>
      </w:hyperlink>
      <w:r>
        <w:t xml:space="preserve">)</w:t>
      </w:r>
      <w:r>
        <w:t xml:space="preserve">. Bilinguals learning such a language show a</w:t>
      </w:r>
      <w:r>
        <w:t xml:space="preserve"> </w:t>
      </w:r>
      <w:r>
        <w:t xml:space="preserve">P600 to syntactic violations at a lower proficiency than monolinguals do</w:t>
      </w:r>
      <w:r>
        <w:t xml:space="preserve"> </w:t>
      </w:r>
      <w:r>
        <w:t xml:space="preserve">(</w:t>
      </w:r>
      <w:hyperlink w:anchor="ref-grey2018">
        <w:r>
          <w:rPr>
            <w:rStyle w:val="Hyperlink"/>
          </w:rPr>
          <w:t xml:space="preserve">Grey et al., 2018</w:t>
        </w:r>
      </w:hyperlink>
      <w:r>
        <w:t xml:space="preserve">)</w:t>
      </w:r>
      <w:r>
        <w:t xml:space="preserve">.</w:t>
      </w:r>
    </w:p>
    <w:p>
      <w:pPr>
        <w:pStyle w:val="BodyText"/>
      </w:pPr>
      <w:r>
        <w:t xml:space="preserve">The closest antecedent to the present design is the artificial-language L3 ERP work of</w:t>
      </w:r>
      <w:r>
        <w:t xml:space="preserve"> </w:t>
      </w:r>
      <w:r>
        <w:t xml:space="preserve">González Alonso et al. (</w:t>
      </w:r>
      <w:hyperlink w:anchor="ref-gonzalezalonso2020">
        <w:r>
          <w:rPr>
            <w:rStyle w:val="Hyperlink"/>
          </w:rPr>
          <w:t xml:space="preserve">2020</w:t>
        </w:r>
      </w:hyperlink>
      <w:r>
        <w:t xml:space="preserve">)</w:t>
      </w:r>
      <w:r>
        <w:t xml:space="preserve">. Its findings shape both our predictions and our reading of the</w:t>
      </w:r>
      <w:r>
        <w:t xml:space="preserve"> </w:t>
      </w:r>
      <w:r>
        <w:t xml:space="preserve">results, so we set them out in full. Fifty first-language-Spanish, second-language-English</w:t>
      </w:r>
      <w:r>
        <w:t xml:space="preserve"> </w:t>
      </w:r>
      <w:r>
        <w:t xml:space="preserve">bilinguals were given implicit training on one of two miniature languages, built on</w:t>
      </w:r>
      <w:r>
        <w:t xml:space="preserve"> </w:t>
      </w:r>
      <w:r>
        <w:t xml:space="preserve">English and Spanish lexicons, and their ERPs to gender-agreement violations were recorded</w:t>
      </w:r>
      <w:r>
        <w:t xml:space="preserve"> </w:t>
      </w:r>
      <w:r>
        <w:t xml:space="preserve">at first exposure. They named their two languages after those lexicons, and we refer to</w:t>
      </w:r>
      <w:r>
        <w:t xml:space="preserve"> </w:t>
      </w:r>
      <w:r>
        <w:t xml:space="preserve">their groups by lexicon throughout, so that neither is confused with our own Mini-English</w:t>
      </w:r>
      <w:r>
        <w:t xml:space="preserve"> </w:t>
      </w:r>
      <w:r>
        <w:t xml:space="preserve">and Mini-Norwegian conditions. The two groups responded differently. In their</w:t>
      </w:r>
      <w:r>
        <w:t xml:space="preserve"> </w:t>
      </w:r>
      <w:r>
        <w:t xml:space="preserve">English-lexicon language, violations elicited an early (200–500 ms) fronto-lateral</w:t>
      </w:r>
      <w:r>
        <w:t xml:space="preserve"> </w:t>
      </w:r>
      <w:r>
        <w:t xml:space="preserve">negativity, confined to electrodes in the right-anterior region and followed by nothing in</w:t>
      </w:r>
      <w:r>
        <w:t xml:space="preserve"> </w:t>
      </w:r>
      <w:r>
        <w:t xml:space="preserve">later windows. In their Spanish-lexicon language, they elicited a broadly distributed</w:t>
      </w:r>
      <w:r>
        <w:t xml:space="preserve"> </w:t>
      </w:r>
      <w:r>
        <w:t xml:space="preserve">positivity at 300–600 ms. Neither group produced a P600 or</w:t>
      </w:r>
      <w:r>
        <w:t xml:space="preserve"> </w:t>
      </w:r>
      <w:r>
        <w:t xml:space="preserve">any other canonical index of grammatical processing, and judgement accuracy did not differ</w:t>
      </w:r>
      <w:r>
        <w:t xml:space="preserve"> </w:t>
      </w:r>
      <w:r>
        <w:t xml:space="preserve">between the groups. The authors read the between-group</w:t>
      </w:r>
      <w:r>
        <w:t xml:space="preserve"> </w:t>
      </w:r>
      <w:r>
        <w:t xml:space="preserve">difference as differential allocation of attention, driven by each miniature language’s</w:t>
      </w:r>
      <w:r>
        <w:t xml:space="preserve"> </w:t>
      </w:r>
      <w:r>
        <w:t xml:space="preserve">lexical similarity to a prior grammar, and therefore as a precursor of source selection,</w:t>
      </w:r>
      <w:r>
        <w:t xml:space="preserve"> </w:t>
      </w:r>
      <w:r>
        <w:t xml:space="preserve">not as grammatical processing itself. The present study extends that logic in</w:t>
      </w:r>
      <w:r>
        <w:t xml:space="preserve"> </w:t>
      </w:r>
      <w:r>
        <w:t xml:space="preserve">three ways. It goes beyond first exposure, tracking each property across up to four</w:t>
      </w:r>
      <w:r>
        <w:t xml:space="preserve"> </w:t>
      </w:r>
      <w:r>
        <w:t xml:space="preserve">sessions, and it manipulates three properties whose relation to the prior grammars</w:t>
      </w:r>
      <w:r>
        <w:t xml:space="preserve"> </w:t>
      </w:r>
      <w:r>
        <w:t xml:space="preserve">differs within the same learners. It also closes with an unrehearsed retention test</w:t>
      </w:r>
      <w:r>
        <w:t xml:space="preserve"> </w:t>
      </w:r>
      <w:r>
        <w:t xml:space="preserve">after months without exposure, so the durability of the observed processing effects can be measured.</w:t>
      </w:r>
      <w:r>
        <w:t xml:space="preserve"> </w:t>
      </w:r>
      <w:r>
        <w:t xml:space="preserve">Whether the initial-exposure pattern of</w:t>
      </w:r>
      <w:r>
        <w:t xml:space="preserve"> </w:t>
      </w:r>
      <w:r>
        <w:t xml:space="preserve">González Alonso et al. (</w:t>
      </w:r>
      <w:hyperlink w:anchor="ref-gonzalezalonso2020">
        <w:r>
          <w:rPr>
            <w:rStyle w:val="Hyperlink"/>
          </w:rPr>
          <w:t xml:space="preserve">2020</w:t>
        </w:r>
      </w:hyperlink>
      <w:r>
        <w:t xml:space="preserve">)</w:t>
      </w:r>
      <w:r>
        <w:t xml:space="preserve"> </w:t>
      </w:r>
      <w:r>
        <w:t xml:space="preserve">reappears under these</w:t>
      </w:r>
      <w:r>
        <w:t xml:space="preserve"> </w:t>
      </w:r>
      <w:r>
        <w:t xml:space="preserve">conditions is itself an empirical question, taken up in the Discussion.</w:t>
      </w:r>
    </w:p>
    <w:p>
      <w:pPr>
        <w:pStyle w:val="BodyText"/>
      </w:pPr>
      <w:r>
        <w:t xml:space="preserve">Two behavioural studies share more of the present materials. Each trained speakers on a</w:t>
      </w:r>
      <w:r>
        <w:t xml:space="preserve"> </w:t>
      </w:r>
      <w:r>
        <w:t xml:space="preserve">miniature language with a Norwegian lexicon and a case system, a property Norwegian</w:t>
      </w:r>
      <w:r>
        <w:t xml:space="preserve"> </w:t>
      </w:r>
      <w:r>
        <w:t xml:space="preserve">lacks. Prior knowledge of a case language eased acquisition even though the lexicon</w:t>
      </w:r>
      <w:r>
        <w:t xml:space="preserve"> </w:t>
      </w:r>
      <w:r>
        <w:t xml:space="preserve">pointed to Norwegian, but only where that language and the miniature language marked case</w:t>
      </w:r>
      <w:r>
        <w:t xml:space="preserve"> </w:t>
      </w:r>
      <w:r>
        <w:t xml:space="preserve">in the same overt form, on the noun</w:t>
      </w:r>
      <w:r>
        <w:t xml:space="preserve"> </w:t>
      </w:r>
      <w:r>
        <w:t xml:space="preserve">(</w:t>
      </w:r>
      <w:hyperlink w:anchor="ref-castle2026">
        <w:r>
          <w:rPr>
            <w:rStyle w:val="Hyperlink"/>
          </w:rPr>
          <w:t xml:space="preserve">Castle et al., 2026</w:t>
        </w:r>
      </w:hyperlink>
      <w:r>
        <w:t xml:space="preserve">;</w:t>
      </w:r>
      <w:r>
        <w:t xml:space="preserve"> </w:t>
      </w:r>
      <w:hyperlink w:anchor="ref-mitrofanova2023">
        <w:r>
          <w:rPr>
            <w:rStyle w:val="Hyperlink"/>
          </w:rPr>
          <w:t xml:space="preserve">Mitrofanova et al., 2023</w:t>
        </w:r>
      </w:hyperlink>
      <w:r>
        <w:t xml:space="preserve">)</w:t>
      </w:r>
      <w:r>
        <w:t xml:space="preserve">. Greek, which marks</w:t>
      </w:r>
      <w:r>
        <w:t xml:space="preserve"> </w:t>
      </w:r>
      <w:r>
        <w:t xml:space="preserve">case on the determiner, gave no such advantage in the first study, and the second found</w:t>
      </w:r>
      <w:r>
        <w:t xml:space="preserve"> </w:t>
      </w:r>
      <w:r>
        <w:t xml:space="preserve">the advantage subject to word-order bias and proficiency. The overt realisation of a</w:t>
      </w:r>
      <w:r>
        <w:t xml:space="preserve"> </w:t>
      </w:r>
      <w:r>
        <w:t xml:space="preserve">property conditioned crosslinguistic influence, and the present gender manipulation varies exactly</w:t>
      </w:r>
      <w:r>
        <w:t xml:space="preserve"> </w:t>
      </w:r>
      <w:r>
        <w:t xml:space="preserve">that realisation between the two miniature languages.</w:t>
      </w:r>
    </w:p>
    <w:p>
      <w:pPr>
        <w:pStyle w:val="BodyText"/>
      </w:pPr>
      <w:r>
        <w:t xml:space="preserve">Recent syntheses of the transfer</w:t>
      </w:r>
      <w:r>
        <w:t xml:space="preserve"> </w:t>
      </w:r>
      <w:r>
        <w:t xml:space="preserve">literature draw attention to the methodological choices that constrain what its findings</w:t>
      </w:r>
      <w:r>
        <w:t xml:space="preserve"> </w:t>
      </w:r>
      <w:r>
        <w:t xml:space="preserve">can show</w:t>
      </w:r>
      <w:r>
        <w:t xml:space="preserve"> </w:t>
      </w:r>
      <w:r>
        <w:t xml:space="preserve">(</w:t>
      </w:r>
      <w:hyperlink w:anchor="ref-gonzalezalonso2026">
        <w:r>
          <w:rPr>
            <w:rStyle w:val="Hyperlink"/>
          </w:rPr>
          <w:t xml:space="preserve">González Alonso et al., 2026</w:t>
        </w:r>
      </w:hyperlink>
      <w:r>
        <w:t xml:space="preserve">;</w:t>
      </w:r>
      <w:r>
        <w:t xml:space="preserve"> </w:t>
      </w:r>
      <w:hyperlink w:anchor="ref-puigmayenco2020">
        <w:r>
          <w:rPr>
            <w:rStyle w:val="Hyperlink"/>
          </w:rPr>
          <w:t xml:space="preserve">Puig-Mayenco et al., 2020</w:t>
        </w:r>
      </w:hyperlink>
      <w:r>
        <w:t xml:space="preserve">;</w:t>
      </w:r>
      <w:r>
        <w:t xml:space="preserve"> </w:t>
      </w:r>
      <w:hyperlink w:anchor="ref-rothman2019">
        <w:r>
          <w:rPr>
            <w:rStyle w:val="Hyperlink"/>
          </w:rPr>
          <w:t xml:space="preserve">Rothman et al., 2019</w:t>
        </w:r>
      </w:hyperlink>
      <w:r>
        <w:t xml:space="preserve">)</w:t>
      </w:r>
      <w:r>
        <w:t xml:space="preserve">, and longitudinal and</w:t>
      </w:r>
      <w:r>
        <w:t xml:space="preserve"> </w:t>
      </w:r>
      <w:r>
        <w:t xml:space="preserve">electrophysiological evidence remains among its scarcest. An ERP successor to</w:t>
      </w:r>
      <w:r>
        <w:t xml:space="preserve"> </w:t>
      </w:r>
      <w:r>
        <w:t xml:space="preserve">González Alonso et al. (</w:t>
      </w:r>
      <w:hyperlink w:anchor="ref-gonzalezalonso2020">
        <w:r>
          <w:rPr>
            <w:rStyle w:val="Hyperlink"/>
          </w:rPr>
          <w:t xml:space="preserve">2020</w:t>
        </w:r>
      </w:hyperlink>
      <w:r>
        <w:t xml:space="preserve">)</w:t>
      </w:r>
      <w:r>
        <w:t xml:space="preserve"> </w:t>
      </w:r>
      <w:r>
        <w:t xml:space="preserve">trained heritage and second-language bilinguals on a Latin</w:t>
      </w:r>
      <w:r>
        <w:t xml:space="preserve"> </w:t>
      </w:r>
      <w:r>
        <w:t xml:space="preserve">mini-grammar and found violation responses that no current model had predicted, an</w:t>
      </w:r>
      <w:r>
        <w:t xml:space="preserve"> </w:t>
      </w:r>
      <w:r>
        <w:t xml:space="preserve">outcome its authors took as a question about the paradigm itself</w:t>
      </w:r>
      <w:r>
        <w:t xml:space="preserve"> </w:t>
      </w:r>
      <w:r>
        <w:t xml:space="preserve">(</w:t>
      </w:r>
      <w:hyperlink w:anchor="ref-pereirasoares2022">
        <w:r>
          <w:rPr>
            <w:rStyle w:val="Hyperlink"/>
          </w:rPr>
          <w:t xml:space="preserve">Pereira Soares et al., 2022</w:t>
        </w:r>
      </w:hyperlink>
      <w:r>
        <w:t xml:space="preserve">)</w:t>
      </w:r>
      <w:r>
        <w:t xml:space="preserve">.</w:t>
      </w:r>
      <w:r>
        <w:t xml:space="preserve"> </w:t>
      </w:r>
      <w:r>
        <w:t xml:space="preserve">The recurring objection to miniature languages is that a</w:t>
      </w:r>
      <w:r>
        <w:t xml:space="preserve"> </w:t>
      </w:r>
      <w:r>
        <w:t xml:space="preserve">grammar acquired in hours may not engage the mechanisms of natural morphosyntax. This</w:t>
      </w:r>
      <w:r>
        <w:t xml:space="preserve"> </w:t>
      </w:r>
      <w:r>
        <w:t xml:space="preserve">literature answers it with the finding that artificial-language learners, once</w:t>
      </w:r>
      <w:r>
        <w:t xml:space="preserve"> </w:t>
      </w:r>
      <w:r>
        <w:t xml:space="preserve">sufficiently proficient, show qualitatively native-like violation responses</w:t>
      </w:r>
      <w:r>
        <w:t xml:space="preserve"> </w:t>
      </w:r>
      <w:r>
        <w:t xml:space="preserve">(</w:t>
      </w:r>
      <w:hyperlink w:anchor="ref-friederici2002pnas">
        <w:r>
          <w:rPr>
            <w:rStyle w:val="Hyperlink"/>
          </w:rPr>
          <w:t xml:space="preserve">Friederici et al., 2002</w:t>
        </w:r>
      </w:hyperlink>
      <w:r>
        <w:t xml:space="preserve">;</w:t>
      </w:r>
      <w:r>
        <w:t xml:space="preserve"> </w:t>
      </w:r>
      <w:hyperlink w:anchor="ref-morganshort2012">
        <w:r>
          <w:rPr>
            <w:rStyle w:val="Hyperlink"/>
          </w:rPr>
          <w:t xml:space="preserve">Morgan-Short, Steinhauer, et al., 2012</w:t>
        </w:r>
      </w:hyperlink>
      <w:r>
        <w:t xml:space="preserve">)</w:t>
      </w:r>
      <w:r>
        <w:t xml:space="preserve">. What the design buys in exchange is exact</w:t>
      </w:r>
      <w:r>
        <w:t xml:space="preserve"> </w:t>
      </w:r>
      <w:r>
        <w:t xml:space="preserve">control over every learner’s input history, which no natural-language design can offer.</w:t>
      </w:r>
    </w:p>
    <w:bookmarkEnd w:id="54"/>
    <w:bookmarkStart w:id="59" w:name="the-present-study"/>
    <w:p>
      <w:pPr>
        <w:pStyle w:val="Heading2"/>
      </w:pPr>
      <w:r>
        <w:t xml:space="preserve">The present study</w:t>
      </w:r>
    </w:p>
    <w:p>
      <w:pPr>
        <w:pStyle w:val="FirstParagraph"/>
      </w:pPr>
      <w:r>
        <w:t xml:space="preserve">We use a controlled artificial-language design to ask whether learners’ sensitivity to</w:t>
      </w:r>
      <w:r>
        <w:t xml:space="preserve"> </w:t>
      </w:r>
      <w:r>
        <w:t xml:space="preserve">three morphosyntactic properties, in judgements and in the ERP response, differs between</w:t>
      </w:r>
      <w:r>
        <w:t xml:space="preserve"> </w:t>
      </w:r>
      <w:r>
        <w:t xml:space="preserve">two miniature languages, and how that sensitivity develops from the first post-training</w:t>
      </w:r>
      <w:r>
        <w:t xml:space="preserve"> </w:t>
      </w:r>
      <w:r>
        <w:t xml:space="preserve">session to a retention test months later. Norwegian–English bilinguals (first language</w:t>
      </w:r>
      <w:r>
        <w:t xml:space="preserve"> </w:t>
      </w:r>
      <w:r>
        <w:t xml:space="preserve">Norwegian, second language English) acquired one of two miniature languages, Mini-English</w:t>
      </w:r>
      <w:r>
        <w:t xml:space="preserve"> </w:t>
      </w:r>
      <w:r>
        <w:t xml:space="preserve">or Mini-Norwegian. Within each language, we manipulated three morphosyntactic properties</w:t>
      </w:r>
      <w:r>
        <w:t xml:space="preserve"> </w:t>
      </w:r>
      <w:r>
        <w:t xml:space="preserve">that vary in their relationship to the learners’ existing grammars: subject–verb gender</w:t>
      </w:r>
      <w:r>
        <w:t xml:space="preserve"> </w:t>
      </w:r>
      <w:r>
        <w:t xml:space="preserve">agreement, differential object marking and verb–object number agreement. The two languages</w:t>
      </w:r>
      <w:r>
        <w:t xml:space="preserve"> </w:t>
      </w:r>
      <w:r>
        <w:t xml:space="preserve">share their grammatical morphemes and differ in two respects. Their content words are built</w:t>
      </w:r>
      <w:r>
        <w:t xml:space="preserve"> </w:t>
      </w:r>
      <w:r>
        <w:t xml:space="preserve">on English and on Norwegian stems respectively, and gender is marked by a free prenominal</w:t>
      </w:r>
      <w:r>
        <w:t xml:space="preserve"> </w:t>
      </w:r>
      <w:r>
        <w:t xml:space="preserve">determiner in Mini-English but by a determiner suffixed to the noun in Mini-Norwegian, as the</w:t>
      </w:r>
      <w:r>
        <w:t xml:space="preserve"> </w:t>
      </w:r>
      <w:r>
        <w:t xml:space="preserve">Norwegian definite article is (see Method).</w:t>
      </w:r>
    </w:p>
    <w:p>
      <w:pPr>
        <w:pStyle w:val="BodyText"/>
      </w:pPr>
      <w:r>
        <w:t xml:space="preserve">Single-trial ERPs and grammaticality judgements were collected across four</w:t>
      </w:r>
      <w:r>
        <w:t xml:space="preserve"> </w:t>
      </w:r>
      <w:r>
        <w:t xml:space="preserve">laboratory sessions (Sessions 2, 3, 4 and 6) that trace the learning trajectory</w:t>
      </w:r>
      <w:r>
        <w:t xml:space="preserve"> </w:t>
      </w:r>
      <w:r>
        <w:t xml:space="preserve">from the first post-training session to a post-consolidation retention test. The properties</w:t>
      </w:r>
      <w:r>
        <w:t xml:space="preserve"> </w:t>
      </w:r>
      <w:r>
        <w:t xml:space="preserve">enter the design at different points (gender agreement from Session 2,</w:t>
      </w:r>
      <w:r>
        <w:t xml:space="preserve"> </w:t>
      </w:r>
      <w:r>
        <w:t xml:space="preserve">differential object marking from Session 3 and verb–object number agreement from</w:t>
      </w:r>
      <w:r>
        <w:t xml:space="preserve"> </w:t>
      </w:r>
      <w:r>
        <w:t xml:space="preserve">Session 4), yielding a cumulative, property-by-property exposure schedule (</w:t>
      </w:r>
      <w:hyperlink w:anchor="fig-design">
        <w:r>
          <w:rPr>
            <w:rStyle w:val="Hyperlink"/>
          </w:rPr>
          <w:t xml:space="preserve">Figure 2</w:t>
        </w:r>
      </w:hyperlink>
      <w:r>
        <w:t xml:space="preserve">).</w:t>
      </w:r>
    </w:p>
    <w:bookmarkStart w:id="58" w:name="fig-design"/>
    <w:p>
      <w:pPr>
        <w:pStyle w:val="FigureTitle"/>
      </w:pPr>
      <w:r>
        <w:t xml:space="preserve">Figure 2</w:t>
      </w:r>
    </w:p>
    <w:p>
      <w:pPr>
        <w:pStyle w:val="Caption"/>
      </w:pPr>
      <w:r>
        <w:t xml:space="preserve">Exposure and Measurement Schedule</w:t>
      </w:r>
    </w:p>
    <w:p>
      <w:pPr>
        <w:pStyle w:val="FigureWithNote"/>
      </w:pPr>
      <w:r>
        <w:drawing>
          <wp:inline>
            <wp:extent cx="5943600" cy="1828799"/>
            <wp:effectExtent b="0" l="0" r="0" t="0"/>
            <wp:docPr descr="" title="" id="56" name="Picture"/>
            <a:graphic>
              <a:graphicData uri="http://schemas.openxmlformats.org/drawingml/2006/picture">
                <pic:pic>
                  <pic:nvPicPr>
                    <pic:cNvPr descr="paper_1_morphosyntax_files/figure-docx/fig-design-1.png" id="57" name="Picture"/>
                    <pic:cNvPicPr>
                      <a:picLocks noChangeArrowheads="1" noChangeAspect="1"/>
                    </pic:cNvPicPr>
                  </pic:nvPicPr>
                  <pic:blipFill>
                    <a:blip r:embed="rId55"/>
                    <a:stretch>
                      <a:fillRect/>
                    </a:stretch>
                  </pic:blipFill>
                  <pic:spPr bwMode="auto">
                    <a:xfrm>
                      <a:off x="0" y="0"/>
                      <a:ext cx="5943600" cy="1828799"/>
                    </a:xfrm>
                    <a:prstGeom prst="rect">
                      <a:avLst/>
                    </a:prstGeom>
                    <a:noFill/>
                    <a:ln w="9525">
                      <a:noFill/>
                      <a:headEnd/>
                      <a:tailEnd/>
                    </a:ln>
                  </pic:spPr>
                </pic:pic>
              </a:graphicData>
            </a:graphic>
          </wp:inline>
        </w:drawing>
      </w:r>
    </w:p>
    <w:bookmarkEnd w:id="58"/>
    <w:p>
      <w:pPr>
        <w:pStyle w:val="FigureNote"/>
      </w:pPr>
      <w:r>
        <w:rPr>
          <w:i/>
          <w:iCs/>
        </w:rPr>
        <w:t xml:space="preserve">Note</w:t>
      </w:r>
      <w:r>
        <w:t xml:space="preserve">. Points mark the sessions at which each grammatical property was presented and tested. Each property enters at a different session and recurs at every later one, so gender agreement is tested at four sessions, differential object marking at three and verb–object number agreement at two. Sessions 1 and 5 were home sessions of the cognitive battery analysed in a companion paper, and Session 1 also included the Language History Questionnaire. Neither session included training or testing in the miniature language, so both are omitted. The session axis is ordinal, and equal spacing does not imply equal elapsed time. The brackets above the grid give the intervals: Sessions 2 to 4 were one week apart, and Session 6, the unrehearsed retention test, followed Session 4 after about four months without exposure.</w:t>
      </w:r>
    </w:p>
    <w:p>
      <w:pPr>
        <w:pStyle w:val="BodyText"/>
      </w:pPr>
      <w:r>
        <w:t xml:space="preserve">The transfer accounts make their clearest predictions for gender agreement, the only one of</w:t>
      </w:r>
      <w:r>
        <w:t xml:space="preserve"> </w:t>
      </w:r>
      <w:r>
        <w:t xml:space="preserve">the three properties that Norwegian has and English lacks. The Typological Primacy Model</w:t>
      </w:r>
      <w:r>
        <w:t xml:space="preserve"> </w:t>
      </w:r>
      <w:r>
        <w:t xml:space="preserve">holds that the parser selects a whole prior grammar on the basis of overall similarity,</w:t>
      </w:r>
      <w:r>
        <w:t xml:space="preserve"> </w:t>
      </w:r>
      <w:r>
        <w:t xml:space="preserve">assessed from a hierarchy of cues in which the lexicon comes first</w:t>
      </w:r>
      <w:r>
        <w:t xml:space="preserve"> </w:t>
      </w:r>
      <w:r>
        <w:t xml:space="preserve">(</w:t>
      </w:r>
      <w:hyperlink w:anchor="ref-rothman2015">
        <w:r>
          <w:rPr>
            <w:rStyle w:val="Hyperlink"/>
          </w:rPr>
          <w:t xml:space="preserve">Rothman, 2015</w:t>
        </w:r>
      </w:hyperlink>
      <w:r>
        <w:t xml:space="preserve">)</w:t>
      </w:r>
      <w:r>
        <w:t xml:space="preserve">. A</w:t>
      </w:r>
      <w:r>
        <w:t xml:space="preserve"> </w:t>
      </w:r>
      <w:r>
        <w:t xml:space="preserve">Mini-Norwegian learner should therefore draw on Norwegian, gender included, and a</w:t>
      </w:r>
      <w:r>
        <w:t xml:space="preserve"> </w:t>
      </w:r>
      <w:r>
        <w:t xml:space="preserve">Mini-English learner on English, which has no grammatical gender. The model predicts greater</w:t>
      </w:r>
      <w:r>
        <w:t xml:space="preserve"> </w:t>
      </w:r>
      <w:r>
        <w:t xml:space="preserve">sensitivity to gender-agreement violations in the Mini-Norwegian group, in the judgements</w:t>
      </w:r>
      <w:r>
        <w:t xml:space="preserve"> </w:t>
      </w:r>
      <w:r>
        <w:t xml:space="preserve">and in the ERP response, at least at the earliest sessions, before further input could</w:t>
      </w:r>
      <w:r>
        <w:t xml:space="preserve"> </w:t>
      </w:r>
      <w:r>
        <w:t xml:space="preserve">overcome a non-facilitative choice. This is the prediction that</w:t>
      </w:r>
      <w:r>
        <w:t xml:space="preserve"> </w:t>
      </w:r>
      <w:r>
        <w:t xml:space="preserve">Rothman et al. (</w:t>
      </w:r>
      <w:hyperlink w:anchor="ref-rothmanalemanbanon2015">
        <w:r>
          <w:rPr>
            <w:rStyle w:val="Hyperlink"/>
          </w:rPr>
          <w:t xml:space="preserve">2015</w:t>
        </w:r>
      </w:hyperlink>
      <w:r>
        <w:t xml:space="preserve">)</w:t>
      </w:r>
      <w:r>
        <w:t xml:space="preserve"> </w:t>
      </w:r>
      <w:r>
        <w:t xml:space="preserve">derived for the analogous Mini-Spanish and Mini-English groups. The</w:t>
      </w:r>
      <w:r>
        <w:t xml:space="preserve"> </w:t>
      </w:r>
      <w:r>
        <w:t xml:space="preserve">L2 Status Factor predicts instead that both groups draw on English</w:t>
      </w:r>
      <w:r>
        <w:t xml:space="preserve"> </w:t>
      </w:r>
      <w:r>
        <w:t xml:space="preserve">(</w:t>
      </w:r>
      <w:hyperlink w:anchor="ref-bardel2007">
        <w:r>
          <w:rPr>
            <w:rStyle w:val="Hyperlink"/>
          </w:rPr>
          <w:t xml:space="preserve">Bardel &amp; Falk, 2007</w:t>
        </w:r>
      </w:hyperlink>
      <w:r>
        <w:t xml:space="preserve">;</w:t>
      </w:r>
      <w:r>
        <w:t xml:space="preserve"> </w:t>
      </w:r>
      <w:hyperlink w:anchor="ref-falk2011">
        <w:r>
          <w:rPr>
            <w:rStyle w:val="Hyperlink"/>
          </w:rPr>
          <w:t xml:space="preserve">Falk &amp; Bardel, 2011</w:t>
        </w:r>
      </w:hyperlink>
      <w:r>
        <w:t xml:space="preserve">)</w:t>
      </w:r>
      <w:r>
        <w:t xml:space="preserve">, so that neither gains an advantage from Norwegian gender. Property-by-property</w:t>
      </w:r>
      <w:r>
        <w:t xml:space="preserve"> </w:t>
      </w:r>
      <w:r>
        <w:t xml:space="preserve">accounts make no such prediction from grammatical knowledge alone. The Norwegian gender</w:t>
      </w:r>
      <w:r>
        <w:t xml:space="preserve"> </w:t>
      </w:r>
      <w:r>
        <w:t xml:space="preserve">system remains available to every participant, and a learner of either miniature language</w:t>
      </w:r>
      <w:r>
        <w:t xml:space="preserve"> </w:t>
      </w:r>
      <w:r>
        <w:t xml:space="preserve">can recruit it once the input reveals that the property is shared</w:t>
      </w:r>
      <w:r>
        <w:t xml:space="preserve"> </w:t>
      </w:r>
      <w:r>
        <w:t xml:space="preserve">(</w:t>
      </w:r>
      <w:hyperlink w:anchor="ref-westergaard2017">
        <w:r>
          <w:rPr>
            <w:rStyle w:val="Hyperlink"/>
          </w:rPr>
          <w:t xml:space="preserve">Westergaard et al., 2017</w:t>
        </w:r>
      </w:hyperlink>
      <w:r>
        <w:t xml:space="preserve">;</w:t>
      </w:r>
      <w:r>
        <w:t xml:space="preserve"> </w:t>
      </w:r>
      <w:hyperlink w:anchor="ref-westergaard2021">
        <w:r>
          <w:rPr>
            <w:rStyle w:val="Hyperlink"/>
          </w:rPr>
          <w:t xml:space="preserve">Westergaard, 2021</w:t>
        </w:r>
      </w:hyperlink>
      <w:r>
        <w:t xml:space="preserve">)</w:t>
      </w:r>
      <w:r>
        <w:t xml:space="preserve">. On that derivation, the two groups need not differ.</w:t>
      </w:r>
    </w:p>
    <w:p>
      <w:pPr>
        <w:pStyle w:val="BodyText"/>
      </w:pPr>
      <w:r>
        <w:t xml:space="preserve">Two features of the design limit what a group difference could show. First, the Linguistic</w:t>
      </w:r>
      <w:r>
        <w:t xml:space="preserve"> </w:t>
      </w:r>
      <w:r>
        <w:t xml:space="preserve">Proximity Model allows superficial, especially lexical, similarity to sway influence at the</w:t>
      </w:r>
      <w:r>
        <w:t xml:space="preserve"> </w:t>
      </w:r>
      <w:r>
        <w:t xml:space="preserve">earliest stages, before learners can detect abstract structural similarity</w:t>
      </w:r>
      <w:r>
        <w:t xml:space="preserve"> </w:t>
      </w:r>
      <w:r>
        <w:t xml:space="preserve">(</w:t>
      </w:r>
      <w:hyperlink w:anchor="ref-westergaard2017">
        <w:r>
          <w:rPr>
            <w:rStyle w:val="Hyperlink"/>
          </w:rPr>
          <w:t xml:space="preserve">Westergaard et al., 2017</w:t>
        </w:r>
      </w:hyperlink>
      <w:r>
        <w:t xml:space="preserve">;</w:t>
      </w:r>
      <w:r>
        <w:t xml:space="preserve"> </w:t>
      </w:r>
      <w:hyperlink w:anchor="ref-westergaard2021">
        <w:r>
          <w:rPr>
            <w:rStyle w:val="Hyperlink"/>
          </w:rPr>
          <w:t xml:space="preserve">Westergaard, 2021</w:t>
        </w:r>
      </w:hyperlink>
      <w:r>
        <w:t xml:space="preserve">)</w:t>
      </w:r>
      <w:r>
        <w:t xml:space="preserve">. A Mini-Norwegian advantage would therefore not refute</w:t>
      </w:r>
      <w:r>
        <w:t xml:space="preserve"> </w:t>
      </w:r>
      <w:r>
        <w:t xml:space="preserve">property-by-property transfer, a point made both about artificial-language evidence of this</w:t>
      </w:r>
      <w:r>
        <w:t xml:space="preserve"> </w:t>
      </w:r>
      <w:r>
        <w:t xml:space="preserve">kind</w:t>
      </w:r>
      <w:r>
        <w:t xml:space="preserve"> </w:t>
      </w:r>
      <w:r>
        <w:t xml:space="preserve">(</w:t>
      </w:r>
      <w:hyperlink w:anchor="ref-jensen2023">
        <w:r>
          <w:rPr>
            <w:rStyle w:val="Hyperlink"/>
          </w:rPr>
          <w:t xml:space="preserve">Jensen &amp; Westergaard, 2023</w:t>
        </w:r>
      </w:hyperlink>
      <w:r>
        <w:t xml:space="preserve">)</w:t>
      </w:r>
      <w:r>
        <w:t xml:space="preserve"> </w:t>
      </w:r>
      <w:r>
        <w:t xml:space="preserve">and about the closest ERP precedent</w:t>
      </w:r>
      <w:r>
        <w:t xml:space="preserve"> </w:t>
      </w:r>
      <w:r>
        <w:t xml:space="preserve">(</w:t>
      </w:r>
      <w:hyperlink w:anchor="ref-gonzalezalonso2020">
        <w:r>
          <w:rPr>
            <w:rStyle w:val="Hyperlink"/>
          </w:rPr>
          <w:t xml:space="preserve">González Alonso et al., 2020</w:t>
        </w:r>
      </w:hyperlink>
      <w:r>
        <w:t xml:space="preserve">)</w:t>
      </w:r>
      <w:r>
        <w:t xml:space="preserve">. Second, the two</w:t>
      </w:r>
      <w:r>
        <w:t xml:space="preserve"> </w:t>
      </w:r>
      <w:r>
        <w:t xml:space="preserve">miniature languages differ in structure as well as in lexicon, because Mini-Norwegian marks</w:t>
      </w:r>
      <w:r>
        <w:t xml:space="preserve"> </w:t>
      </w:r>
      <w:r>
        <w:t xml:space="preserve">gender on a suffixed determiner, as Norwegian does. Structural similarity of that kind is</w:t>
      </w:r>
      <w:r>
        <w:t xml:space="preserve"> </w:t>
      </w:r>
      <w:r>
        <w:t xml:space="preserve">what property-by-property accounts take to trigger selective transfer, so they too could</w:t>
      </w:r>
      <w:r>
        <w:t xml:space="preserve"> </w:t>
      </w:r>
      <w:r>
        <w:t xml:space="preserve">expect Mini-Norwegian learners to recruit Norwegian gender more readily. A Mini-Norwegian</w:t>
      </w:r>
      <w:r>
        <w:t xml:space="preserve"> </w:t>
      </w:r>
      <w:r>
        <w:t xml:space="preserve">advantage in gender-agreement sensitivity is therefore compatible with every account except</w:t>
      </w:r>
      <w:r>
        <w:t xml:space="preserve"> </w:t>
      </w:r>
      <w:r>
        <w:t xml:space="preserve">the L2 Status Factor. The accounts separate on its absence, which the Typological Primacy</w:t>
      </w:r>
      <w:r>
        <w:t xml:space="preserve"> </w:t>
      </w:r>
      <w:r>
        <w:t xml:space="preserve">Model does not allow and property-by-property accounts do. Differential object marking and</w:t>
      </w:r>
      <w:r>
        <w:t xml:space="preserve"> </w:t>
      </w:r>
      <w:r>
        <w:t xml:space="preserve">verb–object number agreement are absent from both prior languages and realised identically</w:t>
      </w:r>
      <w:r>
        <w:t xml:space="preserve"> </w:t>
      </w:r>
      <w:r>
        <w:t xml:space="preserve">in the two miniature languages, so no account predicts a group difference in sensitivity to</w:t>
      </w:r>
      <w:r>
        <w:t xml:space="preserve"> </w:t>
      </w:r>
      <w:r>
        <w:t xml:space="preserve">either. They serve as controls for group differences that arise for reasons other than the</w:t>
      </w:r>
      <w:r>
        <w:t xml:space="preserve"> </w:t>
      </w:r>
      <w:r>
        <w:t xml:space="preserve">prior grammars, such as a difference in how easily the two lexicons are learned.</w:t>
      </w:r>
    </w:p>
    <w:p>
      <w:pPr>
        <w:pStyle w:val="BodyText"/>
      </w:pPr>
      <w:r>
        <w:t xml:space="preserve">These predictions concern the source of grammatical knowledge, but the measures record</w:t>
      </w:r>
      <w:r>
        <w:t xml:space="preserve"> </w:t>
      </w:r>
      <w:r>
        <w:t xml:space="preserve">processing and decisions. A judgement also reflects how readily a learner accepts sentences</w:t>
      </w:r>
      <w:r>
        <w:t xml:space="preserve"> </w:t>
      </w:r>
      <w:r>
        <w:t xml:space="preserve">at all, and a violation response can reflect attention or anomaly detection as well as</w:t>
      </w:r>
      <w:r>
        <w:t xml:space="preserve"> </w:t>
      </w:r>
      <w:r>
        <w:t xml:space="preserve">grammatical computation</w:t>
      </w:r>
      <w:r>
        <w:t xml:space="preserve"> </w:t>
      </w:r>
      <w:r>
        <w:t xml:space="preserve">(</w:t>
      </w:r>
      <w:hyperlink w:anchor="ref-gonzalezalonso2020">
        <w:r>
          <w:rPr>
            <w:rStyle w:val="Hyperlink"/>
          </w:rPr>
          <w:t xml:space="preserve">González Alonso et al., 2020</w:t>
        </w:r>
      </w:hyperlink>
      <w:r>
        <w:t xml:space="preserve">)</w:t>
      </w:r>
      <w:r>
        <w:t xml:space="preserve">. We therefore separate sensitivity to</w:t>
      </w:r>
      <w:r>
        <w:t xml:space="preserve"> </w:t>
      </w:r>
      <w:r>
        <w:t xml:space="preserve">grammaticality from the criterion applied in the judgement, using signal detection theory</w:t>
      </w:r>
      <w:r>
        <w:t xml:space="preserve"> </w:t>
      </w:r>
      <w:r>
        <w:t xml:space="preserve">(</w:t>
      </w:r>
      <w:hyperlink w:anchor="ref-huang2020">
        <w:r>
          <w:rPr>
            <w:rStyle w:val="Hyperlink"/>
          </w:rPr>
          <w:t xml:space="preserve">Huang &amp; Ferreira, 2020</w:t>
        </w:r>
      </w:hyperlink>
      <w:r>
        <w:t xml:space="preserve">;</w:t>
      </w:r>
      <w:r>
        <w:t xml:space="preserve"> </w:t>
      </w:r>
      <w:hyperlink w:anchor="ref-macmillan2005">
        <w:r>
          <w:rPr>
            <w:rStyle w:val="Hyperlink"/>
          </w:rPr>
          <w:t xml:space="preserve">Macmillan &amp; Creelman, 2005</w:t>
        </w:r>
      </w:hyperlink>
      <w:r>
        <w:t xml:space="preserve">)</w:t>
      </w:r>
      <w:r>
        <w:t xml:space="preserve">, and read a group difference in sensitivity as the stronger</w:t>
      </w:r>
      <w:r>
        <w:t xml:space="preserve"> </w:t>
      </w:r>
      <w:r>
        <w:t xml:space="preserve">evidence about grammatical knowledge in this design. The development of sensitivity across</w:t>
      </w:r>
      <w:r>
        <w:t xml:space="preserve"> </w:t>
      </w:r>
      <w:r>
        <w:t xml:space="preserve">sessions, and its change over the retention interval, are characterised for each property.</w:t>
      </w:r>
      <w:r>
        <w:t xml:space="preserve"> </w:t>
      </w:r>
      <w:r>
        <w:t xml:space="preserve">The transfer accounts make no distinct prediction about retention, for which the expectation</w:t>
      </w:r>
      <w:r>
        <w:t xml:space="preserve"> </w:t>
      </w:r>
      <w:r>
        <w:t xml:space="preserve">comes from training studies in which a grammaticality response that emerged during training</w:t>
      </w:r>
      <w:r>
        <w:t xml:space="preserve"> </w:t>
      </w:r>
      <w:r>
        <w:t xml:space="preserve">holds or grows across months without exposure</w:t>
      </w:r>
      <w:r>
        <w:t xml:space="preserve"> </w:t>
      </w:r>
      <w:r>
        <w:t xml:space="preserve">(</w:t>
      </w:r>
      <w:hyperlink w:anchor="ref-morganshort2012plos">
        <w:r>
          <w:rPr>
            <w:rStyle w:val="Hyperlink"/>
          </w:rPr>
          <w:t xml:space="preserve">Morgan-Short, Finger, et al., 2012</w:t>
        </w:r>
      </w:hyperlink>
      <w:r>
        <w:t xml:space="preserve">)</w:t>
      </w:r>
      <w:r>
        <w:t xml:space="preserve">. Because the first</w:t>
      </w:r>
      <w:r>
        <w:t xml:space="preserve"> </w:t>
      </w:r>
      <w:r>
        <w:t xml:space="preserve">measurement follows training, no observation here captures an initial state free of learning</w:t>
      </w:r>
      <w:r>
        <w:t xml:space="preserve"> </w:t>
      </w:r>
      <w:r>
        <w:t xml:space="preserve">(</w:t>
      </w:r>
      <w:hyperlink w:anchor="ref-gonzalezalonso2025">
        <w:r>
          <w:rPr>
            <w:rStyle w:val="Hyperlink"/>
          </w:rPr>
          <w:t xml:space="preserve">González Alonso et al., 2025</w:t>
        </w:r>
      </w:hyperlink>
      <w:r>
        <w:t xml:space="preserve">;</w:t>
      </w:r>
      <w:r>
        <w:t xml:space="preserve"> </w:t>
      </w:r>
      <w:hyperlink w:anchor="ref-gonzalezalonso2017">
        <w:r>
          <w:rPr>
            <w:rStyle w:val="Hyperlink"/>
          </w:rPr>
          <w:t xml:space="preserve">González Alonso &amp; Rothman, 2017</w:t>
        </w:r>
      </w:hyperlink>
      <w:r>
        <w:t xml:space="preserve">)</w:t>
      </w:r>
      <w:r>
        <w:t xml:space="preserve">.</w:t>
      </w:r>
    </w:p>
    <w:p>
      <w:pPr>
        <w:pStyle w:val="BodyText"/>
      </w:pPr>
      <w:r>
        <w:t xml:space="preserve">Alongside the region-averaged models, we ask whether grammaticality is decodable from the</w:t>
      </w:r>
      <w:r>
        <w:t xml:space="preserve"> </w:t>
      </w:r>
      <w:r>
        <w:t xml:space="preserve">whole-scalp voltage pattern at each moment. A multivariate decoder can detect a</w:t>
      </w:r>
      <w:r>
        <w:t xml:space="preserve"> </w:t>
      </w:r>
      <w:r>
        <w:t xml:space="preserve">distributed violation response too weak to move any single region’s mean. Its</w:t>
      </w:r>
      <w:r>
        <w:t xml:space="preserve"> </w:t>
      </w:r>
      <w:r>
        <w:t xml:space="preserve">cross-language generalisation asks whether the pattern that separates the conditions in</w:t>
      </w:r>
      <w:r>
        <w:t xml:space="preserve"> </w:t>
      </w:r>
      <w:r>
        <w:t xml:space="preserve">one mini-language also separates them in the other. Its cross-property generalisation</w:t>
      </w:r>
      <w:r>
        <w:t xml:space="preserve"> </w:t>
      </w:r>
      <w:r>
        <w:t xml:space="preserve">tests a further prediction. If the grammaticality response were largely a domain-general</w:t>
      </w:r>
      <w:r>
        <w:t xml:space="preserve"> </w:t>
      </w:r>
      <w:r>
        <w:t xml:space="preserve">salience or integration signal</w:t>
      </w:r>
      <w:r>
        <w:t xml:space="preserve"> </w:t>
      </w:r>
      <w:r>
        <w:t xml:space="preserve">(</w:t>
      </w:r>
      <w:hyperlink w:anchor="ref-aurnhammer2023">
        <w:r>
          <w:rPr>
            <w:rStyle w:val="Hyperlink"/>
          </w:rPr>
          <w:t xml:space="preserve">Aurnhammer et al., 2023</w:t>
        </w:r>
      </w:hyperlink>
      <w:r>
        <w:t xml:space="preserve">;</w:t>
      </w:r>
      <w:r>
        <w:t xml:space="preserve"> </w:t>
      </w:r>
      <w:hyperlink w:anchor="ref-sassenhagen2019">
        <w:r>
          <w:rPr>
            <w:rStyle w:val="Hyperlink"/>
          </w:rPr>
          <w:t xml:space="preserve">Sassenhagen &amp; Fiebach, 2019</w:t>
        </w:r>
      </w:hyperlink>
      <w:r>
        <w:t xml:space="preserve">)</w:t>
      </w:r>
      <w:r>
        <w:t xml:space="preserve">, a decoder trained on</w:t>
      </w:r>
      <w:r>
        <w:t xml:space="preserve"> </w:t>
      </w:r>
      <w:r>
        <w:t xml:space="preserve">one property should transfer to the others. If each property recruits its own code, as</w:t>
      </w:r>
      <w:r>
        <w:t xml:space="preserve"> </w:t>
      </w:r>
      <w:r>
        <w:t xml:space="preserve">the fractionation of the late positivity</w:t>
      </w:r>
      <w:r>
        <w:t xml:space="preserve"> </w:t>
      </w:r>
      <w:r>
        <w:t xml:space="preserve">(</w:t>
      </w:r>
      <w:hyperlink w:anchor="ref-kaan2003">
        <w:r>
          <w:rPr>
            <w:rStyle w:val="Hyperlink"/>
          </w:rPr>
          <w:t xml:space="preserve">Kaan &amp; Swaab, 2003</w:t>
        </w:r>
      </w:hyperlink>
      <w:r>
        <w:t xml:space="preserve">)</w:t>
      </w:r>
      <w:r>
        <w:t xml:space="preserve"> </w:t>
      </w:r>
      <w:r>
        <w:t xml:space="preserve">and the separable developmental</w:t>
      </w:r>
      <w:r>
        <w:t xml:space="preserve"> </w:t>
      </w:r>
      <w:r>
        <w:t xml:space="preserve">courses of agreement features</w:t>
      </w:r>
      <w:r>
        <w:t xml:space="preserve"> </w:t>
      </w:r>
      <w:r>
        <w:t xml:space="preserve">(</w:t>
      </w:r>
      <w:hyperlink w:anchor="ref-alemanbanon2018">
        <w:r>
          <w:rPr>
            <w:rStyle w:val="Hyperlink"/>
          </w:rPr>
          <w:t xml:space="preserve">Alemán Bañón et al., 2018</w:t>
        </w:r>
      </w:hyperlink>
      <w:r>
        <w:t xml:space="preserve">)</w:t>
      </w:r>
      <w:r>
        <w:t xml:space="preserve"> </w:t>
      </w:r>
      <w:r>
        <w:t xml:space="preserve">suggest, it should not. No null</w:t>
      </w:r>
      <w:r>
        <w:t xml:space="preserve"> </w:t>
      </w:r>
      <w:r>
        <w:t xml:space="preserve">distribution was computed for either generalisation analysis, so both are reported as</w:t>
      </w:r>
      <w:r>
        <w:t xml:space="preserve"> </w:t>
      </w:r>
      <w:r>
        <w:t xml:space="preserve">descriptive probes.</w:t>
      </w:r>
    </w:p>
    <w:bookmarkEnd w:id="59"/>
    <w:bookmarkEnd w:id="60"/>
    <w:bookmarkStart w:id="93" w:name="method"/>
    <w:p>
      <w:pPr>
        <w:pStyle w:val="Heading1"/>
      </w:pPr>
      <w:r>
        <w:t xml:space="preserve">Method</w:t>
      </w:r>
    </w:p>
    <w:bookmarkStart w:id="65" w:name="participants"/>
    <w:p>
      <w:pPr>
        <w:pStyle w:val="Heading2"/>
      </w:pPr>
      <w:r>
        <w:t xml:space="preserve">Participants</w:t>
      </w:r>
    </w:p>
    <w:p>
      <w:pPr>
        <w:pStyle w:val="FirstParagraph"/>
      </w:pPr>
      <w:r>
        <w:t xml:space="preserve">In total, 65 Norwegian–English bilinguals (first</w:t>
      </w:r>
      <w:r>
        <w:t xml:space="preserve"> </w:t>
      </w:r>
      <w:r>
        <w:t xml:space="preserve">language Norwegian, second language English) took part, each assigned to learn one</w:t>
      </w:r>
      <w:r>
        <w:t xml:space="preserve"> </w:t>
      </w:r>
      <w:r>
        <w:t xml:space="preserve">of the two miniature languages. At the Norwegian site, odd-numbered participant</w:t>
      </w:r>
      <w:r>
        <w:t xml:space="preserve"> </w:t>
      </w:r>
      <w:r>
        <w:t xml:space="preserve">identifiers were assigned to Mini-English and even-numbered identifiers to</w:t>
      </w:r>
      <w:r>
        <w:t xml:space="preserve"> </w:t>
      </w:r>
      <w:r>
        <w:t xml:space="preserve">Mini-Norwegian, a deterministic allocation and not a random one. That rule gave</w:t>
      </w:r>
      <w:r>
        <w:t xml:space="preserve"> </w:t>
      </w:r>
      <w:r>
        <w:t xml:space="preserve">33 Mini-English and</w:t>
      </w:r>
      <w:r>
        <w:t xml:space="preserve"> </w:t>
      </w:r>
      <w:r>
        <w:t xml:space="preserve">32 Mini-Norwegian learners, so language is a</w:t>
      </w:r>
      <w:r>
        <w:t xml:space="preserve"> </w:t>
      </w:r>
      <w:r>
        <w:t xml:space="preserve">between-participants factor.</w:t>
      </w:r>
      <w:r>
        <w:t xml:space="preserve"> </w:t>
      </w:r>
      <w:r>
        <w:t xml:space="preserve">The six-session protocol comprised an approximately 1.5-hour home baseline (Session 1),</w:t>
      </w:r>
      <w:r>
        <w:t xml:space="preserve"> </w:t>
      </w:r>
      <w:r>
        <w:t xml:space="preserve">laboratory sessions of approximately 2.5 hours (Session 2), 2.5 hours (Session 3), and</w:t>
      </w:r>
      <w:r>
        <w:t xml:space="preserve"> </w:t>
      </w:r>
      <w:r>
        <w:t xml:space="preserve">3 hours (Session 4), a 1-hour home retest (Session 5), and a 2.5-hour laboratory</w:t>
      </w:r>
      <w:r>
        <w:t xml:space="preserve"> </w:t>
      </w:r>
      <w:r>
        <w:t xml:space="preserve">retention session (Session 6). Of the 64 participants</w:t>
      </w:r>
      <w:r>
        <w:t xml:space="preserve"> </w:t>
      </w:r>
      <w:r>
        <w:t xml:space="preserve">with a Language History Questionnaire record</w:t>
      </w:r>
      <w:r>
        <w:t xml:space="preserve"> </w:t>
      </w:r>
      <w:r>
        <w:t xml:space="preserve">(LHQ3:</w:t>
      </w:r>
      <w:r>
        <w:t xml:space="preserve"> </w:t>
      </w:r>
      <w:hyperlink w:anchor="ref-lhq3">
        <w:r>
          <w:rPr>
            <w:rStyle w:val="Hyperlink"/>
          </w:rPr>
          <w:t xml:space="preserve">Li et al., 2020</w:t>
        </w:r>
      </w:hyperlink>
      <w:r>
        <w:t xml:space="preserve">)</w:t>
      </w:r>
      <w:r>
        <w:t xml:space="preserve">, the mean age was</w:t>
      </w:r>
      <w:r>
        <w:t xml:space="preserve"> </w:t>
      </w:r>
      <w:r>
        <w:t xml:space="preserve">25.7 years (</w:t>
      </w:r>
      <m:oMath>
        <m:r>
          <m:t>S</m:t>
        </m:r>
        <m:r>
          <m:t>D</m:t>
        </m:r>
        <m:r>
          <m:rPr>
            <m:sty m:val="p"/>
          </m:rPr>
          <m:t>=</m:t>
        </m:r>
        <m:r>
          <m:t>7.4</m:t>
        </m:r>
      </m:oMath>
      <w:r>
        <w:t xml:space="preserve">, range</w:t>
      </w:r>
      <w:r>
        <w:t xml:space="preserve"> </w:t>
      </w:r>
      <w:r>
        <w:t xml:space="preserve">16–54). The youngest participant was under 18 at the time of the questionnaire. All others were adults.</w:t>
      </w:r>
      <w:r>
        <w:t xml:space="preserve"> </w:t>
      </w:r>
      <w:r>
        <w:t xml:space="preserve">Of the same record, 40 identified as female,</w:t>
      </w:r>
      <w:r>
        <w:t xml:space="preserve"> </w:t>
      </w:r>
      <w:r>
        <w:t xml:space="preserve">21 as male and 1</w:t>
      </w:r>
      <w:r>
        <w:t xml:space="preserve"> </w:t>
      </w:r>
      <w:r>
        <w:t xml:space="preserve">as non-binary (2 did not disclose). Among the</w:t>
      </w:r>
      <w:r>
        <w:t xml:space="preserve"> </w:t>
      </w:r>
      <w:r>
        <w:t xml:space="preserve">63 who reported handedness,</w:t>
      </w:r>
      <w:r>
        <w:t xml:space="preserve"> </w:t>
      </w:r>
      <w:r>
        <w:t xml:space="preserve">60 were right-handed and</w:t>
      </w:r>
      <w:r>
        <w:t xml:space="preserve"> </w:t>
      </w:r>
      <w:r>
        <w:t xml:space="preserve">3 left-handed. English had been</w:t>
      </w:r>
      <w:r>
        <w:t xml:space="preserve"> </w:t>
      </w:r>
      <w:r>
        <w:t xml:space="preserve">acquired early (age of first exposure</w:t>
      </w:r>
      <w:r>
        <w:t xml:space="preserve"> </w:t>
      </w:r>
      <m:oMath>
        <m:r>
          <m:t>M</m:t>
        </m:r>
        <m:r>
          <m:rPr>
            <m:sty m:val="p"/>
          </m:rPr>
          <m:t>=</m:t>
        </m:r>
        <m:r>
          <m:t>6.9</m:t>
        </m:r>
      </m:oMath>
      <w:r>
        <w:t xml:space="preserve"> </w:t>
      </w:r>
      <w:r>
        <w:t xml:space="preserve">years,</w:t>
      </w:r>
      <w:r>
        <w:t xml:space="preserve"> </w:t>
      </w:r>
      <m:oMath>
        <m:r>
          <m:t>S</m:t>
        </m:r>
        <m:r>
          <m:t>D</m:t>
        </m:r>
        <m:r>
          <m:rPr>
            <m:sty m:val="p"/>
          </m:rPr>
          <m:t>=</m:t>
        </m:r>
        <m:r>
          <m:t>3.9</m:t>
        </m:r>
      </m:oMath>
      <w:r>
        <w:t xml:space="preserve">) and used for many years</w:t>
      </w:r>
      <w:r>
        <w:t xml:space="preserve"> </w:t>
      </w:r>
      <w:r>
        <w:t xml:space="preserve">(</w:t>
      </w:r>
      <m:oMath>
        <m:r>
          <m:t>M</m:t>
        </m:r>
        <m:r>
          <m:rPr>
            <m:sty m:val="p"/>
          </m:rPr>
          <m:t>=</m:t>
        </m:r>
        <m:r>
          <m:t>18.5</m:t>
        </m:r>
      </m:oMath>
      <w:r>
        <w:t xml:space="preserve">,</w:t>
      </w:r>
      <w:r>
        <w:t xml:space="preserve"> </w:t>
      </w:r>
      <m:oMath>
        <m:r>
          <m:t>S</m:t>
        </m:r>
        <m:r>
          <m:t>D</m:t>
        </m:r>
        <m:r>
          <m:rPr>
            <m:sty m:val="p"/>
          </m:rPr>
          <m:t>=</m:t>
        </m:r>
        <m:r>
          <m:t>7.2</m:t>
        </m:r>
      </m:oMath>
      <w:r>
        <w:t xml:space="preserve">), with high</w:t>
      </w:r>
      <w:r>
        <w:t xml:space="preserve"> </w:t>
      </w:r>
      <w:r>
        <w:t xml:space="preserve">self-rated proficiency (</w:t>
      </w:r>
      <m:oMath>
        <m:r>
          <m:t>M</m:t>
        </m:r>
        <m:r>
          <m:rPr>
            <m:sty m:val="p"/>
          </m:rPr>
          <m:t>=</m:t>
        </m:r>
        <m:r>
          <m:t>0.82</m:t>
        </m:r>
      </m:oMath>
      <w:r>
        <w:t xml:space="preserve"> </w:t>
      </w:r>
      <w:r>
        <w:t xml:space="preserve">of 1,</w:t>
      </w:r>
      <w:r>
        <w:t xml:space="preserve"> </w:t>
      </w:r>
      <m:oMath>
        <m:r>
          <m:t>S</m:t>
        </m:r>
        <m:r>
          <m:t>D</m:t>
        </m:r>
        <m:r>
          <m:rPr>
            <m:sty m:val="p"/>
          </m:rPr>
          <m:t>=</m:t>
        </m:r>
        <m:r>
          <m:t>0.16</m:t>
        </m:r>
      </m:oMath>
      <w:r>
        <w:t xml:space="preserve">). 48 of the 64 also reported knowledge of at least one further language, most often German or Spanish. Several of the languages named mark grammatical gender or case, and the design did not screen them out (see Limitations).</w:t>
      </w:r>
    </w:p>
    <w:p>
      <w:pPr>
        <w:pStyle w:val="BodyText"/>
      </w:pPr>
      <w:r>
        <w:t xml:space="preserve">Attrition increased across the training: of the 65 who began,</w:t>
      </w:r>
      <w:r>
        <w:t xml:space="preserve"> </w:t>
      </w:r>
      <w:r>
        <w:t xml:space="preserve">57 remained at Session 3, 56 at</w:t>
      </w:r>
      <w:r>
        <w:t xml:space="preserve"> </w:t>
      </w:r>
      <w:r>
        <w:t xml:space="preserve">Session 4, and 36 completed the Session 6 retention test.</w:t>
      </w:r>
      <w:r>
        <w:t xml:space="preserve"> </w:t>
      </w:r>
      <w:r>
        <w:t xml:space="preserve">One participant assigned to Mini-Norwegian is excluded from every analysis, although they</w:t>
      </w:r>
      <w:r>
        <w:t xml:space="preserve"> </w:t>
      </w:r>
      <w:r>
        <w:t xml:space="preserve">are counted among those enrolled and attending. At Session 2, the laboratory computer ran</w:t>
      </w:r>
      <w:r>
        <w:t xml:space="preserve"> </w:t>
      </w:r>
      <w:r>
        <w:t xml:space="preserve">the other study site’s experiment file, which assigned that participant’s identifier to</w:t>
      </w:r>
      <w:r>
        <w:t xml:space="preserve"> </w:t>
      </w:r>
      <w:r>
        <w:t xml:space="preserve">Mini-English, so they were trained and tested in Mini-English at that session and in</w:t>
      </w:r>
      <w:r>
        <w:t xml:space="preserve"> </w:t>
      </w:r>
      <w:r>
        <w:t xml:space="preserve">Mini-Norwegian from Session 3 onwards. The presentation log and the EEG trigger record agree</w:t>
      </w:r>
      <w:r>
        <w:t xml:space="preserve"> </w:t>
      </w:r>
      <w:r>
        <w:t xml:space="preserve">on what was shown, so the error lies in what was presented, not in how it was recorded.</w:t>
      </w:r>
      <w:r>
        <w:t xml:space="preserve"> </w:t>
      </w:r>
      <w:r>
        <w:t xml:space="preserve">Because the lexicon and the first property are trained at Session 2, this participant’s</w:t>
      </w:r>
      <w:r>
        <w:t xml:space="preserve"> </w:t>
      </w:r>
      <w:r>
        <w:t xml:space="preserve">trajectory belongs to neither group. The exclusion rests on that design argument and not on</w:t>
      </w:r>
      <w:r>
        <w:t xml:space="preserve"> </w:t>
      </w:r>
      <w:r>
        <w:t xml:space="preserve">this participant’s results, which were not examined separately.</w:t>
      </w:r>
      <w:r>
        <w:t xml:space="preserve"> </w:t>
      </w:r>
      <w:r>
        <w:t xml:space="preserve">The ERP analyses draw on the 62 participants with usable</w:t>
      </w:r>
      <w:r>
        <w:t xml:space="preserve"> </w:t>
      </w:r>
      <w:r>
        <w:t xml:space="preserve">single-trial EEG (33 Mini-English,</w:t>
      </w:r>
      <w:r>
        <w:t xml:space="preserve"> </w:t>
      </w:r>
      <w:r>
        <w:t xml:space="preserve">29 Mini-Norwegian). The fitted ERP models</w:t>
      </w:r>
      <w:r>
        <w:t xml:space="preserve"> </w:t>
      </w:r>
      <w:r>
        <w:t xml:space="preserve">also require the L1-dominance covariate described under</w:t>
      </w:r>
      <w:r>
        <w:t xml:space="preserve"> </w:t>
      </w:r>
      <w:r>
        <w:rPr>
          <w:i/>
          <w:iCs/>
        </w:rPr>
        <w:t xml:space="preserve">Data analysis</w:t>
      </w:r>
      <w:r>
        <w:t xml:space="preserve">, and the trials</w:t>
      </w:r>
      <w:r>
        <w:t xml:space="preserve"> </w:t>
      </w:r>
      <w:r>
        <w:t xml:space="preserve">of a participant without that score are dropped by listwise deletion, so the</w:t>
      </w:r>
      <w:r>
        <w:t xml:space="preserve"> </w:t>
      </w:r>
      <w:r>
        <w:t xml:space="preserve">gender-agreement models were fitted to 62</w:t>
      </w:r>
      <w:r>
        <w:t xml:space="preserve"> </w:t>
      </w:r>
      <w:r>
        <w:t xml:space="preserve">participants, the differential-object-marking models to</w:t>
      </w:r>
      <w:r>
        <w:t xml:space="preserve"> </w:t>
      </w:r>
      <w:r>
        <w:t xml:space="preserve">56 and the verb–object number-agreement</w:t>
      </w:r>
      <w:r>
        <w:t xml:space="preserve"> </w:t>
      </w:r>
      <w:r>
        <w:t xml:space="preserve">models to 55. The</w:t>
      </w:r>
      <w:r>
        <w:t xml:space="preserve"> </w:t>
      </w:r>
      <w:r>
        <w:t xml:space="preserve">grammaticality-judgement analyses draw on 63 participants</w:t>
      </w:r>
      <w:r>
        <w:t xml:space="preserve"> </w:t>
      </w:r>
      <w:r>
        <w:t xml:space="preserve">(</w:t>
      </w:r>
      <w:hyperlink w:anchor="fig-flow">
        <w:r>
          <w:rPr>
            <w:rStyle w:val="Hyperlink"/>
          </w:rPr>
          <w:t xml:space="preserve">Figure 3</w:t>
        </w:r>
      </w:hyperlink>
      <w:r>
        <w:t xml:space="preserve">).</w:t>
      </w:r>
    </w:p>
    <w:p>
      <w:pPr>
        <w:pStyle w:val="BodyText"/>
      </w:pPr>
      <w:r>
        <w:t xml:space="preserve">The project was registered with the Norwegian Agency for Shared Services in</w:t>
      </w:r>
      <w:r>
        <w:t xml:space="preserve"> </w:t>
      </w:r>
      <w:r>
        <w:t xml:space="preserve">Education and Research (Sikt; project 2559611).</w:t>
      </w:r>
      <w:r>
        <w:t xml:space="preserve"> </w:t>
      </w:r>
      <w:r>
        <w:rPr>
          <w:i/>
          <w:iCs/>
        </w:rPr>
        <w:t xml:space="preserve">[The approving ethics committee, approval date and reference number are to be supplied.]</w:t>
      </w:r>
      <w:r>
        <w:t xml:space="preserve"> </w:t>
      </w:r>
      <w:r>
        <w:t xml:space="preserve">All procedures complied</w:t>
      </w:r>
      <w:r>
        <w:t xml:space="preserve"> </w:t>
      </w:r>
      <w:r>
        <w:t xml:space="preserve">with the relevant laws and institutional guidelines, the privacy rights of the participants</w:t>
      </w:r>
      <w:r>
        <w:t xml:space="preserve"> </w:t>
      </w:r>
      <w:r>
        <w:t xml:space="preserve">were observed, and every participant gave written informed consent. The 16-year-old</w:t>
      </w:r>
      <w:r>
        <w:t xml:space="preserve"> </w:t>
      </w:r>
      <w:r>
        <w:t xml:space="preserve">participant was covered by the study’s self-consent procedure. Participants were</w:t>
      </w:r>
      <w:r>
        <w:t xml:space="preserve"> </w:t>
      </w:r>
      <w:r>
        <w:t xml:space="preserve">compensated with shopping vouchers worth NOK 250 per hour of participation, pro rata,</w:t>
      </w:r>
      <w:r>
        <w:t xml:space="preserve"> </w:t>
      </w:r>
      <w:r>
        <w:t xml:space="preserve">and received an additional NOK 400 completion bonus after the sixth and final session.</w:t>
      </w:r>
    </w:p>
    <w:bookmarkStart w:id="64" w:name="fig-flow"/>
    <w:p>
      <w:pPr>
        <w:pStyle w:val="FigureTitle"/>
      </w:pPr>
      <w:r>
        <w:t xml:space="preserve">Figure 3</w:t>
      </w:r>
    </w:p>
    <w:p>
      <w:pPr>
        <w:pStyle w:val="Caption"/>
      </w:pPr>
      <w:r>
        <w:t xml:space="preserve">Participant Flow</w:t>
      </w:r>
    </w:p>
    <w:p>
      <w:pPr>
        <w:pStyle w:val="FigureWithNote"/>
      </w:pPr>
      <w:r>
        <w:drawing>
          <wp:inline>
            <wp:extent cx="5943600" cy="3041903"/>
            <wp:effectExtent b="0" l="0" r="0" t="0"/>
            <wp:docPr descr="" title="" id="62" name="Picture"/>
            <a:graphic>
              <a:graphicData uri="http://schemas.openxmlformats.org/drawingml/2006/picture">
                <pic:pic>
                  <pic:nvPicPr>
                    <pic:cNvPr descr="paper_1_morphosyntax_files/figure-docx/fig-flow-1.png" id="63" name="Picture"/>
                    <pic:cNvPicPr>
                      <a:picLocks noChangeArrowheads="1" noChangeAspect="1"/>
                    </pic:cNvPicPr>
                  </pic:nvPicPr>
                  <pic:blipFill>
                    <a:blip r:embed="rId61"/>
                    <a:stretch>
                      <a:fillRect/>
                    </a:stretch>
                  </pic:blipFill>
                  <pic:spPr bwMode="auto">
                    <a:xfrm>
                      <a:off x="0" y="0"/>
                      <a:ext cx="5943600" cy="3041903"/>
                    </a:xfrm>
                    <a:prstGeom prst="rect">
                      <a:avLst/>
                    </a:prstGeom>
                    <a:noFill/>
                    <a:ln w="9525">
                      <a:noFill/>
                      <a:headEnd/>
                      <a:tailEnd/>
                    </a:ln>
                  </pic:spPr>
                </pic:pic>
              </a:graphicData>
            </a:graphic>
          </wp:inline>
        </w:drawing>
      </w:r>
    </w:p>
    <w:bookmarkEnd w:id="64"/>
    <w:p>
      <w:pPr>
        <w:pStyle w:val="FigureNote"/>
      </w:pPr>
      <w:r>
        <w:rPr>
          <w:i/>
          <w:iCs/>
        </w:rPr>
        <w:t xml:space="preserve">Note</w:t>
      </w:r>
      <w:r>
        <w:t xml:space="preserve">. Counts are participants. Each attendance line gives the number who attended that session and, in parentheses when any were absent, the number of the group’s enrolled participants who did not. Sessions 1 and 5 were online cognitive sessions belonging to the companion paper and are omitted. The analysis samples pool data across sessions, so they are not subsets of any single session’s attendance and exceed the Session 6 count. The box joined to a group’s analysis samples counts that group’s enrolled participants missing from each sample, who lacked usable data for that measure or were excluded by design (see Participants). ERP = event-related potential.</w:t>
      </w:r>
    </w:p>
    <w:bookmarkEnd w:id="65"/>
    <w:bookmarkStart w:id="66" w:name="design-and-materials"/>
    <w:p>
      <w:pPr>
        <w:pStyle w:val="Heading2"/>
      </w:pPr>
      <w:r>
        <w:t xml:space="preserve">Design and materials</w:t>
      </w:r>
    </w:p>
    <w:p>
      <w:pPr>
        <w:pStyle w:val="FirstParagraph"/>
      </w:pPr>
      <w:r>
        <w:t xml:space="preserve">The longitudinal artificial-language paradigm and the participants are those of the</w:t>
      </w:r>
      <w:r>
        <w:t xml:space="preserve"> </w:t>
      </w:r>
      <w:r>
        <w:t xml:space="preserve">project reported by</w:t>
      </w:r>
      <w:r>
        <w:t xml:space="preserve"> </w:t>
      </w:r>
      <w:r>
        <w:t xml:space="preserve">González Alonso et al. (</w:t>
      </w:r>
      <w:hyperlink w:anchor="ref-gonzalezalonso2025">
        <w:r>
          <w:rPr>
            <w:rStyle w:val="Hyperlink"/>
          </w:rPr>
          <w:t xml:space="preserve">2025</w:t>
        </w:r>
      </w:hyperlink>
      <w:r>
        <w:t xml:space="preserve">)</w:t>
      </w:r>
      <w:r>
        <w:t xml:space="preserve">, restricted to its Norwegian site, so that</w:t>
      </w:r>
      <w:r>
        <w:t xml:space="preserve"> </w:t>
      </w:r>
      <w:r>
        <w:t xml:space="preserve">project’s Spanish site is not included here. Within each language, the design crosses</w:t>
      </w:r>
      <w:r>
        <w:t xml:space="preserve"> </w:t>
      </w:r>
      <w:r>
        <w:t xml:space="preserve">grammaticality (contrast coded</w:t>
      </w:r>
      <w:r>
        <w:t xml:space="preserve"> </w:t>
      </w:r>
      <w:r>
        <w:t xml:space="preserve">grammatical</w:t>
      </w:r>
      <w:r>
        <w:t xml:space="preserve"> </w:t>
      </w:r>
      <m:oMath>
        <m:r>
          <m:rPr>
            <m:sty m:val="p"/>
          </m:rPr>
          <m:t>=</m:t>
        </m:r>
        <m:r>
          <m:rPr>
            <m:sty m:val="p"/>
          </m:rPr>
          <m:t>+</m:t>
        </m:r>
        <m:r>
          <m:t>0.5</m:t>
        </m:r>
      </m:oMath>
      <w:r>
        <w:t xml:space="preserve">, ungrammatical</w:t>
      </w:r>
      <w:r>
        <w:t xml:space="preserve"> </w:t>
      </w:r>
      <m:oMath>
        <m:r>
          <m:rPr>
            <m:sty m:val="p"/>
          </m:rPr>
          <m:t>=</m:t>
        </m:r>
        <m:r>
          <m:rPr>
            <m:sty m:val="p"/>
          </m:rPr>
          <m:t>−</m:t>
        </m:r>
        <m:r>
          <m:t>0.5</m:t>
        </m:r>
      </m:oMath>
      <w:r>
        <w:t xml:space="preserve">) with session (the cumulative exposure</w:t>
      </w:r>
      <w:r>
        <w:t xml:space="preserve"> </w:t>
      </w:r>
      <w:r>
        <w:t xml:space="preserve">schedule above) within participants, and language between participants</w:t>
      </w:r>
      <w:r>
        <w:t xml:space="preserve"> </w:t>
      </w:r>
      <w:r>
        <w:t xml:space="preserve">(Mini-Norwegian</w:t>
      </w:r>
      <w:r>
        <w:t xml:space="preserve"> </w:t>
      </w:r>
      <m:oMath>
        <m:r>
          <m:rPr>
            <m:sty m:val="p"/>
          </m:rPr>
          <m:t>=</m:t>
        </m:r>
        <m:r>
          <m:rPr>
            <m:sty m:val="p"/>
          </m:rPr>
          <m:t>+</m:t>
        </m:r>
        <m:r>
          <m:t>0.5</m:t>
        </m:r>
      </m:oMath>
      <w:r>
        <w:t xml:space="preserve">, Mini-English</w:t>
      </w:r>
      <w:r>
        <w:t xml:space="preserve"> </w:t>
      </w:r>
      <m:oMath>
        <m:r>
          <m:rPr>
            <m:sty m:val="p"/>
          </m:rPr>
          <m:t>=</m:t>
        </m:r>
        <m:r>
          <m:rPr>
            <m:sty m:val="p"/>
          </m:rPr>
          <m:t>−</m:t>
        </m:r>
        <m:r>
          <m:t>0.5</m:t>
        </m:r>
      </m:oMath>
      <w:r>
        <w:t xml:space="preserve">), so a positive language-bearing</w:t>
      </w:r>
      <w:r>
        <w:t xml:space="preserve"> </w:t>
      </w:r>
      <w:r>
        <w:t xml:space="preserve">coefficient indicates a larger value for the Mini-Norwegian group. The three</w:t>
      </w:r>
      <w:r>
        <w:t xml:space="preserve"> </w:t>
      </w:r>
      <w:r>
        <w:t xml:space="preserve">properties were analysed separately. Each was probed with 48 grammatical and 48</w:t>
      </w:r>
      <w:r>
        <w:t xml:space="preserve"> </w:t>
      </w:r>
      <w:r>
        <w:t xml:space="preserve">ungrammatical sentences per session, built from a closed lexicon of twelve nouns, twelve</w:t>
      </w:r>
      <w:r>
        <w:t xml:space="preserve"> </w:t>
      </w:r>
      <w:r>
        <w:t xml:space="preserve">adjectives, twelve transitive verbs and twelve proper names per language. A third,</w:t>
      </w:r>
      <w:r>
        <w:t xml:space="preserve"> </w:t>
      </w:r>
      <w:r>
        <w:t xml:space="preserve">ancillary violation type was recorded but is not analysed here. Each sentence frame was</w:t>
      </w:r>
      <w:r>
        <w:t xml:space="preserve"> </w:t>
      </w:r>
      <w:r>
        <w:t xml:space="preserve">presented in both a grammatical and an ungrammatical version. The two miniature</w:t>
      </w:r>
      <w:r>
        <w:t xml:space="preserve"> </w:t>
      </w:r>
      <w:r>
        <w:t xml:space="preserve">languages draw on separate content lexicons, Mini-English building its nouns,</w:t>
      </w:r>
      <w:r>
        <w:t xml:space="preserve"> </w:t>
      </w:r>
      <w:r>
        <w:t xml:space="preserve">adjectives, verbs and names on English stems and Mini-Norwegian on</w:t>
      </w:r>
      <w:r>
        <w:t xml:space="preserve"> </w:t>
      </w:r>
      <w:r>
        <w:t xml:space="preserve">Norwegian stems. The critical word</w:t>
      </w:r>
      <w:r>
        <w:t xml:space="preserve"> </w:t>
      </w:r>
      <w:r>
        <w:t xml:space="preserve">carried the EEG trigger that defined the single-trial time-lock.</w:t>
      </w:r>
    </w:p>
    <w:p>
      <w:pPr>
        <w:pStyle w:val="BodyText"/>
      </w:pPr>
      <w:r>
        <w:t xml:space="preserve">The two miniature languages share the same invented grammatical morphemes (the</w:t>
      </w:r>
      <w:r>
        <w:t xml:space="preserve"> </w:t>
      </w:r>
      <w:r>
        <w:t xml:space="preserve">determiners</w:t>
      </w:r>
      <w:r>
        <w:t xml:space="preserve"> </w:t>
      </w:r>
      <w:r>
        <w:rPr>
          <w:i/>
          <w:iCs/>
        </w:rPr>
        <w:t xml:space="preserve">je</w:t>
      </w:r>
      <w:r>
        <w:t xml:space="preserve">/</w:t>
      </w:r>
      <w:r>
        <w:rPr>
          <w:i/>
          <w:iCs/>
        </w:rPr>
        <w:t xml:space="preserve">ze</w:t>
      </w:r>
      <w:r>
        <w:t xml:space="preserve">/</w:t>
      </w:r>
      <w:r>
        <w:rPr>
          <w:i/>
          <w:iCs/>
        </w:rPr>
        <w:t xml:space="preserve">jer</w:t>
      </w:r>
      <w:r>
        <w:t xml:space="preserve">/</w:t>
      </w:r>
      <w:r>
        <w:rPr>
          <w:i/>
          <w:iCs/>
        </w:rPr>
        <w:t xml:space="preserve">zer</w:t>
      </w:r>
      <w:r>
        <w:t xml:space="preserve">, the object marker</w:t>
      </w:r>
      <w:r>
        <w:t xml:space="preserve"> </w:t>
      </w:r>
      <w:r>
        <w:rPr>
          <w:i/>
          <w:iCs/>
        </w:rPr>
        <w:t xml:space="preserve">fi</w:t>
      </w:r>
      <w:r>
        <w:t xml:space="preserve">, the verbal suffix</w:t>
      </w:r>
      <w:r>
        <w:t xml:space="preserve"> </w:t>
      </w:r>
      <w:r>
        <w:rPr>
          <w:i/>
          <w:iCs/>
        </w:rPr>
        <w:t xml:space="preserve">-evo</w:t>
      </w:r>
      <w:r>
        <w:t xml:space="preserve"> </w:t>
      </w:r>
      <w:r>
        <w:t xml:space="preserve">and the adjectival agreement suffixes). They differ in one structural dimension,</w:t>
      </w:r>
      <w:r>
        <w:t xml:space="preserve"> </w:t>
      </w:r>
      <w:r>
        <w:t xml:space="preserve">determiner position, and that difference is the pivot of the transfer contrast.</w:t>
      </w:r>
      <w:r>
        <w:t xml:space="preserve"> </w:t>
      </w:r>
      <w:r>
        <w:t xml:space="preserve">Subject–verb gender agreement is built on a two-way common/neuter distinction, as</w:t>
      </w:r>
      <w:r>
        <w:t xml:space="preserve"> </w:t>
      </w:r>
      <w:r>
        <w:t xml:space="preserve">in real Norwegian. Each noun carries the gender of its Norwegian translation equivalent,</w:t>
      </w:r>
      <w:r>
        <w:t xml:space="preserve"> </w:t>
      </w:r>
      <w:r>
        <w:t xml:space="preserve">and the same noun carries the same gender in both miniature languages, so gender assignment</w:t>
      </w:r>
      <w:r>
        <w:t xml:space="preserve"> </w:t>
      </w:r>
      <w:r>
        <w:t xml:space="preserve">never conflicts with Norwegian and the two languages differ in where gender is marked and</w:t>
      </w:r>
      <w:r>
        <w:t xml:space="preserve"> </w:t>
      </w:r>
      <w:r>
        <w:t xml:space="preserve">not in which gender a noun takes. In Mini-English, the determiner is a free prenominal word that</w:t>
      </w:r>
      <w:r>
        <w:t xml:space="preserve"> </w:t>
      </w:r>
      <w:r>
        <w:t xml:space="preserve">marks gender and number (</w:t>
      </w:r>
      <w:r>
        <w:rPr>
          <w:i/>
          <w:iCs/>
        </w:rPr>
        <w:t xml:space="preserve">je</w:t>
      </w:r>
      <w:r>
        <w:t xml:space="preserve">/</w:t>
      </w:r>
      <w:r>
        <w:rPr>
          <w:i/>
          <w:iCs/>
        </w:rPr>
        <w:t xml:space="preserve">ze</w:t>
      </w:r>
      <w:r>
        <w:t xml:space="preserve"> </w:t>
      </w:r>
      <w:r>
        <w:t xml:space="preserve">for common/neuter singular,</w:t>
      </w:r>
      <w:r>
        <w:t xml:space="preserve"> </w:t>
      </w:r>
      <w:r>
        <w:rPr>
          <w:i/>
          <w:iCs/>
        </w:rPr>
        <w:t xml:space="preserve">jer</w:t>
      </w:r>
      <w:r>
        <w:t xml:space="preserve">/</w:t>
      </w:r>
      <w:r>
        <w:rPr>
          <w:i/>
          <w:iCs/>
        </w:rPr>
        <w:t xml:space="preserve">zer</w:t>
      </w:r>
      <w:r>
        <w:t xml:space="preserve"> </w:t>
      </w:r>
      <w:r>
        <w:t xml:space="preserve">for</w:t>
      </w:r>
      <w:r>
        <w:t xml:space="preserve"> </w:t>
      </w:r>
      <w:r>
        <w:t xml:space="preserve">the plural), as English articles are free-standing. In Mini-Norwegian, the same</w:t>
      </w:r>
      <w:r>
        <w:t xml:space="preserve"> </w:t>
      </w:r>
      <w:r>
        <w:t xml:space="preserve">gender–number determiner is a bound suffix on the noun (e.g. </w:t>
      </w:r>
      <w:r>
        <w:rPr>
          <w:i/>
          <w:iCs/>
        </w:rPr>
        <w:t xml:space="preserve">gateje</w:t>
      </w:r>
      <w:r>
        <w:t xml:space="preserve">/</w:t>
      </w:r>
      <w:r>
        <w:rPr>
          <w:i/>
          <w:iCs/>
        </w:rPr>
        <w:t xml:space="preserve">gatejer</w:t>
      </w:r>
      <w:r>
        <w:t xml:space="preserve">),</w:t>
      </w:r>
      <w:r>
        <w:t xml:space="preserve"> </w:t>
      </w:r>
      <w:r>
        <w:t xml:space="preserve">as the Norwegian definite article is suffixal. In both languages, the predicate</w:t>
      </w:r>
      <w:r>
        <w:t xml:space="preserve"> </w:t>
      </w:r>
      <w:r>
        <w:t xml:space="preserve">adjective carries a matching agreement suffix, on which the gender-agreement</w:t>
      </w:r>
      <w:r>
        <w:t xml:space="preserve"> </w:t>
      </w:r>
      <w:r>
        <w:t xml:space="preserve">violation is realised. Differential object marking is a free particle</w:t>
      </w:r>
      <w:r>
        <w:t xml:space="preserve"> </w:t>
      </w:r>
      <w:r>
        <w:rPr>
          <w:i/>
          <w:iCs/>
        </w:rPr>
        <w:t xml:space="preserve">fi</w:t>
      </w:r>
      <w:r>
        <w:t xml:space="preserve"> </w:t>
      </w:r>
      <w:r>
        <w:t xml:space="preserve">placed</w:t>
      </w:r>
      <w:r>
        <w:t xml:space="preserve"> </w:t>
      </w:r>
      <w:r>
        <w:t xml:space="preserve">before the object noun phrase, identical in the two languages, with the violation</w:t>
      </w:r>
      <w:r>
        <w:t xml:space="preserve"> </w:t>
      </w:r>
      <w:r>
        <w:t xml:space="preserve">omitting it. Verb–object number agreement is a verbal suffix</w:t>
      </w:r>
      <w:r>
        <w:t xml:space="preserve"> </w:t>
      </w:r>
      <w:r>
        <w:rPr>
          <w:i/>
          <w:iCs/>
        </w:rPr>
        <w:t xml:space="preserve">-evo</w:t>
      </w:r>
      <w:r>
        <w:t xml:space="preserve"> </w:t>
      </w:r>
      <w:r>
        <w:t xml:space="preserve">that marks the</w:t>
      </w:r>
      <w:r>
        <w:t xml:space="preserve"> </w:t>
      </w:r>
      <w:r>
        <w:t xml:space="preserve">verb to agree with a plural object, again identical across languages, with the</w:t>
      </w:r>
      <w:r>
        <w:t xml:space="preserve"> </w:t>
      </w:r>
      <w:r>
        <w:t xml:space="preserve">violation a number mismatch between verb and object.</w:t>
      </w:r>
    </w:p>
    <w:p>
      <w:pPr>
        <w:pStyle w:val="BodyText"/>
      </w:pPr>
      <w:r>
        <w:t xml:space="preserve">These three properties map onto the learners’ existing grammars differently, which</w:t>
      </w:r>
      <w:r>
        <w:t xml:space="preserve"> </w:t>
      </w:r>
      <w:r>
        <w:t xml:space="preserve">is what the language factor exploits. Grammatical gender expressed through a</w:t>
      </w:r>
      <w:r>
        <w:t xml:space="preserve"> </w:t>
      </w:r>
      <w:r>
        <w:t xml:space="preserve">suffixed determiner is a property of the learners’ first language, Norwegian, but</w:t>
      </w:r>
      <w:r>
        <w:t xml:space="preserve"> </w:t>
      </w:r>
      <w:r>
        <w:t xml:space="preserve">not of their second language, English. The Mini-Norwegian realisation therefore</w:t>
      </w:r>
      <w:r>
        <w:t xml:space="preserve"> </w:t>
      </w:r>
      <w:r>
        <w:t xml:space="preserve">aligns closely with the first-language grammar, whereas the Mini-English realisation expresses</w:t>
      </w:r>
      <w:r>
        <w:t xml:space="preserve"> </w:t>
      </w:r>
      <w:r>
        <w:t xml:space="preserve">a feature that English does not encode (gender) through an English-like free</w:t>
      </w:r>
      <w:r>
        <w:t xml:space="preserve"> </w:t>
      </w:r>
      <w:r>
        <w:t xml:space="preserve">determiner. Differential object marking and verb–object number agreement, by</w:t>
      </w:r>
      <w:r>
        <w:t xml:space="preserve"> </w:t>
      </w:r>
      <w:r>
        <w:t xml:space="preserve">contrast, are absent from both Norwegian and English, so neither is supported by a</w:t>
      </w:r>
      <w:r>
        <w:t xml:space="preserve"> </w:t>
      </w:r>
      <w:r>
        <w:t xml:space="preserve">prior grammar in either group.</w:t>
      </w:r>
    </w:p>
    <w:bookmarkEnd w:id="66"/>
    <w:bookmarkStart w:id="67" w:name="procedure"/>
    <w:p>
      <w:pPr>
        <w:pStyle w:val="Heading2"/>
      </w:pPr>
      <w:r>
        <w:t xml:space="preserve">Procedure</w:t>
      </w:r>
    </w:p>
    <w:p>
      <w:pPr>
        <w:pStyle w:val="FirstParagraph"/>
      </w:pPr>
      <w:r>
        <w:t xml:space="preserve">Sentences were presented one word at a time in the centre of the screen (rapid serial</w:t>
      </w:r>
      <w:r>
        <w:t xml:space="preserve"> </w:t>
      </w:r>
      <w:r>
        <w:t xml:space="preserve">visual presentation, RSVP) using OpenSesame 3.3.14. Word duration was a deterministic</w:t>
      </w:r>
      <w:r>
        <w:t xml:space="preserve"> </w:t>
      </w:r>
      <w:r>
        <w:t xml:space="preserve">function of word length. A non-critical word was shown for</w:t>
      </w:r>
      <w:r>
        <w:t xml:space="preserve"> </w:t>
      </w:r>
      <m:oMath>
        <m:r>
          <m:t>250</m:t>
        </m:r>
        <m:r>
          <m:rPr>
            <m:sty m:val="p"/>
          </m:rPr>
          <m:t>+</m:t>
        </m:r>
        <m:r>
          <m:t>35</m:t>
        </m:r>
        <m:r>
          <m:rPr>
            <m:sty m:val="p"/>
          </m:rPr>
          <m:t>×</m:t>
        </m:r>
        <m:r>
          <m:rPr>
            <m:sty m:val="p"/>
          </m:rPr>
          <m:t>(</m:t>
        </m:r>
        <m:r>
          <m:rPr>
            <m:nor/>
            <m:sty m:val="p"/>
          </m:rPr>
          <m:t>characters</m:t>
        </m:r>
        <m:r>
          <m:rPr>
            <m:sty m:val="p"/>
          </m:rPr>
          <m:t>−</m:t>
        </m:r>
        <m:r>
          <m:t>3</m:t>
        </m:r>
        <m:r>
          <m:rPr>
            <m:sty m:val="p"/>
          </m:rPr>
          <m:t>)</m:t>
        </m:r>
      </m:oMath>
      <w:r>
        <w:t xml:space="preserve"> </w:t>
      </w:r>
      <w:r>
        <w:t xml:space="preserve">ms, floored at 250 ms, giving durations of</w:t>
      </w:r>
      <w:r>
        <w:t xml:space="preserve"> </w:t>
      </w:r>
      <w:r>
        <w:t xml:space="preserve">250–600 ms. The critical word was shown for 40 ms less than a non-critical word of the</w:t>
      </w:r>
      <w:r>
        <w:t xml:space="preserve"> </w:t>
      </w:r>
      <w:r>
        <w:t xml:space="preserve">same length (210–560 ms). Non-critical words followed one another at a stimulus-onset</w:t>
      </w:r>
      <w:r>
        <w:t xml:space="preserve"> </w:t>
      </w:r>
      <w:r>
        <w:t xml:space="preserve">asynchrony of approximately 505 ms. At the critical word, the asynchrony was held</w:t>
      </w:r>
      <w:r>
        <w:t xml:space="preserve"> </w:t>
      </w:r>
      <w:r>
        <w:t xml:space="preserve">fixed at approximately 750 ms, with the following blank interval lengthened to compensate for</w:t>
      </w:r>
      <w:r>
        <w:t xml:space="preserve"> </w:t>
      </w:r>
      <w:r>
        <w:t xml:space="preserve">the varying word duration. The timing of the post-critical region therefore did not depend</w:t>
      </w:r>
      <w:r>
        <w:t xml:space="preserve"> </w:t>
      </w:r>
      <w:r>
        <w:t xml:space="preserve">on the length of the critical word. The critical word occupied the third or fourth position and</w:t>
      </w:r>
      <w:r>
        <w:t xml:space="preserve"> </w:t>
      </w:r>
      <w:r>
        <w:t xml:space="preserve">was followed by three to six further words. Presentation was entirely</w:t>
      </w:r>
      <w:r>
        <w:t xml:space="preserve"> </w:t>
      </w:r>
      <w:r>
        <w:t xml:space="preserve">experimenter-paced. Nothing in the sentence stream depended on the participant, so a</w:t>
      </w:r>
      <w:r>
        <w:t xml:space="preserve"> </w:t>
      </w:r>
      <w:r>
        <w:t xml:space="preserve">condition difference in reading speed cannot shift the epoch. The grammaticality judgement</w:t>
      </w:r>
      <w:r>
        <w:t xml:space="preserve"> </w:t>
      </w:r>
      <w:r>
        <w:t xml:space="preserve">was requested only after the final word of the sentence, never during it, and was made with</w:t>
      </w:r>
      <w:r>
        <w:t xml:space="preserve"> </w:t>
      </w:r>
      <w:r>
        <w:t xml:space="preserve">a two-button response (left = grammatical, right = violation). No motor response therefore</w:t>
      </w:r>
      <w:r>
        <w:t xml:space="preserve"> </w:t>
      </w:r>
      <w:r>
        <w:t xml:space="preserve">fell inside the analysed epoch. Participants were instructed to minimise movement and</w:t>
      </w:r>
      <w:r>
        <w:t xml:space="preserve"> </w:t>
      </w:r>
      <w:r>
        <w:t xml:space="preserve">blinking, especially during the presentation of words. During pauses in these long</w:t>
      </w:r>
      <w:r>
        <w:t xml:space="preserve"> </w:t>
      </w:r>
      <w:r>
        <w:t xml:space="preserve">sessions, experimenters monitored the signal and intervened when necessary to maintain</w:t>
      </w:r>
      <w:r>
        <w:t xml:space="preserve"> </w:t>
      </w:r>
      <w:r>
        <w:t xml:space="preserve">low electrode impedance and acceptable signal quality.</w:t>
      </w:r>
    </w:p>
    <w:p>
      <w:pPr>
        <w:pStyle w:val="BodyText"/>
      </w:pPr>
      <w:r>
        <w:t xml:space="preserve">This timing has one consequence for the late window. The raw presentation logs record</w:t>
      </w:r>
      <w:r>
        <w:t xml:space="preserve"> </w:t>
      </w:r>
      <w:r>
        <w:t xml:space="preserve">all 64,907 critical-word trials, a census taken before any</w:t>
      </w:r>
      <w:r>
        <w:t xml:space="preserve"> </w:t>
      </w:r>
      <w:r>
        <w:t xml:space="preserve">EEG-side exclusion, so its count exceeds the modelled trial numbers. In that census,</w:t>
      </w:r>
      <w:r>
        <w:t xml:space="preserve"> </w:t>
      </w:r>
      <w:r>
        <w:t xml:space="preserve">exactly one subsequent word onset falls within 900 ms</w:t>
      </w:r>
      <w:r>
        <w:t xml:space="preserve"> </w:t>
      </w:r>
      <w:r>
        <w:t xml:space="preserve">of the critical word (the per-trial maximum is</w:t>
      </w:r>
      <w:r>
        <w:t xml:space="preserve"> </w:t>
      </w:r>
      <w:r>
        <w:t xml:space="preserve">1), at 743–864 ms</w:t>
      </w:r>
      <w:r>
        <w:t xml:space="preserve"> </w:t>
      </w:r>
      <w:r>
        <w:t xml:space="preserve">(median 747 ms). The final roughly 150 ms of the</w:t>
      </w:r>
      <w:r>
        <w:t xml:space="preserve"> </w:t>
      </w:r>
      <w:r>
        <w:t xml:space="preserve">400–900 ms measurement window therefore contains the beginning of the response to the</w:t>
      </w:r>
      <w:r>
        <w:t xml:space="preserve"> </w:t>
      </w:r>
      <w:r>
        <w:t xml:space="preserve">following word. This is unavoidable in connected-sentence RSVP at this rate, and it is</w:t>
      </w:r>
      <w:r>
        <w:t xml:space="preserve"> </w:t>
      </w:r>
      <w:r>
        <w:t xml:space="preserve">constant across conditions because the post-critical asynchrony is held fixed, so it cannot</w:t>
      </w:r>
      <w:r>
        <w:t xml:space="preserve"> </w:t>
      </w:r>
      <w:r>
        <w:t xml:space="preserve">manufacture a grammaticality effect. Late-window amplitudes should nonetheless be read as</w:t>
      </w:r>
      <w:r>
        <w:t xml:space="preserve"> </w:t>
      </w:r>
      <w:r>
        <w:t xml:space="preserve">containing that overlap, not as a pure response to the critical word.</w:t>
      </w:r>
    </w:p>
    <w:bookmarkEnd w:id="67"/>
    <w:bookmarkStart w:id="77" w:name="X0ccf509cef4fa979be3aa2297c27549cad40b40"/>
    <w:p>
      <w:pPr>
        <w:pStyle w:val="Heading2"/>
      </w:pPr>
      <w:r>
        <w:t xml:space="preserve">EEG acquisition and single-trial ERP quantification</w:t>
      </w:r>
    </w:p>
    <w:p>
      <w:pPr>
        <w:pStyle w:val="FirstParagraph"/>
      </w:pPr>
      <w:r>
        <w:t xml:space="preserve">Continuous EEG was recorded with a 32-channel Brain Products LiveAmp system, using active</w:t>
      </w:r>
      <w:r>
        <w:t xml:space="preserve"> </w:t>
      </w:r>
      <w:r>
        <w:t xml:space="preserve">electrodes in an extended 10–20 layout with the CACS-32 cap montage recorded in the data</w:t>
      </w:r>
      <w:r>
        <w:t xml:space="preserve"> </w:t>
      </w:r>
      <w:r>
        <w:t xml:space="preserve">headers. The sampling rate was 500 Hz and the online passband DC–131 Hz, with no online</w:t>
      </w:r>
      <w:r>
        <w:t xml:space="preserve"> </w:t>
      </w:r>
      <w:r>
        <w:t xml:space="preserve">notch filter. The 131 Hz anti-aliasing low-pass is a causal acquisition filter, so it</w:t>
      </w:r>
      <w:r>
        <w:t xml:space="preserve"> </w:t>
      </w:r>
      <w:r>
        <w:t xml:space="preserve">imposes no phase distortion of the kind that motivates the offline filter choices set out</w:t>
      </w:r>
      <w:r>
        <w:t xml:space="preserve"> </w:t>
      </w:r>
      <w:r>
        <w:t xml:space="preserve">below.</w:t>
      </w:r>
    </w:p>
    <w:p>
      <w:pPr>
        <w:pStyle w:val="BodyText"/>
      </w:pPr>
      <w:r>
        <w:t xml:space="preserve">Three channel counts appear in what follows, and they refer to different things, so we</w:t>
      </w:r>
      <w:r>
        <w:t xml:space="preserve"> </w:t>
      </w:r>
      <w:r>
        <w:t xml:space="preserve">set them out once. Thirty-two electrodes were recorded. Two of them, TP9 and TP10, become</w:t>
      </w:r>
      <w:r>
        <w:t xml:space="preserve"> </w:t>
      </w:r>
      <w:r>
        <w:t xml:space="preserve">the offline linked-mastoid reference and are therefore not analysed as signals. FCz served</w:t>
      </w:r>
      <w:r>
        <w:t xml:space="preserve"> </w:t>
      </w:r>
      <w:r>
        <w:t xml:space="preserve">as the online reference and is recovered as a channel when the data are re-referenced. The</w:t>
      </w:r>
      <w:r>
        <w:t xml:space="preserve"> </w:t>
      </w:r>
      <w:r>
        <w:t xml:space="preserve">remaining 30 electrodes are the ones assigned to the nine analysis regions, so they are</w:t>
      </w:r>
      <w:r>
        <w:t xml:space="preserve"> </w:t>
      </w:r>
      <w:r>
        <w:t xml:space="preserve">what the region-averaged amplitude models use and the electrodes from which the scalp maps are estimated.</w:t>
      </w:r>
      <w:r>
        <w:t xml:space="preserve"> </w:t>
      </w:r>
      <w:r>
        <w:t xml:space="preserve">The decoder ignores the region map and takes every EEG channel available in</w:t>
      </w:r>
      <w:r>
        <w:t xml:space="preserve"> </w:t>
      </w:r>
      <w:r>
        <w:t xml:space="preserve">all contributing sessions, which is those 30 plus the recovered FCz, giving 31 features.</w:t>
      </w:r>
      <w:r>
        <w:t xml:space="preserve"> </w:t>
      </w:r>
      <w:r>
        <w:t xml:space="preserve">The LiveAmp’s three accelerometer traces (</w:t>
      </w:r>
      <w:r>
        <w:rPr>
          <w:rStyle w:val="VerbatimChar"/>
        </w:rPr>
        <w:t xml:space="preserve">x_dir</w:t>
      </w:r>
      <w:r>
        <w:t xml:space="preserve">,</w:t>
      </w:r>
      <w:r>
        <w:t xml:space="preserve"> </w:t>
      </w:r>
      <w:r>
        <w:rPr>
          <w:rStyle w:val="VerbatimChar"/>
        </w:rPr>
        <w:t xml:space="preserve">y_dir</w:t>
      </w:r>
      <w:r>
        <w:t xml:space="preserve">,</w:t>
      </w:r>
      <w:r>
        <w:t xml:space="preserve"> </w:t>
      </w:r>
      <w:r>
        <w:rPr>
          <w:rStyle w:val="VerbatimChar"/>
        </w:rPr>
        <w:t xml:space="preserve">z_dir</w:t>
      </w:r>
      <w:r>
        <w:t xml:space="preserve">) are movement signals,</w:t>
      </w:r>
      <w:r>
        <w:t xml:space="preserve"> </w:t>
      </w:r>
      <w:r>
        <w:t xml:space="preserve">not brain signals, and are excluded throughout. The Session 2 exports additionally retain</w:t>
      </w:r>
      <w:r>
        <w:t xml:space="preserve"> </w:t>
      </w:r>
      <w:r>
        <w:t xml:space="preserve">TP9, TP10 and the accelerometer channels, whereas the Session 3, 4 and 6 exports do not,</w:t>
      </w:r>
      <w:r>
        <w:t xml:space="preserve"> </w:t>
      </w:r>
      <w:r>
        <w:t xml:space="preserve">which is why the decoder uses only the channels common to every session. Offline, in</w:t>
      </w:r>
      <w:r>
        <w:t xml:space="preserve"> </w:t>
      </w:r>
      <w:r>
        <w:t xml:space="preserve">BrainVision Analyzer, the data were re-referenced to the mean of the two mastoids, with FCz</w:t>
      </w:r>
      <w:r>
        <w:t xml:space="preserve"> </w:t>
      </w:r>
      <w:r>
        <w:t xml:space="preserve">recovered, and then band-pass filtered with zero-phase-shift (forward and reverse)</w:t>
      </w:r>
      <w:r>
        <w:t xml:space="preserve"> </w:t>
      </w:r>
      <w:r>
        <w:t xml:space="preserve">Butterworth IIR filters, high-pass 0.1 Hz and low-pass 30 Hz, each specified in Analyzer as</w:t>
      </w:r>
      <w:r>
        <w:t xml:space="preserve"> </w:t>
      </w:r>
      <w:r>
        <w:t xml:space="preserve">fourth order. Analyzer realises that specification as a second-order filter applied</w:t>
      </w:r>
      <w:r>
        <w:t xml:space="preserve"> </w:t>
      </w:r>
      <w:r>
        <w:t xml:space="preserve">forwards and then backwards, so the combined zero-phase response is the fourth-order one,</w:t>
      </w:r>
      <w:r>
        <w:t xml:space="preserve"> </w:t>
      </w:r>
      <w:r>
        <w:t xml:space="preserve">falling off at 24 dB per octave. A scripted reconstruction of the processing chain</w:t>
      </w:r>
      <w:r>
        <w:t xml:space="preserve"> </w:t>
      </w:r>
      <w:r>
        <w:t xml:space="preserve">reproduced Analyzer’s exported data to the precision of the export only under that</w:t>
      </w:r>
      <w:r>
        <w:t xml:space="preserve"> </w:t>
      </w:r>
      <w:r>
        <w:t xml:space="preserve">reading. No notch filter was applied</w:t>
      </w:r>
      <w:r>
        <w:t xml:space="preserve"> </w:t>
      </w:r>
      <w:r>
        <w:t xml:space="preserve">offline. Filtering preceded ocular correction, so the independent component analysis was</w:t>
      </w:r>
      <w:r>
        <w:t xml:space="preserve"> </w:t>
      </w:r>
      <w:r>
        <w:t xml:space="preserve">trained on the same 0.1 Hz high-passed data that the analyses themselves use. It was</w:t>
      </w:r>
      <w:r>
        <w:t xml:space="preserve"> </w:t>
      </w:r>
      <w:r>
        <w:t xml:space="preserve">computed on each whole recording, leaving out intervals marked as bad during raw-data</w:t>
      </w:r>
      <w:r>
        <w:t xml:space="preserve"> </w:t>
      </w:r>
      <w:r>
        <w:t xml:space="preserve">inspection, and components were selected semi-automatically. In Sessions 3, 4 and 6, TP9 and</w:t>
      </w:r>
      <w:r>
        <w:t xml:space="preserve"> </w:t>
      </w:r>
      <w:r>
        <w:t xml:space="preserve">TP10 had been discarded at re-referencing, so the decomposition used the 30 remaining</w:t>
      </w:r>
      <w:r>
        <w:t xml:space="preserve"> </w:t>
      </w:r>
      <w:r>
        <w:t xml:space="preserve">electrodes (29 in one Session 3 recording in which CP2 had been interpolated). In Session 2</w:t>
      </w:r>
      <w:r>
        <w:t xml:space="preserve"> </w:t>
      </w:r>
      <w:r>
        <w:t xml:space="preserve">it used 32 electrodes, the 30 scalp electrodes and TP9 and TP10. The recovered FCz passed</w:t>
      </w:r>
      <w:r>
        <w:t xml:space="preserve"> </w:t>
      </w:r>
      <w:r>
        <w:t xml:space="preserve">through it unchanged in every session.</w:t>
      </w:r>
    </w:p>
    <w:p>
      <w:pPr>
        <w:pStyle w:val="BodyText"/>
      </w:pPr>
      <w:r>
        <w:t xml:space="preserve">In Session 2, the re-referencing step also included the online reference in the average,</w:t>
      </w:r>
      <w:r>
        <w:t xml:space="preserve"> </w:t>
      </w:r>
      <w:r>
        <w:t xml:space="preserve">so those recordings were exported against the mean of TP9, TP10 and a zero-valued FCz</w:t>
      </w:r>
      <w:r>
        <w:t xml:space="preserve"> </w:t>
      </w:r>
      <w:r>
        <w:t xml:space="preserve">instead of against the mean of the mastoids, and TP9 and TP10 were kept. We brought them to</w:t>
      </w:r>
      <w:r>
        <w:t xml:space="preserve"> </w:t>
      </w:r>
      <w:r>
        <w:t xml:space="preserve">the reference of the other sessions offline, as each export was read. Subtracting a sixth of</w:t>
      </w:r>
      <w:r>
        <w:t xml:space="preserve"> </w:t>
      </w:r>
      <w:r>
        <w:t xml:space="preserve">the sum of the exported TP9 and TP10 from each scalp electrode re-references the ocularly</w:t>
      </w:r>
      <w:r>
        <w:t xml:space="preserve"> </w:t>
      </w:r>
      <w:r>
        <w:t xml:space="preserve">corrected scalp data to the ocularly corrected mastoids, an identity that holds on the</w:t>
      </w:r>
      <w:r>
        <w:t xml:space="preserve"> </w:t>
      </w:r>
      <w:r>
        <w:t xml:space="preserve">exports to their precision. FCz bypassed the ocular correction, so 1.5 times its exported</w:t>
      </w:r>
      <w:r>
        <w:t xml:space="preserve"> </w:t>
      </w:r>
      <w:r>
        <w:t xml:space="preserve">value is the linked-mastoid FCz exactly. Against a linked-mastoid branch that the</w:t>
      </w:r>
      <w:r>
        <w:t xml:space="preserve"> </w:t>
      </w:r>
      <w:r>
        <w:t xml:space="preserve">analyst had built, but not exported, in one participant’s Session 2 history, the correction</w:t>
      </w:r>
      <w:r>
        <w:t xml:space="preserve"> </w:t>
      </w:r>
      <w:r>
        <w:t xml:space="preserve">was four times more accurate than a simpler alternative that adds half of the exported FCz</w:t>
      </w:r>
      <w:r>
        <w:t xml:space="preserve"> </w:t>
      </w:r>
      <w:r>
        <w:t xml:space="preserve">to every channel. That alternative is exact before ocular correction but not after it, and</w:t>
      </w:r>
      <w:r>
        <w:t xml:space="preserve"> </w:t>
      </w:r>
      <w:r>
        <w:t xml:space="preserve">it was applied in an earlier version of these analyses. Without any correction, the Session 2</w:t>
      </w:r>
      <w:r>
        <w:t xml:space="preserve"> </w:t>
      </w:r>
      <w:r>
        <w:t xml:space="preserve">grammaticality effects in four recordings rebuilt from the raw data would have been</w:t>
      </w:r>
      <w:r>
        <w:t xml:space="preserve"> </w:t>
      </w:r>
      <w:r>
        <w:t xml:space="preserve">displaced by up to 2.3 µV relative to the other sessions.</w:t>
      </w:r>
    </w:p>
    <w:p>
      <w:pPr>
        <w:pStyle w:val="BodyText"/>
      </w:pPr>
      <w:r>
        <w:t xml:space="preserve">Owing to a processing oversight, the Session 3 recordings of nine participants were</w:t>
      </w:r>
      <w:r>
        <w:t xml:space="preserve"> </w:t>
      </w:r>
      <w:r>
        <w:t xml:space="preserve">high-pass filtered at 1 Hz rather than 0.1 Hz. The archived Analyzer histories show a single</w:t>
      </w:r>
      <w:r>
        <w:t xml:space="preserve"> </w:t>
      </w:r>
      <w:r>
        <w:t xml:space="preserve">1 Hz filter node from which their exports descend, and a scripted rebuild of those exports</w:t>
      </w:r>
      <w:r>
        <w:t xml:space="preserve"> </w:t>
      </w:r>
      <w:r>
        <w:t xml:space="preserve">from the raw recordings reproduces them only at 1 Hz. A 1 Hz high-pass is a documented</w:t>
      </w:r>
      <w:r>
        <w:t xml:space="preserve"> </w:t>
      </w:r>
      <w:r>
        <w:t xml:space="preserve">generator of artefacts in this kind of paradigm</w:t>
      </w:r>
      <w:r>
        <w:t xml:space="preserve"> </w:t>
      </w:r>
      <w:r>
        <w:t xml:space="preserve">(</w:t>
      </w:r>
      <w:hyperlink w:anchor="ref-tanner2015">
        <w:r>
          <w:rPr>
            <w:rStyle w:val="Hyperlink"/>
          </w:rPr>
          <w:t xml:space="preserve">Tanner et al., 2015</w:t>
        </w:r>
      </w:hyperlink>
      <w:r>
        <w:t xml:space="preserve">;</w:t>
      </w:r>
      <w:r>
        <w:t xml:space="preserve"> </w:t>
      </w:r>
      <w:hyperlink w:anchor="ref-widmann2015">
        <w:r>
          <w:rPr>
            <w:rStyle w:val="Hyperlink"/>
          </w:rPr>
          <w:t xml:space="preserve">Widmann et al., 2015</w:t>
        </w:r>
      </w:hyperlink>
      <w:r>
        <w:t xml:space="preserve">)</w:t>
      </w:r>
      <w:r>
        <w:t xml:space="preserve">, so the 1 Hz</w:t>
      </w:r>
      <w:r>
        <w:t xml:space="preserve"> </w:t>
      </w:r>
      <w:r>
        <w:t xml:space="preserve">data enter no analysis. The nine recordings were instead reprocessed from the raw data under a</w:t>
      </w:r>
      <w:r>
        <w:t xml:space="preserve"> </w:t>
      </w:r>
      <w:r>
        <w:t xml:space="preserve">protocol fixed before any reprocessed output was inspected. A scripted reconstruction of the</w:t>
      </w:r>
      <w:r>
        <w:t xml:space="preserve"> </w:t>
      </w:r>
      <w:r>
        <w:t xml:space="preserve">archived processing first reproduced every one of their 1 Hz exports to within the rounding</w:t>
      </w:r>
      <w:r>
        <w:t xml:space="preserve"> </w:t>
      </w:r>
      <w:r>
        <w:t xml:space="preserve">of the export (root-mean-square error below 0.0004 µV), and only then was the high-pass</w:t>
      </w:r>
      <w:r>
        <w:t xml:space="preserve"> </w:t>
      </w:r>
      <w:r>
        <w:t xml:space="preserve">cutoff changed to 0.1 Hz, with every other step and every retained trial kept as archived.</w:t>
      </w:r>
      <w:r>
        <w:t xml:space="preserve"> </w:t>
      </w:r>
      <w:r>
        <w:t xml:space="preserve">The reprocessed data enter every fitted ERP model, the decoding and the ERP</w:t>
      </w:r>
      <w:r>
        <w:t xml:space="preserve"> </w:t>
      </w:r>
      <w:r>
        <w:t xml:space="preserve">displays. A robustness analysis fixed in the same protocol refits the</w:t>
      </w:r>
      <w:r>
        <w:t xml:space="preserve"> </w:t>
      </w:r>
      <w:r>
        <w:t xml:space="preserve">ERP models and the confirmatory decoding without them. It can qualify a primary result but</w:t>
      </w:r>
      <w:r>
        <w:t xml:space="preserve"> </w:t>
      </w:r>
      <w:r>
        <w:t xml:space="preserve">not create one. The decision rests on the filter setting itself and on nothing observed in</w:t>
      </w:r>
      <w:r>
        <w:t xml:space="preserve"> </w:t>
      </w:r>
      <w:r>
        <w:t xml:space="preserve">these participants’ data, so it is not results-contingent. The argument is set out in</w:t>
      </w:r>
      <w:r>
        <w:t xml:space="preserve"> </w:t>
      </w:r>
      <w:hyperlink w:anchor="apx-analytic-decisions-in-detail">
        <w:r>
          <w:rPr>
            <w:rStyle w:val="Hyperlink"/>
          </w:rPr>
          <w:t xml:space="preserve">Appendix A</w:t>
        </w:r>
      </w:hyperlink>
      <w:r>
        <w:t xml:space="preserve">. The reprocessed datasets hold 16.0% of the retained Session 3 gender agreement trials and 16.6% of the retained Session 3 differential object marking trials.</w:t>
      </w:r>
    </w:p>
    <w:p>
      <w:pPr>
        <w:pStyle w:val="BodyText"/>
      </w:pPr>
      <w:r>
        <w:t xml:space="preserve">Every exported trial was then traced to its source recording through the export’s time</w:t>
      </w:r>
      <w:r>
        <w:t xml:space="preserve"> </w:t>
      </w:r>
      <w:r>
        <w:t xml:space="preserve">stamps and the processing history, and every export was checked for a stimulus-locked</w:t>
      </w:r>
      <w:r>
        <w:t xml:space="preserve"> </w:t>
      </w:r>
      <w:r>
        <w:t xml:space="preserve">response. Three exports failed, and each failure was confirmed on the EEG itself. The</w:t>
      </w:r>
      <w:r>
        <w:t xml:space="preserve"> </w:t>
      </w:r>
      <w:r>
        <w:t xml:space="preserve">Session 3 export of one participant is a second copy of another participant’s Session 3</w:t>
      </w:r>
      <w:r>
        <w:t xml:space="preserve"> </w:t>
      </w:r>
      <w:r>
        <w:t xml:space="preserve">recording. The Session 6 export of a second participant was segmented at the event times of</w:t>
      </w:r>
      <w:r>
        <w:t xml:space="preserve"> </w:t>
      </w:r>
      <w:r>
        <w:t xml:space="preserve">that participant’s Session 4 recording, and the Session 2 export of a third participant at</w:t>
      </w:r>
      <w:r>
        <w:t xml:space="preserve"> </w:t>
      </w:r>
      <w:r>
        <w:t xml:space="preserve">the event times of a recording other than the one archived. The epochs of the last two are</w:t>
      </w:r>
      <w:r>
        <w:t xml:space="preserve"> </w:t>
      </w:r>
      <w:r>
        <w:t xml:space="preserve">not time-locked to any stimulus and show no evoked response. None of the three exports</w:t>
      </w:r>
      <w:r>
        <w:t xml:space="preserve"> </w:t>
      </w:r>
      <w:r>
        <w:t xml:space="preserve">measures the participant-session it is named for. The same protocol allows a misaligned</w:t>
      </w:r>
      <w:r>
        <w:t xml:space="preserve"> </w:t>
      </w:r>
      <w:r>
        <w:t xml:space="preserve">record to be recovered only if its archived processing decisions were made on the</w:t>
      </w:r>
      <w:r>
        <w:t xml:space="preserve"> </w:t>
      </w:r>
      <w:r>
        <w:t xml:space="preserve">participant’s own recording, which it tests by first reproducing the legacy export from that</w:t>
      </w:r>
      <w:r>
        <w:t xml:space="preserve"> </w:t>
      </w:r>
      <w:r>
        <w:t xml:space="preserve">recording. The two misaligned records passed: each export was reproduced from the</w:t>
      </w:r>
      <w:r>
        <w:t xml:space="preserve"> </w:t>
      </w:r>
      <w:r>
        <w:t xml:space="preserve">participant’s own archived recording and the event markers its processing history carries,</w:t>
      </w:r>
      <w:r>
        <w:t xml:space="preserve"> </w:t>
      </w:r>
      <w:r>
        <w:t xml:space="preserve">to the same precision as the filter reconstruction, so only the event markers had come from</w:t>
      </w:r>
      <w:r>
        <w:t xml:space="preserve"> </w:t>
      </w:r>
      <w:r>
        <w:t xml:space="preserve">another recording. Each record was then re-segmented at its own events by the trigger rule</w:t>
      </w:r>
      <w:r>
        <w:t xml:space="preserve"> </w:t>
      </w:r>
      <w:r>
        <w:t xml:space="preserve">described below, inside the stretch of recording the analyst had processed and inspected,</w:t>
      </w:r>
      <w:r>
        <w:t xml:space="preserve"> </w:t>
      </w:r>
      <w:r>
        <w:t xml:space="preserve">with every epoch that overlaps a marked bad interval dropped and no manual epoch removal</w:t>
      </w:r>
      <w:r>
        <w:t xml:space="preserve"> </w:t>
      </w:r>
      <w:r>
        <w:t xml:space="preserve">carried over. The recovered records enter the primary analysis, and the robustness analysis</w:t>
      </w:r>
      <w:r>
        <w:t xml:space="preserve"> </w:t>
      </w:r>
      <w:r>
        <w:t xml:space="preserve">drops them together with the nine reprocessed ones. The duplicated Session 3 export cannot be</w:t>
      </w:r>
      <w:r>
        <w:t xml:space="preserve"> </w:t>
      </w:r>
      <w:r>
        <w:t xml:space="preserve">recovered, because none of its processing decisions was made on that participant’s</w:t>
      </w:r>
      <w:r>
        <w:t xml:space="preserve"> </w:t>
      </w:r>
      <w:r>
        <w:t xml:space="preserve">recording, so it is excluded from every EEG analysis. The accuracy models retain all of these</w:t>
      </w:r>
      <w:r>
        <w:t xml:space="preserve"> </w:t>
      </w:r>
      <w:r>
        <w:t xml:space="preserve">sessions, because neither the filter nor the segmentation bears on the judgement logs.</w:t>
      </w:r>
    </w:p>
    <w:p>
      <w:pPr>
        <w:pStyle w:val="BodyText"/>
      </w:pPr>
      <w:r>
        <w:t xml:space="preserve">Each critical word was marked by four serial-port triggers sent in succession as the word</w:t>
      </w:r>
      <w:r>
        <w:t xml:space="preserve"> </w:t>
      </w:r>
      <w:r>
        <w:t xml:space="preserve">was drawn: the word identity, which marks word onset, then the sentence identity, the</w:t>
      </w:r>
      <w:r>
        <w:t xml:space="preserve"> </w:t>
      </w:r>
      <w:r>
        <w:t xml:space="preserve">grammatical property and the grammaticality condition. After ocular correction, each record</w:t>
      </w:r>
      <w:r>
        <w:t xml:space="preserve"> </w:t>
      </w:r>
      <w:r>
        <w:t xml:space="preserve">was segmented in two steps. The first step cut 1,200 ms epochs beginning 120 ms before the</w:t>
      </w:r>
      <w:r>
        <w:t xml:space="preserve"> </w:t>
      </w:r>
      <w:r>
        <w:t xml:space="preserve">property trigger, and these were screened semi-automatically: epochs containing a voltage</w:t>
      </w:r>
      <w:r>
        <w:t xml:space="preserve"> </w:t>
      </w:r>
      <w:r>
        <w:t xml:space="preserve">step above 30 µV/ms, a range above 100 µV within 200 ms or activity below 0.5 µV within</w:t>
      </w:r>
      <w:r>
        <w:t xml:space="preserve"> </w:t>
      </w:r>
      <w:r>
        <w:t xml:space="preserve">100 ms were flagged, and the operator reviewed the flagged epochs, removing some and keeping</w:t>
      </w:r>
      <w:r>
        <w:t xml:space="preserve"> </w:t>
      </w:r>
      <w:r>
        <w:t xml:space="preserve">most. The second step cut 1,200 ms epochs beginning 130 ms before the condition trigger, and</w:t>
      </w:r>
      <w:r>
        <w:t xml:space="preserve"> </w:t>
      </w:r>
      <w:r>
        <w:t xml:space="preserve">kept an epoch only if it lay wholly within a retained first-step epoch. That holds only when</w:t>
      </w:r>
      <w:r>
        <w:t xml:space="preserve"> </w:t>
      </w:r>
      <w:r>
        <w:t xml:space="preserve">the condition trigger fell exactly five samples after the property trigger. The triggers had</w:t>
      </w:r>
      <w:r>
        <w:t xml:space="preserve"> </w:t>
      </w:r>
      <w:r>
        <w:t xml:space="preserve">a nominal spacing of 10 ms, but the realised spacing averaged about 10.7 ms, so at 500 Hz</w:t>
      </w:r>
      <w:r>
        <w:t xml:space="preserve"> </w:t>
      </w:r>
      <w:r>
        <w:t xml:space="preserve">the two triggers were six samples apart for about a third of critical words, and those</w:t>
      </w:r>
      <w:r>
        <w:t xml:space="preserve"> </w:t>
      </w:r>
      <w:r>
        <w:t xml:space="preserve">words yielded no epoch. An audit of the behavioural logs, marker files, processing histories</w:t>
      </w:r>
      <w:r>
        <w:t xml:space="preserve"> </w:t>
      </w:r>
      <w:r>
        <w:t xml:space="preserve">and exports of every participant-session traced each loss to its cause: in the processing</w:t>
      </w:r>
      <w:r>
        <w:t xml:space="preserve"> </w:t>
      </w:r>
      <w:r>
        <w:t xml:space="preserve">histories, 21,520 of the 64,287 critical-word</w:t>
      </w:r>
      <w:r>
        <w:t xml:space="preserve"> </w:t>
      </w:r>
      <w:r>
        <w:t xml:space="preserve">events had an interval other than five samples, and none of them reached an export, whereas</w:t>
      </w:r>
      <w:r>
        <w:t xml:space="preserve"> </w:t>
      </w:r>
      <w:r>
        <w:t xml:space="preserve">473 first-step epochs were removed on review, every one of them flagged</w:t>
      </w:r>
      <w:r>
        <w:t xml:space="preserve"> </w:t>
      </w:r>
      <w:r>
        <w:t xml:space="preserve">by the criteria (5,679 were flagged in all). The share of words kept by</w:t>
      </w:r>
      <w:r>
        <w:t xml:space="preserve"> </w:t>
      </w:r>
      <w:r>
        <w:t xml:space="preserve">the trigger rule ranged from 24% to</w:t>
      </w:r>
      <w:r>
        <w:t xml:space="preserve"> </w:t>
      </w:r>
      <w:r>
        <w:t xml:space="preserve">81% across recordings, mainly with how quickly the stimulus</w:t>
      </w:r>
      <w:r>
        <w:t xml:space="preserve"> </w:t>
      </w:r>
      <w:r>
        <w:t xml:space="preserve">computer sent the triggers. Within recordings, loss was unrelated to grammaticality (odds of</w:t>
      </w:r>
      <w:r>
        <w:t xml:space="preserve"> </w:t>
      </w:r>
      <w:r>
        <w:t xml:space="preserve">losing an ungrammatical rather than a grammatical trial</w:t>
      </w:r>
      <w:r>
        <w:t xml:space="preserve"> </w:t>
      </w:r>
      <w:r>
        <w:t xml:space="preserve">1.01,</w:t>
      </w:r>
      <w:r>
        <w:t xml:space="preserve"> </w:t>
      </w:r>
      <w:r>
        <w:t xml:space="preserve">95% CI</w:t>
      </w:r>
      <w:r>
        <w:t xml:space="preserve"> </w:t>
      </w:r>
      <m:oMath>
        <m:r>
          <m:rPr>
            <m:sty m:val="p"/>
          </m:rPr>
          <m:t>[</m:t>
        </m:r>
        <m:r>
          <m:t>0.97</m:t>
        </m:r>
        <m:r>
          <m:rPr>
            <m:sty m:val="p"/>
          </m:rPr>
          <m:t>,</m:t>
        </m:r>
        <m:r>
          <m:t>1.06</m:t>
        </m:r>
        <m:r>
          <m:rPr>
            <m:sty m:val="p"/>
          </m:rPr>
          <m:t>]</m:t>
        </m:r>
      </m:oMath>
      <w:r>
        <w:t xml:space="preserve">), response accuracy and item, and only</w:t>
      </w:r>
      <w:r>
        <w:t xml:space="preserve"> </w:t>
      </w:r>
      <w:r>
        <w:t xml:space="preserve">weakly and inconsistently related to response time and trial position, so it lowers</w:t>
      </w:r>
      <w:r>
        <w:t xml:space="preserve"> </w:t>
      </w:r>
      <w:r>
        <w:t xml:space="preserve">precision without favouring either side of the grammaticality contrast. It was not</w:t>
      </w:r>
      <w:r>
        <w:t xml:space="preserve"> </w:t>
      </w:r>
      <w:r>
        <w:t xml:space="preserve">perfectly even across groups and sessions, however. The largest imbalance was in the</w:t>
      </w:r>
      <w:r>
        <w:t xml:space="preserve"> </w:t>
      </w:r>
      <w:r>
        <w:t xml:space="preserve">Mini-English group at Session 6, where grammatical retention fell below ungrammatical</w:t>
      </w:r>
      <w:r>
        <w:t xml:space="preserve"> </w:t>
      </w:r>
      <w:r>
        <w:t xml:space="preserve">retention for every property, by 4.2,</w:t>
      </w:r>
      <w:r>
        <w:t xml:space="preserve"> </w:t>
      </w:r>
      <w:r>
        <w:t xml:space="preserve">1.1 and 6.7</w:t>
      </w:r>
      <w:r>
        <w:t xml:space="preserve"> </w:t>
      </w:r>
      <w:r>
        <w:t xml:space="preserve">percentage points of the 48 presented trials for gender agreement, differential object</w:t>
      </w:r>
      <w:r>
        <w:t xml:space="preserve"> </w:t>
      </w:r>
      <w:r>
        <w:t xml:space="preserve">marking and verb–object number agreement, and by 4.0</w:t>
      </w:r>
      <w:r>
        <w:t xml:space="preserve"> </w:t>
      </w:r>
      <w:r>
        <w:t xml:space="preserve">points on average (odds ratio 0.83,</w:t>
      </w:r>
      <w:r>
        <w:t xml:space="preserve"> </w:t>
      </w:r>
      <w:r>
        <w:t xml:space="preserve">95% CI</w:t>
      </w:r>
      <w:r>
        <w:t xml:space="preserve"> </w:t>
      </w:r>
      <m:oMath>
        <m:r>
          <m:rPr>
            <m:sty m:val="p"/>
          </m:rPr>
          <m:t>[</m:t>
        </m:r>
        <m:r>
          <m:t>0.73</m:t>
        </m:r>
        <m:r>
          <m:rPr>
            <m:sty m:val="p"/>
          </m:rPr>
          <m:t>,</m:t>
        </m:r>
        <m:r>
          <m:t>0.94</m:t>
        </m:r>
        <m:r>
          <m:rPr>
            <m:sty m:val="p"/>
          </m:rPr>
          <m:t>]</m:t>
        </m:r>
      </m:oMath>
      <w:r>
        <w:t xml:space="preserve">). A segmentation tolerant of one</w:t>
      </w:r>
      <w:r>
        <w:t xml:space="preserve"> </w:t>
      </w:r>
      <w:r>
        <w:t xml:space="preserve">sample of trigger jitter would have kept 1.5 times as many</w:t>
      </w:r>
      <w:r>
        <w:t xml:space="preserve"> </w:t>
      </w:r>
      <w:r>
        <w:t xml:space="preserve">trials, but projected onto the trial-level structure of the ERP models it would have narrowed</w:t>
      </w:r>
      <w:r>
        <w:t xml:space="preserve"> </w:t>
      </w:r>
      <w:r>
        <w:t xml:space="preserve">the interval of the gender-agreement grammaticality</w:t>
      </w:r>
      <w:r>
        <w:t xml:space="preserve"> </w:t>
      </w:r>
      <m:oMath>
        <m:r>
          <m:rPr>
            <m:sty m:val="p"/>
          </m:rPr>
          <m:t>×</m:t>
        </m:r>
      </m:oMath>
      <w:r>
        <w:t xml:space="preserve"> </w:t>
      </w:r>
      <w:r>
        <w:t xml:space="preserve">language term by only</w:t>
      </w:r>
      <w:r>
        <w:t xml:space="preserve"> </w:t>
      </w:r>
      <w:r>
        <w:t xml:space="preserve">9–10%, so the</w:t>
      </w:r>
      <w:r>
        <w:t xml:space="preserve"> </w:t>
      </w:r>
      <w:r>
        <w:t xml:space="preserve">recordings were not re-exported. Differential trial loss between the compared conditions would make a</w:t>
      </w:r>
      <w:r>
        <w:t xml:space="preserve"> </w:t>
      </w:r>
      <w:r>
        <w:t xml:space="preserve">grammaticality effect partly a difference in measurement precision and only partly one in</w:t>
      </w:r>
      <w:r>
        <w:t xml:space="preserve"> </w:t>
      </w:r>
      <w:r>
        <w:t xml:space="preserve">brain response, so retention is reported per condition. On average, 31.5 of the 48 presented</w:t>
      </w:r>
      <w:r>
        <w:t xml:space="preserve"> </w:t>
      </w:r>
      <w:r>
        <w:t xml:space="preserve">trials were retained per modelled cell (</w:t>
      </w:r>
      <m:oMath>
        <m:r>
          <m:t>S</m:t>
        </m:r>
        <m:r>
          <m:t>D</m:t>
        </m:r>
        <m:r>
          <m:rPr>
            <m:sty m:val="p"/>
          </m:rPr>
          <m:t>=</m:t>
        </m:r>
        <m:r>
          <m:t>5.8</m:t>
        </m:r>
      </m:oMath>
      <w:r>
        <w:t xml:space="preserve">), so</w:t>
      </w:r>
      <w:r>
        <w:t xml:space="preserve"> </w:t>
      </w:r>
      <w:r>
        <w:t xml:space="preserve">34.3% were not retained. These retention figures are counted from the</w:t>
      </w:r>
      <w:r>
        <w:t xml:space="preserve"> </w:t>
      </w:r>
      <w:r>
        <w:t xml:space="preserve">single-trial data the models were fitted to, after every exclusion and with the reprocessed</w:t>
      </w:r>
      <w:r>
        <w:t xml:space="preserve"> </w:t>
      </w:r>
      <w:r>
        <w:t xml:space="preserve">and recovered records as analysed.</w:t>
      </w:r>
      <w:r>
        <w:t xml:space="preserve"> </w:t>
      </w:r>
      <w:hyperlink w:anchor="tbl-retention-trials">
        <w:r>
          <w:rPr>
            <w:rStyle w:val="Hyperlink"/>
          </w:rPr>
          <w:t xml:space="preserve">Table 1</w:t>
        </w:r>
      </w:hyperlink>
      <w:r>
        <w:t xml:space="preserve"> </w:t>
      </w:r>
      <w:r>
        <w:t xml:space="preserve">gives the full per-condition</w:t>
      </w:r>
      <w:r>
        <w:t xml:space="preserve"> </w:t>
      </w:r>
      <w:r>
        <w:t xml:space="preserve">breakdown, averaged over the two groups. Averaged over properties and sessions as well, a</w:t>
      </w:r>
      <w:r>
        <w:t xml:space="preserve"> </w:t>
      </w:r>
      <w:r>
        <w:t xml:space="preserve">participant retained 31.48 of the 48 grammatical trials and</w:t>
      </w:r>
      <w:r>
        <w:t xml:space="preserve"> </w:t>
      </w:r>
      <w:r>
        <w:t xml:space="preserve">31.43 of the 48 ungrammatical ones, a difference of</w:t>
      </w:r>
      <w:r>
        <w:t xml:space="preserve"> </w:t>
      </w:r>
      <w:r>
        <w:t xml:space="preserve">0.05 trials. Epoch time is labelled from</w:t>
      </w:r>
      <w:r>
        <w:t xml:space="preserve"> </w:t>
      </w:r>
      <m:oMath>
        <m:r>
          <m:rPr>
            <m:sty m:val="p"/>
          </m:rPr>
          <m:t>−</m:t>
        </m:r>
        <m:r>
          <m:t>100</m:t>
        </m:r>
      </m:oMath>
      <w:r>
        <w:t xml:space="preserve"> </w:t>
      </w:r>
      <w:r>
        <w:t xml:space="preserve">to</w:t>
      </w:r>
      <w:r>
        <w:t xml:space="preserve"> </w:t>
      </w:r>
      <m:oMath>
        <m:r>
          <m:t>1098</m:t>
        </m:r>
      </m:oMath>
      <w:r>
        <w:t xml:space="preserve"> </w:t>
      </w:r>
      <w:r>
        <w:t xml:space="preserve">ms relative</w:t>
      </w:r>
      <w:r>
        <w:t xml:space="preserve"> </w:t>
      </w:r>
      <w:r>
        <w:t xml:space="preserve">to word onset on the assumption of the nominal trigger spacing; relative to the recorded</w:t>
      </w:r>
      <w:r>
        <w:t xml:space="preserve"> </w:t>
      </w:r>
      <w:r>
        <w:t xml:space="preserve">word-identity trigger, the labels understate elapsed time by</w:t>
      </w:r>
      <w:r>
        <w:t xml:space="preserve"> </w:t>
      </w:r>
      <w:r>
        <w:t xml:space="preserve">1.6 ms on average and by at most</w:t>
      </w:r>
      <w:r>
        <w:t xml:space="preserve"> </w:t>
      </w:r>
      <w:r>
        <w:t xml:space="preserve">8 ms, which is negligible for window mean amplitudes. The audit’s</w:t>
      </w:r>
      <w:r>
        <w:t xml:space="preserve"> </w:t>
      </w:r>
      <w:r>
        <w:t xml:space="preserve">scripts and the tables these figures are read from are in the project repository</w:t>
      </w:r>
      <w:r>
        <w:t xml:space="preserve"> </w:t>
      </w:r>
      <w:r>
        <w:t xml:space="preserve">(</w:t>
      </w:r>
      <w:r>
        <w:rPr>
          <w:rStyle w:val="VerbatimChar"/>
        </w:rPr>
        <w:t xml:space="preserve">paper_1_transfer/audit/</w:t>
      </w:r>
      <w:r>
        <w:t xml:space="preserve">).</w:t>
      </w:r>
    </w:p>
    <w:p>
      <w:pPr>
        <w:pStyle w:val="BodyText"/>
      </w:pPr>
      <w:r>
        <w:t xml:space="preserve">The observed elapsed duration of each home task and of each phase of the laboratory</w:t>
      </w:r>
      <w:r>
        <w:t xml:space="preserve"> </w:t>
      </w:r>
      <w:r>
        <w:t xml:space="preserve">sessions is shown in</w:t>
      </w:r>
      <w:r>
        <w:t xml:space="preserve"> </w:t>
      </w:r>
      <w:hyperlink w:anchor="fig-home-task-duration">
        <w:r>
          <w:rPr>
            <w:rStyle w:val="Hyperlink"/>
          </w:rPr>
          <w:t xml:space="preserve">Figure 4</w:t>
        </w:r>
      </w:hyperlink>
      <w:r>
        <w:t xml:space="preserve"> </w:t>
      </w:r>
      <w:r>
        <w:t xml:space="preserve">and</w:t>
      </w:r>
      <w:r>
        <w:t xml:space="preserve"> </w:t>
      </w:r>
      <w:hyperlink w:anchor="fig-lab-phase-duration">
        <w:r>
          <w:rPr>
            <w:rStyle w:val="Hyperlink"/>
          </w:rPr>
          <w:t xml:space="preserve">Figure 5</w:t>
        </w:r>
      </w:hyperlink>
      <w:r>
        <w:t xml:space="preserve">. These are</w:t>
      </w:r>
      <w:r>
        <w:t xml:space="preserve"> </w:t>
      </w:r>
      <w:r>
        <w:t xml:space="preserve">descriptive timing checks, not additional outcomes: home-task duration runs from the</w:t>
      </w:r>
      <w:r>
        <w:t xml:space="preserve"> </w:t>
      </w:r>
      <w:r>
        <w:t xml:space="preserve">first to the last Gorilla event for each participant and task, whereas lab-phase duration</w:t>
      </w:r>
      <w:r>
        <w:t xml:space="preserve"> </w:t>
      </w:r>
      <w:r>
        <w:t xml:space="preserve">uses the OpenSesame phase markers and the final event in a phase when the next phase was</w:t>
      </w:r>
      <w:r>
        <w:t xml:space="preserve"> </w:t>
      </w:r>
      <w:r>
        <w:t xml:space="preserve">recorded in a separate export.</w:t>
      </w:r>
      <w:r>
        <w:t xml:space="preserve"> </w:t>
      </w:r>
      <w:r>
        <w:t xml:space="preserve">The median home-task durations were 4.45 min for Stroop, 11.98 min for digit span and 36.94 min for ASRT in Session 1, and 3.71, 11.32 and 35.61 min, respectively, in Session 5. Median laboratory-phase durations (pretraining, training, test and experiment) were 4.21, 16.14, 9.93 and 47.49 min in Session 2; 1.57, 18.97, 7.18 and 52.54 min in Session 3; 16.73, 20.08 and 78.37 min for training, test and experiment in Session 4, where pretraining was not recorded; and 73.42 min for the experiment in Session 6, where the other phases were not recorded.</w:t>
      </w:r>
    </w:p>
    <w:bookmarkStart w:id="71" w:name="fig-home-task-duration"/>
    <w:p>
      <w:pPr>
        <w:pStyle w:val="FigureTitle"/>
      </w:pPr>
      <w:r>
        <w:t xml:space="preserve">Figure 4</w:t>
      </w:r>
    </w:p>
    <w:p>
      <w:pPr>
        <w:pStyle w:val="Caption"/>
      </w:pPr>
      <w:r>
        <w:t xml:space="preserve">Duration of the Home Cognitive Tasks by Session</w:t>
      </w:r>
    </w:p>
    <w:p>
      <w:pPr>
        <w:pStyle w:val="FigureWithNote"/>
      </w:pPr>
      <w:r>
        <w:drawing>
          <wp:inline>
            <wp:extent cx="5943600" cy="2377439"/>
            <wp:effectExtent b="0" l="0" r="0" t="0"/>
            <wp:docPr descr="" title="" id="69" name="Picture"/>
            <a:graphic>
              <a:graphicData uri="http://schemas.openxmlformats.org/drawingml/2006/picture">
                <pic:pic>
                  <pic:nvPicPr>
                    <pic:cNvPr descr="paper_1_morphosyntax_files/figure-docx/fig-home-task-duration-1.png" id="70" name="Picture"/>
                    <pic:cNvPicPr>
                      <a:picLocks noChangeArrowheads="1" noChangeAspect="1"/>
                    </pic:cNvPicPr>
                  </pic:nvPicPr>
                  <pic:blipFill>
                    <a:blip r:embed="rId68"/>
                    <a:stretch>
                      <a:fillRect/>
                    </a:stretch>
                  </pic:blipFill>
                  <pic:spPr bwMode="auto">
                    <a:xfrm>
                      <a:off x="0" y="0"/>
                      <a:ext cx="5943600" cy="2377439"/>
                    </a:xfrm>
                    <a:prstGeom prst="rect">
                      <a:avLst/>
                    </a:prstGeom>
                    <a:noFill/>
                    <a:ln w="9525">
                      <a:noFill/>
                      <a:headEnd/>
                      <a:tailEnd/>
                    </a:ln>
                  </pic:spPr>
                </pic:pic>
              </a:graphicData>
            </a:graphic>
          </wp:inline>
        </w:drawing>
      </w:r>
    </w:p>
    <w:bookmarkEnd w:id="71"/>
    <w:p>
      <w:pPr>
        <w:pStyle w:val="FigureNote"/>
      </w:pPr>
      <w:r>
        <w:rPr>
          <w:i/>
          <w:iCs/>
        </w:rPr>
        <w:t xml:space="preserve">Note</w:t>
      </w:r>
      <w:r>
        <w:t xml:space="preserve">. Points are participants, and each box summarises their durations for one task and session: the thick line is the median, the box spans the interquartile range, and the whiskers reach the most extreme duration within 1.5 times the interquartile range of the box, computed on the logarithmic scale of the vertical axis. Duration is the elapsed time from the first to the last raw Gorilla event, so it includes instructions, practice and test material when those events are present in the export. Session 1 is the baseline and Session 5 the post-training session. Durations longer than 100 min, each produced by a multi-hour idle gap in the export, lie beyond the top of the axis; a triangle marks them, with their number beside it, and they are included in the box statistics. Participants without a linked enrolled-participant key are excluded. ASRT = alternating serial reaction time.</w:t>
      </w:r>
    </w:p>
    <w:bookmarkStart w:id="75" w:name="fig-lab-phase-duration"/>
    <w:p>
      <w:pPr>
        <w:pStyle w:val="FigureTitle"/>
      </w:pPr>
      <w:r>
        <w:t xml:space="preserve">Figure 5</w:t>
      </w:r>
    </w:p>
    <w:p>
      <w:pPr>
        <w:pStyle w:val="Caption"/>
      </w:pPr>
      <w:r>
        <w:t xml:space="preserve">Duration of the Laboratory-Session Phases</w:t>
      </w:r>
    </w:p>
    <w:p>
      <w:pPr>
        <w:pStyle w:val="FigureWithNote"/>
      </w:pPr>
      <w:r>
        <w:drawing>
          <wp:inline>
            <wp:extent cx="5943600" cy="2377439"/>
            <wp:effectExtent b="0" l="0" r="0" t="0"/>
            <wp:docPr descr="" title="" id="73" name="Picture"/>
            <a:graphic>
              <a:graphicData uri="http://schemas.openxmlformats.org/drawingml/2006/picture">
                <pic:pic>
                  <pic:nvPicPr>
                    <pic:cNvPr descr="paper_1_morphosyntax_files/figure-docx/fig-lab-phase-duration-1.png" id="74" name="Picture"/>
                    <pic:cNvPicPr>
                      <a:picLocks noChangeArrowheads="1" noChangeAspect="1"/>
                    </pic:cNvPicPr>
                  </pic:nvPicPr>
                  <pic:blipFill>
                    <a:blip r:embed="rId72"/>
                    <a:stretch>
                      <a:fillRect/>
                    </a:stretch>
                  </pic:blipFill>
                  <pic:spPr bwMode="auto">
                    <a:xfrm>
                      <a:off x="0" y="0"/>
                      <a:ext cx="5943600" cy="2377439"/>
                    </a:xfrm>
                    <a:prstGeom prst="rect">
                      <a:avLst/>
                    </a:prstGeom>
                    <a:noFill/>
                    <a:ln w="9525">
                      <a:noFill/>
                      <a:headEnd/>
                      <a:tailEnd/>
                    </a:ln>
                  </pic:spPr>
                </pic:pic>
              </a:graphicData>
            </a:graphic>
          </wp:inline>
        </w:drawing>
      </w:r>
    </w:p>
    <w:bookmarkEnd w:id="75"/>
    <w:p>
      <w:pPr>
        <w:pStyle w:val="FigureNote"/>
      </w:pPr>
      <w:r>
        <w:rPr>
          <w:i/>
          <w:iCs/>
        </w:rPr>
        <w:t xml:space="preserve">Note</w:t>
      </w:r>
      <w:r>
        <w:t xml:space="preserve">. Points are participants, and each box summarises their durations for one phase and session: the thick line is the median, the box spans the interquartile range, and the whiskers reach the most extreme duration within 1.5 times the interquartile range of the box, computed on the logarithmic scale of the vertical axis. A phase runs from its recorded start marker to the next phase’s start marker or, when the next phase was exported separately, to the last event of the phase. Pretraining was not recorded at Session 4, and only the experiment phase was recorded at Session 6, so those sessions are absent from the other panels. Sessions 2, 3 and 4 are training sessions, one week apart, and Session 6 is the retention session, about four months after Session 4 without exposure. Sessions are equally spaced on the horizontal axis, which is therefore not proportional to elapsed time.</w:t>
      </w:r>
    </w:p>
    <w:p>
      <w:pPr>
        <w:pStyle w:val="BodyText"/>
      </w:pPr>
      <w:r>
        <w:t xml:space="preserve">For each retained trial, we computed the mean amplitude in three theoretically</w:t>
      </w:r>
      <w:r>
        <w:t xml:space="preserve"> </w:t>
      </w:r>
      <w:r>
        <w:t xml:space="preserve">motivated latency windows, 200–500 ms (the LAN/early-negativity range),</w:t>
      </w:r>
      <w:r>
        <w:t xml:space="preserve"> </w:t>
      </w:r>
      <w:r>
        <w:t xml:space="preserve">300–600 ms (the N400 range) and 400–900 ms (the P600 range), at lateral and</w:t>
      </w:r>
      <w:r>
        <w:t xml:space="preserve"> </w:t>
      </w:r>
      <w:r>
        <w:t xml:space="preserve">midline electrode macroregions. The windows are named by their nominal bounds</w:t>
      </w:r>
      <w:r>
        <w:t xml:space="preserve"> </w:t>
      </w:r>
      <w:r>
        <w:t xml:space="preserve">throughout. On the 2 ms acquisition grid, each is inclusive of samples up to</w:t>
      </w:r>
      <w:r>
        <w:t xml:space="preserve"> </w:t>
      </w:r>
      <w:r>
        <w:t xml:space="preserve">498, 598 and 898 ms respectively. That convention follows the validated import procedure</w:t>
      </w:r>
      <w:r>
        <w:t xml:space="preserve"> </w:t>
      </w:r>
      <w:r>
        <w:t xml:space="preserve">and is noted here so that the figures and the deposited code can be read against the prose. The lateral</w:t>
      </w:r>
      <w:r>
        <w:t xml:space="preserve"> </w:t>
      </w:r>
      <w:r>
        <w:t xml:space="preserve">region comprises six clusters, left- and right-hemisphere anterior, medial and posterior. The</w:t>
      </w:r>
      <w:r>
        <w:t xml:space="preserve"> </w:t>
      </w:r>
      <w:r>
        <w:t xml:space="preserve">midline region comprises three clusters centred on the midline. Those clusters are</w:t>
      </w:r>
      <w:r>
        <w:t xml:space="preserve"> </w:t>
      </w:r>
      <w:r>
        <w:t xml:space="preserve">parasagittal, so they are not strictly midline. Besides Fz, Cz, Pz and Oz they include the pairs</w:t>
      </w:r>
      <w:r>
        <w:t xml:space="preserve"> </w:t>
      </w:r>
      <w:r>
        <w:t xml:space="preserve">FC1/FC2 and CP1/CP2, which the cap places about a quarter of the head radius either</w:t>
      </w:r>
      <w:r>
        <w:t xml:space="preserve"> </w:t>
      </w:r>
      <w:r>
        <w:t xml:space="preserve">side of it. Because each pair is exactly symmetric, however, the cluster mean remains</w:t>
      </w:r>
      <w:r>
        <w:t xml:space="preserve"> </w:t>
      </w:r>
      <w:r>
        <w:t xml:space="preserve">centred on the midline and has no net hemispheric bias. Each trial’s amplitude in a</w:t>
      </w:r>
      <w:r>
        <w:t xml:space="preserve"> </w:t>
      </w:r>
      <w:r>
        <w:t xml:space="preserve">macroregion is the mean over its clusters, each cluster weighted equally whatever its</w:t>
      </w:r>
      <w:r>
        <w:t xml:space="preserve"> </w:t>
      </w:r>
      <w:r>
        <w:t xml:space="preserve">number of electrodes, so every trial contributes one observation per macroregion. Two further choices, the within-participant</w:t>
      </w:r>
      <w:r>
        <w:t xml:space="preserve"> </w:t>
      </w:r>
      <m:oMath>
        <m:r>
          <m:t>z</m:t>
        </m:r>
      </m:oMath>
      <w:r>
        <w:t xml:space="preserve">-scoring of</w:t>
      </w:r>
      <w:r>
        <w:t xml:space="preserve"> </w:t>
      </w:r>
      <w:r>
        <w:t xml:space="preserve">single-trial amplitudes and the treatment of each trial’s pre-stimulus mean amplitude</w:t>
      </w:r>
      <w:r>
        <w:t xml:space="preserve"> </w:t>
      </w:r>
      <w:r>
        <w:t xml:space="preserve">(</w:t>
      </w:r>
      <m:oMath>
        <m:r>
          <m:rPr>
            <m:sty m:val="p"/>
          </m:rPr>
          <m:t>−</m:t>
        </m:r>
        <m:r>
          <m:t>100</m:t>
        </m:r>
      </m:oMath>
      <w:r>
        <w:t xml:space="preserve"> </w:t>
      </w:r>
      <w:r>
        <w:t xml:space="preserve">to</w:t>
      </w:r>
      <w:r>
        <w:t xml:space="preserve"> </w:t>
      </w:r>
      <m:oMath>
        <m:r>
          <m:t>0</m:t>
        </m:r>
      </m:oMath>
      <w:r>
        <w:t xml:space="preserve"> </w:t>
      </w:r>
      <w:r>
        <w:t xml:space="preserve">ms) as a covariate instead of a subtracted baseline, are modelling</w:t>
      </w:r>
      <w:r>
        <w:t xml:space="preserve"> </w:t>
      </w:r>
      <w:r>
        <w:t xml:space="preserve">decisions and are set out under</w:t>
      </w:r>
      <w:r>
        <w:t xml:space="preserve"> </w:t>
      </w:r>
      <w:r>
        <w:rPr>
          <w:i/>
          <w:iCs/>
        </w:rPr>
        <w:t xml:space="preserve">Data analysis</w:t>
      </w:r>
      <w:r>
        <w:t xml:space="preserve">.</w:t>
      </w:r>
    </w:p>
    <w:bookmarkStart w:id="76" w:name="tbl-retention-trials"/>
    <w:p>
      <w:pPr>
        <w:pStyle w:val="FigureTitle"/>
      </w:pPr>
      <w:r>
        <w:t xml:space="preserve">Table 1</w:t>
      </w:r>
    </w:p>
    <w:p>
      <w:pPr>
        <w:pStyle w:val="Caption"/>
      </w:pPr>
      <w:r>
        <w:t xml:space="preserve">Mean Number of EEG Trials Retained per Participant and Condition, by Grammatical Property and Session</w:t>
      </w:r>
    </w:p>
    <w:tbl>
      <w:tblPr>
        <w:tblStyle w:val="Table"/>
        <w:tblW w:type="pct" w:w="3264"/>
        <w:tblLayout w:type="fixed"/>
        <w:tblLook w:firstRow="1" w:lastRow="0" w:firstColumn="0" w:lastColumn="0" w:noHBand="0" w:noVBand="0" w:val="0020"/>
      </w:tblPr>
      <w:tblGrid>
        <w:gridCol w:w="2090"/>
        <w:gridCol w:w="770"/>
        <w:gridCol w:w="770"/>
        <w:gridCol w:w="770"/>
        <w:gridCol w:w="770"/>
      </w:tblGrid>
      <w:tr>
        <w:trPr>
          <w:tblHeader w:val="on"/>
        </w:trPr>
        <w:tc>
          <w:tcPr/>
          <w:p>
            <w:pPr>
              <w:pStyle w:val="Compact"/>
            </w:pPr>
          </w:p>
        </w:tc>
        <w:tc>
          <w:tcPr>
            <w:gridSpan w:val="4"/>
          </w:tcPr>
          <w:p>
            <w:pPr>
              <w:pStyle w:val="Compact"/>
              <w:jc w:val="center"/>
            </w:pPr>
            <w:r>
              <w:t xml:space="preserve">Session</w:t>
            </w:r>
          </w:p>
        </w:tc>
      </w:tr>
      <w:tr>
        <w:trPr>
          <w:tblHeader w:val="on"/>
        </w:trPr>
        <w:tc>
          <w:tcPr/>
          <w:p>
            <w:pPr>
              <w:pStyle w:val="Compact"/>
              <w:jc w:val="left"/>
            </w:pPr>
            <w:r>
              <w:t xml:space="preserve">Condition</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6</w:t>
            </w:r>
          </w:p>
        </w:tc>
      </w:tr>
      <w:tr>
        <w:tc>
          <w:tcPr>
            <w:gridSpan w:val="5"/>
          </w:tcPr>
          <w:p>
            <w:pPr>
              <w:pStyle w:val="Compact"/>
              <w:jc w:val="left"/>
            </w:pPr>
            <w:r>
              <w:rPr>
                <w:i/>
                <w:iCs/>
              </w:rPr>
              <w:t xml:space="preserve">Gender agreement</w:t>
            </w:r>
          </w:p>
        </w:tc>
      </w:tr>
      <w:tr>
        <w:tc>
          <w:tcPr/>
          <w:p>
            <w:pPr>
              <w:pStyle w:val="Compact"/>
              <w:jc w:val="left"/>
            </w:pPr>
            <w:r>
              <w:t xml:space="preserve">   Grammatical</w:t>
            </w:r>
          </w:p>
        </w:tc>
        <w:tc>
          <w:tcPr/>
          <w:p>
            <w:pPr>
              <w:pStyle w:val="Compact"/>
              <w:jc w:val="center"/>
            </w:pPr>
            <w:r>
              <w:t xml:space="preserve">31.6</w:t>
            </w:r>
          </w:p>
        </w:tc>
        <w:tc>
          <w:tcPr/>
          <w:p>
            <w:pPr>
              <w:pStyle w:val="Compact"/>
              <w:jc w:val="center"/>
            </w:pPr>
            <w:r>
              <w:t xml:space="preserve">32.2</w:t>
            </w:r>
          </w:p>
        </w:tc>
        <w:tc>
          <w:tcPr/>
          <w:p>
            <w:pPr>
              <w:pStyle w:val="Compact"/>
              <w:jc w:val="center"/>
            </w:pPr>
            <w:r>
              <w:t xml:space="preserve">32.2</w:t>
            </w:r>
          </w:p>
        </w:tc>
        <w:tc>
          <w:tcPr/>
          <w:p>
            <w:pPr>
              <w:pStyle w:val="Compact"/>
              <w:jc w:val="center"/>
            </w:pPr>
            <w:r>
              <w:t xml:space="preserve">30.3</w:t>
            </w:r>
          </w:p>
        </w:tc>
      </w:tr>
      <w:tr>
        <w:tc>
          <w:tcPr/>
          <w:p>
            <w:pPr>
              <w:pStyle w:val="Compact"/>
              <w:jc w:val="left"/>
            </w:pPr>
            <w:r>
              <w:t xml:space="preserve">   Ungrammatical</w:t>
            </w:r>
          </w:p>
        </w:tc>
        <w:tc>
          <w:tcPr/>
          <w:p>
            <w:pPr>
              <w:pStyle w:val="Compact"/>
              <w:jc w:val="center"/>
            </w:pPr>
            <w:r>
              <w:t xml:space="preserve">30.7</w:t>
            </w:r>
          </w:p>
        </w:tc>
        <w:tc>
          <w:tcPr/>
          <w:p>
            <w:pPr>
              <w:pStyle w:val="Compact"/>
              <w:jc w:val="center"/>
            </w:pPr>
            <w:r>
              <w:t xml:space="preserve">31.9</w:t>
            </w:r>
          </w:p>
        </w:tc>
        <w:tc>
          <w:tcPr/>
          <w:p>
            <w:pPr>
              <w:pStyle w:val="Compact"/>
              <w:jc w:val="center"/>
            </w:pPr>
            <w:r>
              <w:t xml:space="preserve">31.6</w:t>
            </w:r>
          </w:p>
        </w:tc>
        <w:tc>
          <w:tcPr/>
          <w:p>
            <w:pPr>
              <w:pStyle w:val="Compact"/>
              <w:jc w:val="center"/>
            </w:pPr>
            <w:r>
              <w:t xml:space="preserve">30.9</w:t>
            </w:r>
          </w:p>
        </w:tc>
      </w:tr>
      <w:tr>
        <w:tc>
          <w:tcPr>
            <w:gridSpan w:val="5"/>
          </w:tcPr>
          <w:p>
            <w:pPr>
              <w:pStyle w:val="Compact"/>
              <w:jc w:val="left"/>
            </w:pPr>
            <w:r>
              <w:rPr>
                <w:i/>
                <w:iCs/>
              </w:rPr>
              <w:t xml:space="preserve">Differential object marking</w:t>
            </w:r>
          </w:p>
        </w:tc>
      </w:tr>
      <w:tr>
        <w:tc>
          <w:tcPr/>
          <w:p>
            <w:pPr>
              <w:pStyle w:val="Compact"/>
              <w:jc w:val="left"/>
            </w:pPr>
            <w:r>
              <w:t xml:space="preserve">   Grammatical</w:t>
            </w:r>
          </w:p>
        </w:tc>
        <w:tc>
          <w:tcPr/>
          <w:p>
            <w:pPr>
              <w:pStyle w:val="Compact"/>
            </w:pPr>
          </w:p>
        </w:tc>
        <w:tc>
          <w:tcPr/>
          <w:p>
            <w:pPr>
              <w:pStyle w:val="Compact"/>
              <w:jc w:val="center"/>
            </w:pPr>
            <w:r>
              <w:t xml:space="preserve">32.0</w:t>
            </w:r>
          </w:p>
        </w:tc>
        <w:tc>
          <w:tcPr/>
          <w:p>
            <w:pPr>
              <w:pStyle w:val="Compact"/>
              <w:jc w:val="center"/>
            </w:pPr>
            <w:r>
              <w:t xml:space="preserve">31.9</w:t>
            </w:r>
          </w:p>
        </w:tc>
        <w:tc>
          <w:tcPr/>
          <w:p>
            <w:pPr>
              <w:pStyle w:val="Compact"/>
              <w:jc w:val="center"/>
            </w:pPr>
            <w:r>
              <w:t xml:space="preserve">30.7</w:t>
            </w:r>
          </w:p>
        </w:tc>
      </w:tr>
      <w:tr>
        <w:tc>
          <w:tcPr/>
          <w:p>
            <w:pPr>
              <w:pStyle w:val="Compact"/>
              <w:jc w:val="left"/>
            </w:pPr>
            <w:r>
              <w:t xml:space="preserve">   Ungrammatical</w:t>
            </w:r>
          </w:p>
        </w:tc>
        <w:tc>
          <w:tcPr/>
          <w:p>
            <w:pPr>
              <w:pStyle w:val="Compact"/>
            </w:pPr>
          </w:p>
        </w:tc>
        <w:tc>
          <w:tcPr/>
          <w:p>
            <w:pPr>
              <w:pStyle w:val="Compact"/>
              <w:jc w:val="center"/>
            </w:pPr>
            <w:r>
              <w:t xml:space="preserve">30.8</w:t>
            </w:r>
          </w:p>
        </w:tc>
        <w:tc>
          <w:tcPr/>
          <w:p>
            <w:pPr>
              <w:pStyle w:val="Compact"/>
              <w:jc w:val="center"/>
            </w:pPr>
            <w:r>
              <w:t xml:space="preserve">31.7</w:t>
            </w:r>
          </w:p>
        </w:tc>
        <w:tc>
          <w:tcPr/>
          <w:p>
            <w:pPr>
              <w:pStyle w:val="Compact"/>
              <w:jc w:val="center"/>
            </w:pPr>
            <w:r>
              <w:t xml:space="preserve">31.5</w:t>
            </w:r>
          </w:p>
        </w:tc>
      </w:tr>
      <w:tr>
        <w:tc>
          <w:tcPr>
            <w:gridSpan w:val="5"/>
          </w:tcPr>
          <w:p>
            <w:pPr>
              <w:pStyle w:val="Compact"/>
              <w:jc w:val="left"/>
            </w:pPr>
            <w:r>
              <w:rPr>
                <w:i/>
                <w:iCs/>
              </w:rPr>
              <w:t xml:space="preserve">Verb–object number agreement</w:t>
            </w:r>
          </w:p>
        </w:tc>
      </w:tr>
      <w:tr>
        <w:tc>
          <w:tcPr/>
          <w:p>
            <w:pPr>
              <w:pStyle w:val="Compact"/>
              <w:jc w:val="left"/>
            </w:pPr>
            <w:r>
              <w:t xml:space="preserve">   Grammatical</w:t>
            </w:r>
          </w:p>
        </w:tc>
        <w:tc>
          <w:tcPr/>
          <w:p>
            <w:pPr>
              <w:pStyle w:val="Compact"/>
            </w:pPr>
          </w:p>
        </w:tc>
        <w:tc>
          <w:tcPr/>
          <w:p>
            <w:pPr>
              <w:pStyle w:val="Compact"/>
            </w:pPr>
          </w:p>
        </w:tc>
        <w:tc>
          <w:tcPr/>
          <w:p>
            <w:pPr>
              <w:pStyle w:val="Compact"/>
              <w:jc w:val="center"/>
            </w:pPr>
            <w:r>
              <w:t xml:space="preserve">31.7</w:t>
            </w:r>
          </w:p>
        </w:tc>
        <w:tc>
          <w:tcPr/>
          <w:p>
            <w:pPr>
              <w:pStyle w:val="Compact"/>
              <w:jc w:val="center"/>
            </w:pPr>
            <w:r>
              <w:t xml:space="preserve">30.8</w:t>
            </w:r>
          </w:p>
        </w:tc>
      </w:tr>
      <w:tr>
        <w:tc>
          <w:tcPr/>
          <w:p>
            <w:pPr>
              <w:pStyle w:val="Compact"/>
              <w:jc w:val="left"/>
            </w:pPr>
            <w:r>
              <w:t xml:space="preserve">   Ungrammatical</w:t>
            </w:r>
          </w:p>
        </w:tc>
        <w:tc>
          <w:tcPr/>
          <w:p>
            <w:pPr>
              <w:pStyle w:val="Compact"/>
            </w:pPr>
          </w:p>
        </w:tc>
        <w:tc>
          <w:tcPr/>
          <w:p>
            <w:pPr>
              <w:pStyle w:val="Compact"/>
            </w:pPr>
          </w:p>
        </w:tc>
        <w:tc>
          <w:tcPr/>
          <w:p>
            <w:pPr>
              <w:pStyle w:val="Compact"/>
              <w:jc w:val="center"/>
            </w:pPr>
            <w:r>
              <w:t xml:space="preserve">32.1</w:t>
            </w:r>
          </w:p>
        </w:tc>
        <w:tc>
          <w:tcPr/>
          <w:p>
            <w:pPr>
              <w:pStyle w:val="Compact"/>
              <w:jc w:val="center"/>
            </w:pPr>
            <w:r>
              <w:t xml:space="preserve">31.7</w:t>
            </w:r>
          </w:p>
        </w:tc>
      </w:tr>
    </w:tbl>
    <w:bookmarkEnd w:id="76"/>
    <w:p>
      <w:pPr>
        <w:pStyle w:val="FigureNote"/>
      </w:pPr>
      <w:r>
        <w:rPr>
          <w:i/>
          <w:iCs/>
        </w:rPr>
        <w:t xml:space="preserve">Note</w:t>
      </w:r>
      <w:r>
        <w:t xml:space="preserve">. Values are means over participants of the trials retained out of the 48 presented per condition, averaged over the two language groups. Rows are split by grammaticality because differential trial loss across the compared conditions can bias both amplitude and decodability. The two conditions are retained almost equally here (see text). A blank cell marks a session at which the property had not yet been introduced. The counts are those of the single-trial data the models were fitted to.</w:t>
      </w:r>
    </w:p>
    <w:bookmarkEnd w:id="77"/>
    <w:bookmarkStart w:id="78" w:name="grammaticality-judgement-task"/>
    <w:p>
      <w:pPr>
        <w:pStyle w:val="Heading2"/>
      </w:pPr>
      <w:r>
        <w:t xml:space="preserve">Grammaticality-judgement task</w:t>
      </w:r>
    </w:p>
    <w:p>
      <w:pPr>
        <w:pStyle w:val="FirstParagraph"/>
      </w:pPr>
      <w:r>
        <w:t xml:space="preserve">The grammaticality judgement was collected concurrently with the ERP recording. On</w:t>
      </w:r>
      <w:r>
        <w:t xml:space="preserve"> </w:t>
      </w:r>
      <w:r>
        <w:t xml:space="preserve">each experimental trial, participants judged whether the sentence was grammatical for</w:t>
      </w:r>
      <w:r>
        <w:t xml:space="preserve"> </w:t>
      </w:r>
      <w:r>
        <w:t xml:space="preserve">the property under test, so the trial-level accuracy (correct/incorrect) and the</w:t>
      </w:r>
      <w:r>
        <w:t xml:space="preserve"> </w:t>
      </w:r>
      <w:r>
        <w:t xml:space="preserve">single-trial ERP are two measures of the same event. The scored judgement is the sole behavioural measure, and it is analysed as</w:t>
      </w:r>
      <w:r>
        <w:t xml:space="preserve"> </w:t>
      </w:r>
      <w:r>
        <w:t xml:space="preserve">sensitivity and criterion (see</w:t>
      </w:r>
      <w:r>
        <w:t xml:space="preserve"> </w:t>
      </w:r>
      <w:r>
        <w:rPr>
          <w:i/>
          <w:iCs/>
        </w:rPr>
        <w:t xml:space="preserve">Data analysis</w:t>
      </w:r>
      <w:r>
        <w:t xml:space="preserve">). Rows that the presentation software</w:t>
      </w:r>
      <w:r>
        <w:t xml:space="preserve"> </w:t>
      </w:r>
      <w:r>
        <w:t xml:space="preserve">logged twice under one trial number (68, each a</w:t>
      </w:r>
      <w:r>
        <w:t xml:space="preserve"> </w:t>
      </w:r>
      <w:r>
        <w:t xml:space="preserve">re-logging of a file’s last trial when the session closed) were first reduced to one per</w:t>
      </w:r>
      <w:r>
        <w:t xml:space="preserve"> </w:t>
      </w:r>
      <w:r>
        <w:t xml:space="preserve">participant, session, property and trial. Every judgement was then analysed except the</w:t>
      </w:r>
      <w:r>
        <w:t xml:space="preserve"> </w:t>
      </w:r>
      <w:r>
        <w:t xml:space="preserve">three without a recorded response time, leaving 41,181</w:t>
      </w:r>
      <w:r>
        <w:t xml:space="preserve"> </w:t>
      </w:r>
      <w:r>
        <w:t xml:space="preserve">trials. Two features of the Session 4 logs removed further judgements. The runs of two participants were exported in two files whose names the extraction’s file pattern does not match, and the logs of two participants were exported with a semicolon delimiter that the comma-delimited reader cannot parse. Those participants contribute no Session 4 judgements and enter the models through their other sessions only. The project’s earlier preprocessing also discarded judgements of 200 ms or less or of 4,000 ms or more. That screen removes a further 8,159 trials (19.8%), and we do not apply it, for three reasons. Its bounds have no recorded rationale. It selects on the outcome. The judgement was requested only after the sentence had ended, so a response within 200 ms of the request was a decision already made, and these responses were the most accurate in the data (87.5% correct), whereas those of 4,000 ms or more were the least accurate (73.6%), against 78.6% for the judgements the screen keeps. And it does not fall on the two groups alike: it removes 22.9% of the Mini-English group’s judgements and 16.5% of the Mini-Norwegian group’s, mostly through the fast responses (11.9% against 6.9%). The Results report the accuracy models refitted with the screen as a sensitivity analysis. The</w:t>
      </w:r>
      <w:r>
        <w:t xml:space="preserve"> </w:t>
      </w:r>
      <w:r>
        <w:t xml:space="preserve">unlabelled filler sentences shown at Session 2 carry no property and fall outside the</w:t>
      </w:r>
      <w:r>
        <w:t xml:space="preserve"> </w:t>
      </w:r>
      <w:r>
        <w:t xml:space="preserve">modelled contrast. Every judgement sentence filled one of the sentence frames of its</w:t>
      </w:r>
      <w:r>
        <w:t xml:space="preserve"> </w:t>
      </w:r>
      <w:r>
        <w:t xml:space="preserve">property, which the presentation software marked with the same trigger code in the EEG,</w:t>
      </w:r>
      <w:r>
        <w:t xml:space="preserve"> </w:t>
      </w:r>
      <w:r>
        <w:t xml:space="preserve">so the judgement trials share the ERP models’ item factor (see</w:t>
      </w:r>
      <w:r>
        <w:t xml:space="preserve"> </w:t>
      </w:r>
      <w:r>
        <w:rPr>
          <w:i/>
          <w:iCs/>
        </w:rPr>
        <w:t xml:space="preserve">Data analysis</w:t>
      </w:r>
      <w:r>
        <w:t xml:space="preserve">).</w:t>
      </w:r>
    </w:p>
    <w:bookmarkEnd w:id="78"/>
    <w:bookmarkStart w:id="90" w:name="data-analysis"/>
    <w:p>
      <w:pPr>
        <w:pStyle w:val="Heading2"/>
      </w:pPr>
      <w:r>
        <w:t xml:space="preserve">Data analysis</w:t>
      </w:r>
    </w:p>
    <w:p>
      <w:pPr>
        <w:pStyle w:val="FirstParagraph"/>
      </w:pPr>
      <w:r>
        <w:t xml:space="preserve">All models were fitted in a fully Bayesian framework with</w:t>
      </w:r>
      <w:r>
        <w:t xml:space="preserve"> </w:t>
      </w:r>
      <w:r>
        <w:rPr>
          <w:rStyle w:val="VerbatimChar"/>
        </w:rPr>
        <w:t xml:space="preserve">brms</w:t>
      </w:r>
      <w:r>
        <w:t xml:space="preserve"> </w:t>
      </w:r>
      <w:r>
        <w:t xml:space="preserve">(</w:t>
      </w:r>
      <w:hyperlink w:anchor="ref-burkner2017">
        <w:r>
          <w:rPr>
            <w:rStyle w:val="Hyperlink"/>
          </w:rPr>
          <w:t xml:space="preserve">Bürkner, 2017</w:t>
        </w:r>
      </w:hyperlink>
      <w:r>
        <w:t xml:space="preserve">,</w:t>
      </w:r>
      <w:r>
        <w:t xml:space="preserve"> </w:t>
      </w:r>
      <w:hyperlink w:anchor="ref-burkner2018">
        <w:r>
          <w:rPr>
            <w:rStyle w:val="Hyperlink"/>
          </w:rPr>
          <w:t xml:space="preserve">2018</w:t>
        </w:r>
      </w:hyperlink>
      <w:r>
        <w:t xml:space="preserve">)</w:t>
      </w:r>
      <w:r>
        <w:t xml:space="preserve"> </w:t>
      </w:r>
      <w:r>
        <w:t xml:space="preserve">as a front end to the Stan No-U-Turn sampler</w:t>
      </w:r>
      <w:r>
        <w:t xml:space="preserve"> </w:t>
      </w:r>
      <w:r>
        <w:t xml:space="preserve">(</w:t>
      </w:r>
      <w:hyperlink w:anchor="ref-carpenter2017">
        <w:r>
          <w:rPr>
            <w:rStyle w:val="Hyperlink"/>
          </w:rPr>
          <w:t xml:space="preserve">Carpenter et al., 2017</w:t>
        </w:r>
      </w:hyperlink>
      <w:r>
        <w:t xml:space="preserve">)</w:t>
      </w:r>
      <w:r>
        <w:t xml:space="preserve">. A Bayesian</w:t>
      </w:r>
      <w:r>
        <w:t xml:space="preserve"> </w:t>
      </w:r>
      <w:r>
        <w:t xml:space="preserve">treatment is not incidental to the question here. The hypotheses concern the size and</w:t>
      </w:r>
      <w:r>
        <w:t xml:space="preserve"> </w:t>
      </w:r>
      <w:r>
        <w:t xml:space="preserve">direction of effects that are expected to be small. Several of the comparisons that</w:t>
      </w:r>
      <w:r>
        <w:t xml:space="preserve"> </w:t>
      </w:r>
      <w:r>
        <w:t xml:space="preserve">matter, such as whether a property’s language-conditioned effect grows across sessions, are naturally</w:t>
      </w:r>
      <w:r>
        <w:t xml:space="preserve"> </w:t>
      </w:r>
      <w:r>
        <w:t xml:space="preserve">expressed as statements about a posterior. Priors, sampler settings, diagnostics and</w:t>
      </w:r>
      <w:r>
        <w:t xml:space="preserve"> </w:t>
      </w:r>
      <w:r>
        <w:t xml:space="preserve">inference rules are set out in the sections that follow.</w:t>
      </w:r>
    </w:p>
    <w:p>
      <w:pPr>
        <w:pStyle w:val="BodyText"/>
      </w:pPr>
      <w:r>
        <w:t xml:space="preserve">The analysis and reporting code</w:t>
      </w:r>
      <w:r>
        <w:t xml:space="preserve"> </w:t>
      </w:r>
      <w:r>
        <w:t xml:space="preserve">was written with the assistance of Claude Code (version 2.1, Anthropic), running</w:t>
      </w:r>
      <w:r>
        <w:t xml:space="preserve"> </w:t>
      </w:r>
      <w:r>
        <w:t xml:space="preserve">primarily the Claude Opus and Claude Fable models, which drafted and revised scripts</w:t>
      </w:r>
      <w:r>
        <w:t xml:space="preserve"> </w:t>
      </w:r>
      <w:r>
        <w:t xml:space="preserve">under the authors’ direction and checked them against the method reported here. The</w:t>
      </w:r>
      <w:r>
        <w:t xml:space="preserve"> </w:t>
      </w:r>
      <w:r>
        <w:t xml:space="preserve">authors reviewed and ran every script, and the deposited code reproduces the analyses</w:t>
      </w:r>
      <w:r>
        <w:t xml:space="preserve"> </w:t>
      </w:r>
      <w:r>
        <w:t xml:space="preserve">without the tool.</w:t>
      </w:r>
    </w:p>
    <w:bookmarkStart w:id="79" w:name="predictor-coding-and-standardisation"/>
    <w:p>
      <w:pPr>
        <w:pStyle w:val="Heading3"/>
      </w:pPr>
      <w:r>
        <w:t xml:space="preserve">Predictor coding and standardisation</w:t>
      </w:r>
    </w:p>
    <w:p>
      <w:pPr>
        <w:pStyle w:val="FirstParagraph"/>
      </w:pPr>
      <w:r>
        <w:t xml:space="preserve">Every continuous predictor was</w:t>
      </w:r>
      <w:r>
        <w:t xml:space="preserve"> </w:t>
      </w:r>
      <m:oMath>
        <m:r>
          <m:t>z</m:t>
        </m:r>
      </m:oMath>
      <w:r>
        <w:t xml:space="preserve">-standardised and every dichotomous predictor</w:t>
      </w:r>
      <w:r>
        <w:t xml:space="preserve"> </w:t>
      </w:r>
      <w:r>
        <w:t xml:space="preserve">was</w:t>
      </w:r>
      <w:r>
        <w:t xml:space="preserve"> </w:t>
      </w:r>
      <m:oMath>
        <m:r>
          <m:rPr>
            <m:sty m:val="p"/>
          </m:rPr>
          <m:t>±</m:t>
        </m:r>
        <m:r>
          <m:t>0.5</m:t>
        </m:r>
      </m:oMath>
      <w:r>
        <w:t xml:space="preserve"> </w:t>
      </w:r>
      <w:r>
        <w:t xml:space="preserve">contrast coded before model fitting (the</w:t>
      </w:r>
      <w:r>
        <w:t xml:space="preserve"> </w:t>
      </w:r>
      <m:oMath>
        <m:r>
          <m:rPr>
            <m:sty m:val="p"/>
          </m:rPr>
          <m:t>±</m:t>
        </m:r>
        <m:r>
          <m:t>0.5</m:t>
        </m:r>
      </m:oMath>
      <w:r>
        <w:t xml:space="preserve"> </w:t>
      </w:r>
      <w:r>
        <w:t xml:space="preserve">codes are then</w:t>
      </w:r>
      <w:r>
        <w:t xml:space="preserve"> </w:t>
      </w:r>
      <m:oMath>
        <m:r>
          <m:t>z</m:t>
        </m:r>
      </m:oMath>
      <w:r>
        <w:t xml:space="preserve">-standardised with the other predictors, which preserves their sign). On this</w:t>
      </w:r>
      <w:r>
        <w:t xml:space="preserve"> </w:t>
      </w:r>
      <w:r>
        <w:t xml:space="preserve">common standardised scale, regression coefficients are directly comparable, and</w:t>
      </w:r>
      <w:r>
        <w:t xml:space="preserve"> </w:t>
      </w:r>
      <w:r>
        <w:t xml:space="preserve">lower-order terms in interactive models retain interpretable main-effect meanings</w:t>
      </w:r>
      <w:r>
        <w:t xml:space="preserve"> </w:t>
      </w:r>
      <w:r>
        <w:t xml:space="preserve">(</w:t>
      </w:r>
      <w:hyperlink w:anchor="ref-brauer2018">
        <w:r>
          <w:rPr>
            <w:rStyle w:val="Hyperlink"/>
          </w:rPr>
          <w:t xml:space="preserve">Brauer &amp; Curtin, 2018</w:t>
        </w:r>
      </w:hyperlink>
      <w:r>
        <w:t xml:space="preserve">;</w:t>
      </w:r>
      <w:r>
        <w:t xml:space="preserve"> </w:t>
      </w:r>
      <w:hyperlink w:anchor="ref-schielzeth2010">
        <w:r>
          <w:rPr>
            <w:rStyle w:val="Hyperlink"/>
          </w:rPr>
          <w:t xml:space="preserve">Schielzeth, 2010</w:t>
        </w:r>
      </w:hyperlink>
      <w:r>
        <w:t xml:space="preserve">)</w:t>
      </w:r>
      <w:r>
        <w:t xml:space="preserve">. Standardising the inputs is also what makes a prior</w:t>
      </w:r>
      <w:r>
        <w:t xml:space="preserve"> </w:t>
      </w:r>
      <w:r>
        <w:t xml:space="preserve">on a coefficient interpretable, because it fixes the scale that prior is placed on</w:t>
      </w:r>
      <w:r>
        <w:t xml:space="preserve"> </w:t>
      </w:r>
      <w:r>
        <w:t xml:space="preserve">(</w:t>
      </w:r>
      <w:hyperlink w:anchor="ref-gelman2008">
        <w:r>
          <w:rPr>
            <w:rStyle w:val="Hyperlink"/>
          </w:rPr>
          <w:t xml:space="preserve">Gelman et al., 2008</w:t>
        </w:r>
      </w:hyperlink>
      <w:r>
        <w:t xml:space="preserve">)</w:t>
      </w:r>
      <w:r>
        <w:t xml:space="preserve">. Session was recoded to consecutive integers in the order the four</w:t>
      </w:r>
      <w:r>
        <w:t xml:space="preserve"> </w:t>
      </w:r>
      <w:r>
        <w:t xml:space="preserve">sessions occurred, Sessions 2, 3, 4 and 6 becoming 0–3, and then</w:t>
      </w:r>
      <w:r>
        <w:t xml:space="preserve"> </w:t>
      </w:r>
      <m:oMath>
        <m:r>
          <m:t>z</m:t>
        </m:r>
      </m:oMath>
      <w:r>
        <w:t xml:space="preserve">-standardised</w:t>
      </w:r>
      <w:r>
        <w:t xml:space="preserve"> </w:t>
      </w:r>
      <w:r>
        <w:t xml:space="preserve">(within property for the accuracy models, whose properties span different session</w:t>
      </w:r>
      <w:r>
        <w:t xml:space="preserve"> </w:t>
      </w:r>
      <w:r>
        <w:t xml:space="preserve">ranges). The change in an effect between any two measured sessions,</w:t>
      </w:r>
      <w:r>
        <w:t xml:space="preserve"> </w:t>
      </w:r>
      <w:r>
        <w:t xml:space="preserve">including across the retention interval, is then a single linear combination of the</w:t>
      </w:r>
      <w:r>
        <w:t xml:space="preserve"> </w:t>
      </w:r>
      <w:r>
        <w:t xml:space="preserve">posterior draws. Besides grammaticality (grammatical</w:t>
      </w:r>
      <w:r>
        <w:t xml:space="preserve"> </w:t>
      </w:r>
      <m:oMath>
        <m:r>
          <m:rPr>
            <m:sty m:val="p"/>
          </m:rPr>
          <m:t>=</m:t>
        </m:r>
        <m:r>
          <m:rPr>
            <m:sty m:val="p"/>
          </m:rPr>
          <m:t>+</m:t>
        </m:r>
        <m:r>
          <m:t>0.5</m:t>
        </m:r>
      </m:oMath>
      <w:r>
        <w:t xml:space="preserve">) and language</w:t>
      </w:r>
      <w:r>
        <w:t xml:space="preserve"> </w:t>
      </w:r>
      <w:r>
        <w:t xml:space="preserve">(Mini-Norwegian</w:t>
      </w:r>
      <w:r>
        <w:t xml:space="preserve"> </w:t>
      </w:r>
      <m:oMath>
        <m:r>
          <m:rPr>
            <m:sty m:val="p"/>
          </m:rPr>
          <m:t>=</m:t>
        </m:r>
        <m:r>
          <m:rPr>
            <m:sty m:val="p"/>
          </m:rPr>
          <m:t>+</m:t>
        </m:r>
        <m:r>
          <m:t>0.5</m:t>
        </m:r>
      </m:oMath>
      <w:r>
        <w:t xml:space="preserve">), stated with the design, the models carry no topographic</w:t>
      </w:r>
      <w:r>
        <w:t xml:space="preserve"> </w:t>
      </w:r>
      <w:r>
        <w:t xml:space="preserve">predictors, because each trial enters once per macroregion (see</w:t>
      </w:r>
      <w:r>
        <w:t xml:space="preserve"> </w:t>
      </w:r>
      <w:r>
        <w:rPr>
          <w:i/>
          <w:iCs/>
        </w:rPr>
        <w:t xml:space="preserve">Model structure</w:t>
      </w:r>
      <w:r>
        <w:t xml:space="preserve">).</w:t>
      </w:r>
    </w:p>
    <w:p>
      <w:pPr>
        <w:pStyle w:val="BodyText"/>
      </w:pPr>
      <w:r>
        <w:t xml:space="preserve">One further covariate enters the ERP models. It is the L1 Dominance Score, the</w:t>
      </w:r>
      <w:r>
        <w:t xml:space="preserve"> </w:t>
      </w:r>
      <w:r>
        <w:t xml:space="preserve">per-participant derived score of that name in the Language History Questionnaire’s</w:t>
      </w:r>
      <w:r>
        <w:t xml:space="preserve"> </w:t>
      </w:r>
      <w:r>
        <w:t xml:space="preserve">Aggregate Scores export</w:t>
      </w:r>
      <w:r>
        <w:t xml:space="preserve"> </w:t>
      </w:r>
      <w:r>
        <w:t xml:space="preserve">(LHQ3:</w:t>
      </w:r>
      <w:r>
        <w:t xml:space="preserve"> </w:t>
      </w:r>
      <w:hyperlink w:anchor="ref-lhq3">
        <w:r>
          <w:rPr>
            <w:rStyle w:val="Hyperlink"/>
          </w:rPr>
          <w:t xml:space="preserve">Li et al., 2020</w:t>
        </w:r>
      </w:hyperlink>
      <w:r>
        <w:t xml:space="preserve">)</w:t>
      </w:r>
      <w:r>
        <w:t xml:space="preserve">, read from that export and</w:t>
      </w:r>
      <w:r>
        <w:t xml:space="preserve"> </w:t>
      </w:r>
      <m:oMath>
        <m:r>
          <m:t>z</m:t>
        </m:r>
      </m:oMath>
      <w:r>
        <w:t xml:space="preserve">-standardised with the</w:t>
      </w:r>
      <w:r>
        <w:t xml:space="preserve"> </w:t>
      </w:r>
      <w:r>
        <w:t xml:space="preserve">other continuous predictors. It indexes how far the first language dominates the</w:t>
      </w:r>
      <w:r>
        <w:t xml:space="preserve"> </w:t>
      </w:r>
      <w:r>
        <w:t xml:space="preserve">participant’s repertoire, and it is carried in the ERP models as a control for prior</w:t>
      </w:r>
      <w:r>
        <w:t xml:space="preserve"> </w:t>
      </w:r>
      <w:r>
        <w:t xml:space="preserve">language experience. In the extraction code, the variable carries the name of the</w:t>
      </w:r>
      <w:r>
        <w:t xml:space="preserve"> </w:t>
      </w:r>
      <w:r>
        <w:t xml:space="preserve">multilingual language diversity score, a legacy of an earlier version of the export in which</w:t>
      </w:r>
      <w:r>
        <w:t xml:space="preserve"> </w:t>
      </w:r>
      <w:r>
        <w:t xml:space="preserve">the two scores sat in different columns, so the label and the quantity modelled differ. The</w:t>
      </w:r>
      <w:r>
        <w:t xml:space="preserve"> </w:t>
      </w:r>
      <w:r>
        <w:t xml:space="preserve">models use the score described here. One participant had no questionnaire record. Because the score</w:t>
      </w:r>
      <w:r>
        <w:t xml:space="preserve"> </w:t>
      </w:r>
      <w:r>
        <w:t xml:space="preserve">serves only as a control, that participant was given the mean of the other participants’</w:t>
      </w:r>
      <w:r>
        <w:t xml:space="preserve"> </w:t>
      </w:r>
      <w:r>
        <w:t xml:space="preserve">scores (zero after standardisation), so that none of their trials was lost to the missing</w:t>
      </w:r>
      <w:r>
        <w:t xml:space="preserve"> </w:t>
      </w:r>
      <w:r>
        <w:t xml:space="preserve">covariate. Because single-trial amplitudes are</w:t>
      </w:r>
      <w:r>
        <w:t xml:space="preserve"> </w:t>
      </w:r>
      <m:oMath>
        <m:r>
          <m:t>z</m:t>
        </m:r>
      </m:oMath>
      <w:r>
        <w:t xml:space="preserve">-scored within participant (below), this</w:t>
      </w:r>
      <w:r>
        <w:t xml:space="preserve"> </w:t>
      </w:r>
      <w:r>
        <w:t xml:space="preserve">between-participant score, like the language main effect, is identified only through the</w:t>
      </w:r>
      <w:r>
        <w:t xml:space="preserve"> </w:t>
      </w:r>
      <w:r>
        <w:t xml:space="preserve">imbalance of trials across each participant’s conditions and sessions, and because it</w:t>
      </w:r>
      <w:r>
        <w:t xml:space="preserve"> </w:t>
      </w:r>
      <w:r>
        <w:t xml:space="preserve">enters no interaction it adjusts none of the grammaticality effects we interpret. The</w:t>
      </w:r>
      <w:r>
        <w:t xml:space="preserve"> </w:t>
      </w:r>
      <w:r>
        <w:t xml:space="preserve">covariate is not carried into the accuracy models. That asymmetry has no justification, and</w:t>
      </w:r>
      <w:r>
        <w:t xml:space="preserve"> </w:t>
      </w:r>
      <w:r>
        <w:t xml:space="preserve">we return to it in the Limitations.</w:t>
      </w:r>
    </w:p>
    <w:p>
      <w:pPr>
        <w:pStyle w:val="BodyText"/>
      </w:pPr>
      <w:r>
        <w:t xml:space="preserve">The response side has two standardisation decisions of its own. Single-trial</w:t>
      </w:r>
      <w:r>
        <w:t xml:space="preserve"> </w:t>
      </w:r>
      <w:r>
        <w:t xml:space="preserve">amplitudes were</w:t>
      </w:r>
      <w:r>
        <w:t xml:space="preserve"> </w:t>
      </w:r>
      <m:oMath>
        <m:r>
          <m:t>z</m:t>
        </m:r>
      </m:oMath>
      <w:r>
        <w:t xml:space="preserve">-scored within participant. The reasoning is the one</w:t>
      </w:r>
      <w:r>
        <w:t xml:space="preserve"> </w:t>
      </w:r>
      <w:r>
        <w:t xml:space="preserve">Faust et al. (</w:t>
      </w:r>
      <w:hyperlink w:anchor="ref-faust1999">
        <w:r>
          <w:rPr>
            <w:rStyle w:val="Hyperlink"/>
          </w:rPr>
          <w:t xml:space="preserve">1999</w:t>
        </w:r>
      </w:hyperlink>
      <w:r>
        <w:t xml:space="preserve">)</w:t>
      </w:r>
      <w:r>
        <w:t xml:space="preserve"> </w:t>
      </w:r>
      <w:r>
        <w:t xml:space="preserve">set out for response latencies. When individuals differ in the overall scale of a</w:t>
      </w:r>
      <w:r>
        <w:t xml:space="preserve"> </w:t>
      </w:r>
      <w:r>
        <w:t xml:space="preserve">measure, and those differences are roughly linear, a group whose scale is larger</w:t>
      </w:r>
      <w:r>
        <w:t xml:space="preserve"> </w:t>
      </w:r>
      <w:r>
        <w:t xml:space="preserve">will show a larger raw treatment effect, and the resulting overadditive interaction</w:t>
      </w:r>
      <w:r>
        <w:t xml:space="preserve"> </w:t>
      </w:r>
      <w:r>
        <w:t xml:space="preserve">is an artefact of scale. They recommend a within-individual</w:t>
      </w:r>
      <w:r>
        <w:t xml:space="preserve"> </w:t>
      </w:r>
      <m:oMath>
        <m:r>
          <m:t>z</m:t>
        </m:r>
      </m:oMath>
      <w:r>
        <w:t xml:space="preserve"> </w:t>
      </w:r>
      <w:r>
        <w:t xml:space="preserve">transformation as</w:t>
      </w:r>
      <w:r>
        <w:t xml:space="preserve"> </w:t>
      </w:r>
      <w:r>
        <w:t xml:space="preserve">the remedy. Single-trial ERP amplitude has the same property, and the risk applies</w:t>
      </w:r>
      <w:r>
        <w:t xml:space="preserve"> </w:t>
      </w:r>
      <w:r>
        <w:t xml:space="preserve">directly here because the language contrast is between participants, so a scale</w:t>
      </w:r>
      <w:r>
        <w:t xml:space="preserve"> </w:t>
      </w:r>
      <w:r>
        <w:t xml:space="preserve">difference between the two groups could otherwise present as a grammaticality</w:t>
      </w:r>
      <w:r>
        <w:t xml:space="preserve"> </w:t>
      </w:r>
      <m:oMath>
        <m:r>
          <m:rPr>
            <m:sty m:val="p"/>
          </m:rPr>
          <m:t>×</m:t>
        </m:r>
      </m:oMath>
      <w:r>
        <w:t xml:space="preserve"> </w:t>
      </w:r>
      <w:r>
        <w:t xml:space="preserve">language interaction.</w:t>
      </w:r>
      <w:r>
        <w:t xml:space="preserve"> </w:t>
      </w:r>
      <w:r>
        <w:t xml:space="preserve">We also entered the trial’s own</w:t>
      </w:r>
      <w:r>
        <w:t xml:space="preserve"> </w:t>
      </w:r>
      <w:r>
        <w:t xml:space="preserve">pre-stimulus mean amplitude (</w:t>
      </w:r>
      <m:oMath>
        <m:r>
          <m:rPr>
            <m:sty m:val="p"/>
          </m:rPr>
          <m:t>−</m:t>
        </m:r>
        <m:r>
          <m:t>100</m:t>
        </m:r>
      </m:oMath>
      <w:r>
        <w:t xml:space="preserve"> </w:t>
      </w:r>
      <w:r>
        <w:t xml:space="preserve">to</w:t>
      </w:r>
      <w:r>
        <w:t xml:space="preserve"> </w:t>
      </w:r>
      <m:oMath>
        <m:r>
          <m:t>0</m:t>
        </m:r>
      </m:oMath>
      <w:r>
        <w:t xml:space="preserve"> </w:t>
      </w:r>
      <w:r>
        <w:t xml:space="preserve">ms) as a within-participant</w:t>
      </w:r>
      <w:r>
        <w:t xml:space="preserve"> </w:t>
      </w:r>
      <m:oMath>
        <m:r>
          <m:t>z</m:t>
        </m:r>
      </m:oMath>
      <w:r>
        <w:t xml:space="preserve">-scored</w:t>
      </w:r>
      <w:r>
        <w:t xml:space="preserve"> </w:t>
      </w:r>
      <w:r>
        <w:t xml:space="preserve">covariate. Subtraction of a baseline is the special case of this model in which the</w:t>
      </w:r>
      <w:r>
        <w:t xml:space="preserve"> </w:t>
      </w:r>
      <w:r>
        <w:t xml:space="preserve">baseline coefficient is fixed at one. Estimating that coefficient lets the model absorb</w:t>
      </w:r>
      <w:r>
        <w:t xml:space="preserve"> </w:t>
      </w:r>
      <w:r>
        <w:t xml:space="preserve">baseline variance that subtraction would leave in the residual, which</w:t>
      </w:r>
      <w:r>
        <w:t xml:space="preserve"> </w:t>
      </w:r>
      <w:r>
        <w:t xml:space="preserve">Alday (</w:t>
      </w:r>
      <w:hyperlink w:anchor="ref-alday2019">
        <w:r>
          <w:rPr>
            <w:rStyle w:val="Hyperlink"/>
          </w:rPr>
          <w:t xml:space="preserve">2019</w:t>
        </w:r>
      </w:hyperlink>
      <w:r>
        <w:t xml:space="preserve">)</w:t>
      </w:r>
      <w:r>
        <w:t xml:space="preserve"> </w:t>
      </w:r>
      <w:r>
        <w:t xml:space="preserve">shows can raise power. It also avoids the assumption subtraction requires, that conditions</w:t>
      </w:r>
      <w:r>
        <w:t xml:space="preserve"> </w:t>
      </w:r>
      <w:r>
        <w:t xml:space="preserve">do not differ systematically during the baseline interval.</w:t>
      </w:r>
    </w:p>
    <w:bookmarkEnd w:id="79"/>
    <w:bookmarkStart w:id="80" w:name="model-structure"/>
    <w:p>
      <w:pPr>
        <w:pStyle w:val="Heading3"/>
      </w:pPr>
      <w:r>
        <w:t xml:space="preserve">Model structure</w:t>
      </w:r>
    </w:p>
    <w:p>
      <w:pPr>
        <w:pStyle w:val="FirstParagraph"/>
      </w:pPr>
      <w:r>
        <w:t xml:space="preserve">For each ERP cell (property</w:t>
      </w:r>
      <w:r>
        <w:t xml:space="preserve"> </w:t>
      </w:r>
      <m:oMath>
        <m:r>
          <m:rPr>
            <m:sty m:val="p"/>
          </m:rPr>
          <m:t>×</m:t>
        </m:r>
      </m:oMath>
      <w:r>
        <w:t xml:space="preserve"> </w:t>
      </w:r>
      <w:r>
        <w:t xml:space="preserve">window</w:t>
      </w:r>
      <w:r>
        <w:t xml:space="preserve"> </w:t>
      </w:r>
      <m:oMath>
        <m:r>
          <m:rPr>
            <m:sty m:val="p"/>
          </m:rPr>
          <m:t>×</m:t>
        </m:r>
      </m:oMath>
      <w:r>
        <w:t xml:space="preserve"> </w:t>
      </w:r>
      <w:r>
        <w:t xml:space="preserve">macroregion), we fitted a</w:t>
      </w:r>
      <w:r>
        <w:t xml:space="preserve"> </w:t>
      </w:r>
      <w:r>
        <w:t xml:space="preserve">Gaussian model of single-trial mean amplitude:</w:t>
      </w:r>
    </w:p>
    <w:p>
      <w:pPr>
        <w:pStyle w:val="BodyText"/>
      </w:pPr>
      <m:oMathPara>
        <m:oMathParaPr>
          <m:jc m:val="center"/>
        </m:oMathParaPr>
        <m:oMath>
          <m:eqArr>
            <m:e>
              <m:r>
                <m:rPr>
                  <m:nor/>
                  <m:sty m:val="p"/>
                </m:rPr>
                <m:t>amplitude</m:t>
              </m:r>
              <m:r>
                <m:rPr>
                  <m:sty m:val="p"/>
                </m:rPr>
                <m:t>∼</m:t>
              </m:r>
              <m:r>
                <m:t> </m:t>
              </m:r>
              <m:r>
                <m:t>&amp;</m:t>
              </m:r>
              <m:r>
                <m:rPr>
                  <m:nor/>
                  <m:sty m:val="p"/>
                </m:rPr>
                <m:t>baseline</m:t>
              </m:r>
              <m:r>
                <m:rPr>
                  <m:sty m:val="p"/>
                </m:rPr>
                <m:t>+</m:t>
              </m:r>
              <m:r>
                <m:rPr>
                  <m:nor/>
                  <m:sty m:val="p"/>
                </m:rPr>
                <m:t>Gram</m:t>
              </m:r>
              <m:r>
                <m:rPr>
                  <m:sty m:val="p"/>
                </m:rPr>
                <m:t>×</m:t>
              </m:r>
              <m:r>
                <m:rPr>
                  <m:nor/>
                  <m:sty m:val="p"/>
                </m:rPr>
                <m:t>Session</m:t>
              </m:r>
              <m:r>
                <m:rPr>
                  <m:sty m:val="p"/>
                </m:rPr>
                <m:t>×</m:t>
              </m:r>
              <m:r>
                <m:rPr>
                  <m:nor/>
                  <m:sty m:val="p"/>
                </m:rPr>
                <m:t>Language</m:t>
              </m:r>
              <m:r>
                <m:rPr>
                  <m:sty m:val="p"/>
                </m:rPr>
                <m:t>+</m:t>
              </m:r>
              <m:r>
                <m:rPr>
                  <m:nor/>
                  <m:sty m:val="p"/>
                </m:rPr>
                <m:t>L1 dominance</m:t>
              </m:r>
            </m:e>
            <m:e>
              <m:r>
                <m:t>&amp;</m:t>
              </m:r>
              <m:r>
                <m:rPr>
                  <m:sty m:val="p"/>
                </m:rPr>
                <m:t>+</m:t>
              </m:r>
              <m:r>
                <m:rPr>
                  <m:sty m:val="p"/>
                </m:rPr>
                <m:t>(</m:t>
              </m:r>
              <m:r>
                <m:t>1</m:t>
              </m:r>
              <m:r>
                <m:rPr>
                  <m:sty m:val="p"/>
                </m:rPr>
                <m:t>+</m:t>
              </m:r>
              <m:r>
                <m:rPr>
                  <m:nor/>
                  <m:sty m:val="p"/>
                </m:rPr>
                <m:t>Gram</m:t>
              </m:r>
              <m:r>
                <m:rPr>
                  <m:sty m:val="p"/>
                </m:rPr>
                <m:t>×</m:t>
              </m:r>
              <m:r>
                <m:rPr>
                  <m:nor/>
                  <m:sty m:val="p"/>
                </m:rPr>
                <m:t>Session</m:t>
              </m:r>
              <m:r>
                <m:rPr>
                  <m:sty m:val="p"/>
                </m:rPr>
                <m:t>∣</m:t>
              </m:r>
              <m:r>
                <m:rPr>
                  <m:nor/>
                  <m:sty m:val="p"/>
                </m:rPr>
                <m:t>participant</m:t>
              </m:r>
              <m:r>
                <m:rPr>
                  <m:sty m:val="p"/>
                </m:rPr>
                <m:t>)</m:t>
              </m:r>
              <m:r>
                <m:rPr>
                  <m:sty m:val="p"/>
                </m:rPr>
                <m:t>+</m:t>
              </m:r>
              <m:r>
                <m:rPr>
                  <m:sty m:val="p"/>
                </m:rPr>
                <m:t>(</m:t>
              </m:r>
              <m:r>
                <m:t>1</m:t>
              </m:r>
              <m:r>
                <m:rPr>
                  <m:sty m:val="p"/>
                </m:rPr>
                <m:t>+</m:t>
              </m:r>
              <m:r>
                <m:rPr>
                  <m:nor/>
                  <m:sty m:val="p"/>
                </m:rPr>
                <m:t>Gram</m:t>
              </m:r>
              <m:r>
                <m:rPr>
                  <m:sty m:val="p"/>
                </m:rPr>
                <m:t>+</m:t>
              </m:r>
              <m:r>
                <m:rPr>
                  <m:nor/>
                  <m:sty m:val="p"/>
                </m:rPr>
                <m:t>Session</m:t>
              </m:r>
              <m:r>
                <m:rPr>
                  <m:sty m:val="p"/>
                </m:rPr>
                <m:t>∣</m:t>
              </m:r>
              <m:r>
                <m:rPr>
                  <m:nor/>
                  <m:sty m:val="p"/>
                </m:rPr>
                <m:t>item</m:t>
              </m:r>
              <m:r>
                <m:rPr>
                  <m:sty m:val="p"/>
                </m:rPr>
                <m:t>)</m:t>
              </m:r>
              <m:r>
                <m:rPr>
                  <m:sty m:val="p"/>
                </m:rPr>
                <m:t>.</m:t>
              </m:r>
            </m:e>
          </m:eqArr>
        </m:oMath>
      </m:oMathPara>
    </w:p>
    <w:p>
      <w:pPr>
        <w:pStyle w:val="FirstParagraph"/>
      </w:pPr>
      <w:r>
        <w:t xml:space="preserve">Each trial enters once per model. The electrode clusters of a macroregion record the same</w:t>
      </w:r>
      <w:r>
        <w:t xml:space="preserve"> </w:t>
      </w:r>
      <w:r>
        <w:t xml:space="preserve">trial, and their amplitudes are correlated (between .45 and .64 in these data), so entering</w:t>
      </w:r>
      <w:r>
        <w:t xml:space="preserve"> </w:t>
      </w:r>
      <w:r>
        <w:t xml:space="preserve">them as separate rows would treat one trial as several independent observations. That</w:t>
      </w:r>
      <w:r>
        <w:t xml:space="preserve"> </w:t>
      </w:r>
      <w:r>
        <w:t xml:space="preserve">pseudoreplication</w:t>
      </w:r>
      <w:r>
        <w:t xml:space="preserve"> </w:t>
      </w:r>
      <w:r>
        <w:t xml:space="preserve">(</w:t>
      </w:r>
      <w:hyperlink w:anchor="ref-lazic2010">
        <w:r>
          <w:rPr>
            <w:rStyle w:val="Hyperlink"/>
          </w:rPr>
          <w:t xml:space="preserve">Lazic, 2010</w:t>
        </w:r>
      </w:hyperlink>
      <w:r>
        <w:t xml:space="preserve">)</w:t>
      </w:r>
      <w:r>
        <w:t xml:space="preserve"> </w:t>
      </w:r>
      <w:r>
        <w:t xml:space="preserve">narrows the intervals of every trial-level term, and here it</w:t>
      </w:r>
      <w:r>
        <w:t xml:space="preserve"> </w:t>
      </w:r>
      <w:r>
        <w:t xml:space="preserve">narrowed those of the grammaticality</w:t>
      </w:r>
      <w:r>
        <w:t xml:space="preserve"> </w:t>
      </w:r>
      <m:oMath>
        <m:r>
          <m:rPr>
            <m:sty m:val="p"/>
          </m:rPr>
          <m:t>×</m:t>
        </m:r>
      </m:oMath>
      <w:r>
        <w:t xml:space="preserve"> </w:t>
      </w:r>
      <w:r>
        <w:t xml:space="preserve">session interaction and its interaction with</w:t>
      </w:r>
      <w:r>
        <w:t xml:space="preserve"> </w:t>
      </w:r>
      <w:r>
        <w:t xml:space="preserve">language by a factor of 1.4 to 2.0. Averaging the clusters within each trial removes it, and</w:t>
      </w:r>
      <w:r>
        <w:t xml:space="preserve"> </w:t>
      </w:r>
      <w:r>
        <w:t xml:space="preserve">the scalp distribution of the effects is described separately (see</w:t>
      </w:r>
      <w:r>
        <w:t xml:space="preserve"> </w:t>
      </w:r>
      <w:r>
        <w:rPr>
          <w:i/>
          <w:iCs/>
        </w:rPr>
        <w:t xml:space="preserve">Topography</w:t>
      </w:r>
      <w:r>
        <w:t xml:space="preserve">).</w:t>
      </w:r>
    </w:p>
    <w:p>
      <w:pPr>
        <w:pStyle w:val="BodyText"/>
      </w:pPr>
      <w:r>
        <w:t xml:space="preserve">For each property, we fitted a Bernoulli (logit-link) model of judgement accuracy</w:t>
      </w:r>
      <w:r>
        <w:t xml:space="preserve"> </w:t>
      </w:r>
      <w:r>
        <w:t xml:space="preserve">(</w:t>
      </w:r>
      <w:hyperlink w:anchor="ref-dixon2008">
        <w:r>
          <w:rPr>
            <w:rStyle w:val="Hyperlink"/>
          </w:rPr>
          <w:t xml:space="preserve">Dixon, 2008</w:t>
        </w:r>
      </w:hyperlink>
      <w:r>
        <w:t xml:space="preserve">;</w:t>
      </w:r>
      <w:r>
        <w:t xml:space="preserve"> </w:t>
      </w:r>
      <w:hyperlink w:anchor="ref-jaeger2008">
        <w:r>
          <w:rPr>
            <w:rStyle w:val="Hyperlink"/>
          </w:rPr>
          <w:t xml:space="preserve">Jaeger, 2008</w:t>
        </w:r>
      </w:hyperlink>
      <w:r>
        <w:t xml:space="preserve">)</w:t>
      </w:r>
      <w:r>
        <w:t xml:space="preserve">:</w:t>
      </w:r>
    </w:p>
    <w:p>
      <w:pPr>
        <w:pStyle w:val="BodyText"/>
      </w:pPr>
      <m:oMathPara>
        <m:oMathParaPr>
          <m:jc m:val="center"/>
        </m:oMathParaPr>
        <m:oMath>
          <m:r>
            <m:rPr>
              <m:nor/>
              <m:sty m:val="p"/>
            </m:rPr>
            <m:t>correct</m:t>
          </m:r>
          <m:r>
            <m:rPr>
              <m:sty m:val="p"/>
            </m:rPr>
            <m:t>∼</m:t>
          </m:r>
          <m:r>
            <m:rPr>
              <m:nor/>
              <m:sty m:val="p"/>
            </m:rPr>
            <m:t>Gram</m:t>
          </m:r>
          <m:r>
            <m:rPr>
              <m:sty m:val="p"/>
            </m:rPr>
            <m:t>×</m:t>
          </m:r>
          <m:r>
            <m:rPr>
              <m:nor/>
              <m:sty m:val="p"/>
            </m:rPr>
            <m:t>Session</m:t>
          </m:r>
          <m:r>
            <m:rPr>
              <m:sty m:val="p"/>
            </m:rPr>
            <m:t>×</m:t>
          </m:r>
          <m:r>
            <m:rPr>
              <m:nor/>
              <m:sty m:val="p"/>
            </m:rPr>
            <m:t>Language</m:t>
          </m:r>
          <m:r>
            <m:rPr>
              <m:sty m:val="p"/>
            </m:rPr>
            <m:t>+</m:t>
          </m:r>
          <m:r>
            <m:rPr>
              <m:sty m:val="p"/>
            </m:rPr>
            <m:t>(</m:t>
          </m:r>
          <m:r>
            <m:t>1</m:t>
          </m:r>
          <m:r>
            <m:rPr>
              <m:sty m:val="p"/>
            </m:rPr>
            <m:t>+</m:t>
          </m:r>
          <m:r>
            <m:rPr>
              <m:nor/>
              <m:sty m:val="p"/>
            </m:rPr>
            <m:t>Gram</m:t>
          </m:r>
          <m:r>
            <m:rPr>
              <m:sty m:val="p"/>
            </m:rPr>
            <m:t>+</m:t>
          </m:r>
          <m:r>
            <m:rPr>
              <m:nor/>
              <m:sty m:val="p"/>
            </m:rPr>
            <m:t>Session</m:t>
          </m:r>
          <m:r>
            <m:rPr>
              <m:sty m:val="p"/>
            </m:rPr>
            <m:t>∣</m:t>
          </m:r>
          <m:r>
            <m:rPr>
              <m:nor/>
              <m:sty m:val="p"/>
            </m:rPr>
            <m:t>participant</m:t>
          </m:r>
          <m:r>
            <m:rPr>
              <m:sty m:val="p"/>
            </m:rPr>
            <m:t>)</m:t>
          </m:r>
          <m:r>
            <m:rPr>
              <m:sty m:val="p"/>
            </m:rPr>
            <m:t>.</m:t>
          </m:r>
        </m:oMath>
      </m:oMathPara>
    </w:p>
    <w:p>
      <w:pPr>
        <w:pStyle w:val="FirstParagraph"/>
      </w:pPr>
      <w:r>
        <w:t xml:space="preserve">Participants and items are crossed rather than hierarchically nested. Within a</w:t>
      </w:r>
      <w:r>
        <w:t xml:space="preserve"> </w:t>
      </w:r>
      <w:r>
        <w:t xml:space="preserve">language, every participant sees every sentence frame, and every frame is seen by every</w:t>
      </w:r>
      <w:r>
        <w:t xml:space="preserve"> </w:t>
      </w:r>
      <w:r>
        <w:t xml:space="preserve">participant in that language, so the ERP models carry crossed by-participant and by-item</w:t>
      </w:r>
      <w:r>
        <w:t xml:space="preserve"> </w:t>
      </w:r>
      <w:r>
        <w:t xml:space="preserve">random effects</w:t>
      </w:r>
      <w:r>
        <w:t xml:space="preserve"> </w:t>
      </w:r>
      <w:r>
        <w:t xml:space="preserve">(</w:t>
      </w:r>
      <w:hyperlink w:anchor="ref-baayen2008">
        <w:r>
          <w:rPr>
            <w:rStyle w:val="Hyperlink"/>
          </w:rPr>
          <w:t xml:space="preserve">Baayen et al., 2008</w:t>
        </w:r>
      </w:hyperlink>
      <w:r>
        <w:t xml:space="preserve">;</w:t>
      </w:r>
      <w:r>
        <w:t xml:space="preserve"> </w:t>
      </w:r>
      <w:hyperlink w:anchor="ref-barr2013">
        <w:r>
          <w:rPr>
            <w:rStyle w:val="Hyperlink"/>
          </w:rPr>
          <w:t xml:space="preserve">Barr et al., 2013</w:t>
        </w:r>
      </w:hyperlink>
      <w:r>
        <w:t xml:space="preserve">)</w:t>
      </w:r>
      <w:r>
        <w:t xml:space="preserve">. Items are nested within language, because the</w:t>
      </w:r>
      <w:r>
        <w:t xml:space="preserve"> </w:t>
      </w:r>
      <w:r>
        <w:t xml:space="preserve">two miniature languages draw on separate lexicons, so language does not vary within an</w:t>
      </w:r>
      <w:r>
        <w:t xml:space="preserve"> </w:t>
      </w:r>
      <w:r>
        <w:t xml:space="preserve">item and no by-item language slope is estimable. Grammaticality and session, by contrast,</w:t>
      </w:r>
      <w:r>
        <w:t xml:space="preserve"> </w:t>
      </w:r>
      <w:r>
        <w:t xml:space="preserve">vary within both grouping factors, since every frame is presented in both a grammatical</w:t>
      </w:r>
      <w:r>
        <w:t xml:space="preserve"> </w:t>
      </w:r>
      <w:r>
        <w:t xml:space="preserve">and an ungrammatical version and is re-presented across sessions.</w:t>
      </w:r>
    </w:p>
    <w:p>
      <w:pPr>
        <w:pStyle w:val="BodyText"/>
      </w:pPr>
      <w:r>
        <w:t xml:space="preserve">Random effects therefore follow the</w:t>
      </w:r>
      <w:r>
        <w:t xml:space="preserve"> </w:t>
      </w:r>
      <w:r>
        <w:t xml:space="preserve">“keep it maximal</w:t>
      </w:r>
      <w:r>
        <w:t xml:space="preserve"> </w:t>
      </w:r>
      <w:r>
        <w:rPr>
          <w:i/>
          <w:iCs/>
        </w:rPr>
        <w:t xml:space="preserve">as justified by the design</w:t>
      </w:r>
      <w:r>
        <w:t xml:space="preserve">”</w:t>
      </w:r>
      <w:r>
        <w:t xml:space="preserve"> </w:t>
      </w:r>
      <w:r>
        <w:t xml:space="preserve">principle</w:t>
      </w:r>
      <w:r>
        <w:t xml:space="preserve"> </w:t>
      </w:r>
      <w:r>
        <w:t xml:space="preserve">(</w:t>
      </w:r>
      <w:hyperlink w:anchor="ref-barr2013">
        <w:r>
          <w:rPr>
            <w:rStyle w:val="Hyperlink"/>
          </w:rPr>
          <w:t xml:space="preserve">Barr et al., 2013</w:t>
        </w:r>
      </w:hyperlink>
      <w:r>
        <w:t xml:space="preserve">)</w:t>
      </w:r>
      <w:r>
        <w:t xml:space="preserve">, so both grouping factors receive a random intercept plus</w:t>
      </w:r>
      <w:r>
        <w:t xml:space="preserve"> </w:t>
      </w:r>
      <w:r>
        <w:t xml:space="preserve">grammaticality and session slopes, with correlations estimated under the shared</w:t>
      </w:r>
      <w:r>
        <w:t xml:space="preserve"> </w:t>
      </w:r>
      <m:oMath>
        <m:r>
          <m:rPr>
            <m:sty m:val="p"/>
          </m:rPr>
          <m:t>L</m:t>
        </m:r>
        <m:r>
          <m:rPr>
            <m:sty m:val="p"/>
          </m:rPr>
          <m:t>K</m:t>
        </m:r>
        <m:r>
          <m:rPr>
            <m:sty m:val="p"/>
          </m:rPr>
          <m:t>J</m:t>
        </m:r>
        <m:r>
          <m:rPr>
            <m:sty m:val="p"/>
          </m:rPr>
          <m:t>(</m:t>
        </m:r>
        <m:r>
          <m:t>2</m:t>
        </m:r>
        <m:r>
          <m:rPr>
            <m:sty m:val="p"/>
          </m:rPr>
          <m:t>)</m:t>
        </m:r>
      </m:oMath>
      <w:r>
        <w:t xml:space="preserve"> </w:t>
      </w:r>
      <w:r>
        <w:t xml:space="preserve">prior. Participants also receive a slope for the grammaticality</w:t>
      </w:r>
      <w:r>
        <w:t xml:space="preserve"> </w:t>
      </w:r>
      <m:oMath>
        <m:r>
          <m:rPr>
            <m:sty m:val="p"/>
          </m:rPr>
          <m:t>×</m:t>
        </m:r>
      </m:oMath>
      <w:r>
        <w:t xml:space="preserve"> </w:t>
      </w:r>
      <w:r>
        <w:t xml:space="preserve">session interaction, because the development of each participant’s grammaticality</w:t>
      </w:r>
      <w:r>
        <w:t xml:space="preserve"> </w:t>
      </w:r>
      <w:r>
        <w:t xml:space="preserve">effect is the within-participant quantity on which the language-conditioned interaction</w:t>
      </w:r>
      <w:r>
        <w:t xml:space="preserve"> </w:t>
      </w:r>
      <w:r>
        <w:t xml:space="preserve">rests, and omitting that slope would make the interval of the fixed interaction too narrow</w:t>
      </w:r>
      <w:r>
        <w:t xml:space="preserve"> </w:t>
      </w:r>
      <w:r>
        <w:t xml:space="preserve">(</w:t>
      </w:r>
      <w:hyperlink w:anchor="ref-barr2013">
        <w:r>
          <w:rPr>
            <w:rStyle w:val="Hyperlink"/>
          </w:rPr>
          <w:t xml:space="preserve">Barr et al., 2013</w:t>
        </w:r>
      </w:hyperlink>
      <w:r>
        <w:t xml:space="preserve">;</w:t>
      </w:r>
      <w:r>
        <w:t xml:space="preserve"> </w:t>
      </w:r>
      <w:hyperlink w:anchor="ref-brauer2018">
        <w:r>
          <w:rPr>
            <w:rStyle w:val="Hyperlink"/>
          </w:rPr>
          <w:t xml:space="preserve">Brauer &amp; Curtin, 2018</w:t>
        </w:r>
      </w:hyperlink>
      <w:r>
        <w:t xml:space="preserve">)</w:t>
      </w:r>
      <w:r>
        <w:t xml:space="preserve">.</w:t>
      </w:r>
    </w:p>
    <w:p>
      <w:pPr>
        <w:pStyle w:val="BodyText"/>
      </w:pPr>
      <w:r>
        <w:t xml:space="preserve">Session enters that specification as a single linear predictor, so the change in the</w:t>
      </w:r>
      <w:r>
        <w:t xml:space="preserve"> </w:t>
      </w:r>
      <w:r>
        <w:t xml:space="preserve">grammaticality effect across the retention interval is read off the fitted trend rather</w:t>
      </w:r>
      <w:r>
        <w:t xml:space="preserve"> </w:t>
      </w:r>
      <w:r>
        <w:t xml:space="preserve">than estimated for that interval on its own. Gender agreement and differential object</w:t>
      </w:r>
      <w:r>
        <w:t xml:space="preserve"> </w:t>
      </w:r>
      <w:r>
        <w:t xml:space="preserve">marking were therefore also refitted with a binary indicator for the retention session,</w:t>
      </w:r>
      <w:r>
        <w:t xml:space="preserve"> </w:t>
      </w:r>
      <w:r>
        <w:t xml:space="preserve">interacted with grammaticality and language and added to the linear session term. The</w:t>
      </w:r>
      <w:r>
        <w:t xml:space="preserve"> </w:t>
      </w:r>
      <w:r>
        <w:t xml:space="preserve">linear term then carries the training trend and the indicator the deviation at Session 6.</w:t>
      </w:r>
      <w:r>
        <w:t xml:space="preserve"> </w:t>
      </w:r>
      <w:r>
        <w:t xml:space="preserve">The indicator is coded</w:t>
      </w:r>
      <w:r>
        <w:t xml:space="preserve"> </w:t>
      </w:r>
      <m:oMath>
        <m:r>
          <m:rPr>
            <m:sty m:val="p"/>
          </m:rPr>
          <m:t>+</m:t>
        </m:r>
        <m:r>
          <m:t>0.5</m:t>
        </m:r>
      </m:oMath>
      <w:r>
        <w:t xml:space="preserve"> </w:t>
      </w:r>
      <w:r>
        <w:t xml:space="preserve">at Session 6 and</w:t>
      </w:r>
      <w:r>
        <w:t xml:space="preserve"> </w:t>
      </w:r>
      <m:oMath>
        <m:r>
          <m:rPr>
            <m:sty m:val="p"/>
          </m:rPr>
          <m:t>−</m:t>
        </m:r>
        <m:r>
          <m:t>0.5</m:t>
        </m:r>
      </m:oMath>
      <w:r>
        <w:t xml:space="preserve"> </w:t>
      </w:r>
      <w:r>
        <w:t xml:space="preserve">elsewhere and, unlike the other</w:t>
      </w:r>
      <w:r>
        <w:t xml:space="preserve"> </w:t>
      </w:r>
      <w:r>
        <w:t xml:space="preserve">predictors, is not standardised, so its coefficient is the deviation at Session 6 on the</w:t>
      </w:r>
      <w:r>
        <w:t xml:space="preserve"> </w:t>
      </w:r>
      <w:r>
        <w:t xml:space="preserve">response scale. The refits are otherwise identical to the models above and were run</w:t>
      </w:r>
      <w:r>
        <w:t xml:space="preserve"> </w:t>
      </w:r>
      <w:r>
        <w:t xml:space="preserve">under both random-effect structures. Verb–object number agreement admits no such refit. It is</w:t>
      </w:r>
      <w:r>
        <w:t xml:space="preserve"> </w:t>
      </w:r>
      <w:r>
        <w:t xml:space="preserve">sampled at the two bracketing sessions only, so an indicator for the later of them would</w:t>
      </w:r>
      <w:r>
        <w:t xml:space="preserve"> </w:t>
      </w:r>
      <w:r>
        <w:t xml:space="preserve">be collinear with the linear term. Where the two derivations disagree, the freed estimate</w:t>
      </w:r>
      <w:r>
        <w:t xml:space="preserve"> </w:t>
      </w:r>
      <w:r>
        <w:t xml:space="preserve">is the one that bears on consolidation, and both are reported (</w:t>
      </w:r>
      <w:hyperlink w:anchor="tbl-retention">
        <w:r>
          <w:rPr>
            <w:rStyle w:val="Hyperlink"/>
          </w:rPr>
          <w:t xml:space="preserve">Table B1</w:t>
        </w:r>
      </w:hyperlink>
      <w:r>
        <w:t xml:space="preserve">,</w:t>
      </w:r>
      <w:r>
        <w:t xml:space="preserve"> </w:t>
      </w:r>
      <w:hyperlink w:anchor="tbl-retention-free">
        <w:r>
          <w:rPr>
            <w:rStyle w:val="Hyperlink"/>
          </w:rPr>
          <w:t xml:space="preserve">Table B2</w:t>
        </w:r>
      </w:hyperlink>
      <w:r>
        <w:t xml:space="preserve">).</w:t>
      </w:r>
    </w:p>
    <w:p>
      <w:pPr>
        <w:pStyle w:val="BodyText"/>
      </w:pPr>
      <w:r>
        <w:t xml:space="preserve">The case for retaining the by-item grammaticality slope, and the power-based argument</w:t>
      </w:r>
      <w:r>
        <w:t xml:space="preserve"> </w:t>
      </w:r>
      <w:r>
        <w:t xml:space="preserve">against maximal structures that it was weighed against</w:t>
      </w:r>
      <w:r>
        <w:t xml:space="preserve"> </w:t>
      </w:r>
      <w:r>
        <w:t xml:space="preserve">(</w:t>
      </w:r>
      <w:hyperlink w:anchor="ref-barr2013">
        <w:r>
          <w:rPr>
            <w:rStyle w:val="Hyperlink"/>
          </w:rPr>
          <w:t xml:space="preserve">Barr et al., 2013</w:t>
        </w:r>
      </w:hyperlink>
      <w:r>
        <w:t xml:space="preserve">;</w:t>
      </w:r>
      <w:r>
        <w:t xml:space="preserve"> </w:t>
      </w:r>
      <w:hyperlink w:anchor="ref-matuschek2017">
        <w:r>
          <w:rPr>
            <w:rStyle w:val="Hyperlink"/>
          </w:rPr>
          <w:t xml:space="preserve">Matuschek et al., 2017</w:t>
        </w:r>
      </w:hyperlink>
      <w:r>
        <w:t xml:space="preserve">)</w:t>
      </w:r>
      <w:r>
        <w:t xml:space="preserve">, are</w:t>
      </w:r>
      <w:r>
        <w:t xml:space="preserve"> </w:t>
      </w:r>
      <w:r>
        <w:t xml:space="preserve">set out in</w:t>
      </w:r>
      <w:r>
        <w:t xml:space="preserve"> </w:t>
      </w:r>
      <w:hyperlink w:anchor="apx-analytic-decisions-in-detail">
        <w:r>
          <w:rPr>
            <w:rStyle w:val="Hyperlink"/>
          </w:rPr>
          <w:t xml:space="preserve">Appendix A</w:t>
        </w:r>
      </w:hyperlink>
      <w:r>
        <w:t xml:space="preserve">. The Results report the whole grid refitted without that slope, so</w:t>
      </w:r>
      <w:r>
        <w:t xml:space="preserve"> </w:t>
      </w:r>
      <w:r>
        <w:t xml:space="preserve">a reader can see which conclusions depend on it. The reported accuracy models carry</w:t>
      </w:r>
      <w:r>
        <w:t xml:space="preserve"> </w:t>
      </w:r>
      <w:r>
        <w:t xml:space="preserve">by-participant random effects only, although the judgement trials share the ERP models’</w:t>
      </w:r>
      <w:r>
        <w:t xml:space="preserve"> </w:t>
      </w:r>
      <w:r>
        <w:t xml:space="preserve">item factor, the sentence frame: each property has 288 frames, half in each miniature language, and every frame was judged under both grammaticality levels and by between 17 and 31 participants (medians 29, 24 and 18 for gender agreement, differential object marking and verb–object number agreement). Leaving that factor out treats</w:t>
      </w:r>
      <w:r>
        <w:t xml:space="preserve"> </w:t>
      </w:r>
      <w:r>
        <w:t xml:space="preserve">the trials of one frame as independent, and because each frame belongs to one miniature</w:t>
      </w:r>
      <w:r>
        <w:t xml:space="preserve"> </w:t>
      </w:r>
      <w:r>
        <w:t xml:space="preserve">language, the group contrasts in sensitivity and criterion are also contrasts between two</w:t>
      </w:r>
      <w:r>
        <w:t xml:space="preserve"> </w:t>
      </w:r>
      <w:r>
        <w:t xml:space="preserve">sets of frames</w:t>
      </w:r>
      <w:r>
        <w:t xml:space="preserve"> </w:t>
      </w:r>
      <w:r>
        <w:t xml:space="preserve">(</w:t>
      </w:r>
      <w:hyperlink w:anchor="ref-baayen2008">
        <w:r>
          <w:rPr>
            <w:rStyle w:val="Hyperlink"/>
          </w:rPr>
          <w:t xml:space="preserve">Baayen et al., 2008</w:t>
        </w:r>
      </w:hyperlink>
      <w:r>
        <w:t xml:space="preserve">;</w:t>
      </w:r>
      <w:r>
        <w:t xml:space="preserve"> </w:t>
      </w:r>
      <w:hyperlink w:anchor="ref-barr2013">
        <w:r>
          <w:rPr>
            <w:rStyle w:val="Hyperlink"/>
          </w:rPr>
          <w:t xml:space="preserve">Barr et al., 2013</w:t>
        </w:r>
      </w:hyperlink>
      <w:r>
        <w:t xml:space="preserve">)</w:t>
      </w:r>
      <w:r>
        <w:t xml:space="preserve">. Each accuracy model was therefore refitted with the</w:t>
      </w:r>
      <w:r>
        <w:t xml:space="preserve"> </w:t>
      </w:r>
      <w:r>
        <w:t xml:space="preserve">ERP models’ by-item term, a by-frame intercept with grammaticality and session slopes, both</w:t>
      </w:r>
      <w:r>
        <w:t xml:space="preserve"> </w:t>
      </w:r>
      <w:r>
        <w:t xml:space="preserve">on its own and together with the by-participant grammaticality</w:t>
      </w:r>
      <w:r>
        <w:t xml:space="preserve"> </w:t>
      </w:r>
      <m:oMath>
        <m:r>
          <m:rPr>
            <m:sty m:val="p"/>
          </m:rPr>
          <m:t>×</m:t>
        </m:r>
      </m:oMath>
      <w:r>
        <w:t xml:space="preserve"> </w:t>
      </w:r>
      <w:r>
        <w:t xml:space="preserve">session slope</w:t>
      </w:r>
      <w:r>
        <w:t xml:space="preserve"> </w:t>
      </w:r>
      <w:r>
        <w:t xml:space="preserve">described below. These refits are sensitivity analyses specified after the reported models</w:t>
      </w:r>
      <w:r>
        <w:t xml:space="preserve"> </w:t>
      </w:r>
      <w:r>
        <w:t xml:space="preserve">had been fitted.</w:t>
      </w:r>
    </w:p>
    <w:bookmarkEnd w:id="80"/>
    <w:bookmarkStart w:id="81" w:name="X3103ca263008472a3fdcbdfa6edd7c2610b0878"/>
    <w:p>
      <w:pPr>
        <w:pStyle w:val="Heading3"/>
      </w:pPr>
      <w:r>
        <w:t xml:space="preserve">Signal-detection reading of the judgement models</w:t>
      </w:r>
    </w:p>
    <w:p>
      <w:pPr>
        <w:pStyle w:val="FirstParagraph"/>
      </w:pPr>
      <w:r>
        <w:t xml:space="preserve">A model of accuracy that includes grammaticality as a predictor is a logistic</w:t>
      </w:r>
      <w:r>
        <w:t xml:space="preserve"> </w:t>
      </w:r>
      <w:r>
        <w:t xml:space="preserve">signal-detection model in another parameterisation</w:t>
      </w:r>
      <w:r>
        <w:t xml:space="preserve"> </w:t>
      </w:r>
      <w:r>
        <w:t xml:space="preserve">(</w:t>
      </w:r>
      <w:hyperlink w:anchor="ref-decarlo1998">
        <w:r>
          <w:rPr>
            <w:rStyle w:val="Hyperlink"/>
          </w:rPr>
          <w:t xml:space="preserve">DeCarlo, 1998</w:t>
        </w:r>
      </w:hyperlink>
      <w:r>
        <w:t xml:space="preserve">)</w:t>
      </w:r>
      <w:r>
        <w:t xml:space="preserve">. Let</w:t>
      </w:r>
      <w:r>
        <w:t xml:space="preserve"> </w:t>
      </w:r>
      <m:oMath>
        <m:r>
          <m:t>H</m:t>
        </m:r>
      </m:oMath>
      <w:r>
        <w:t xml:space="preserve"> </w:t>
      </w:r>
      <w:r>
        <w:t xml:space="preserve">be the rate of</w:t>
      </w:r>
      <w:r>
        <w:t xml:space="preserve"> </w:t>
      </w:r>
      <w:r>
        <w:t xml:space="preserve">answering</w:t>
      </w:r>
      <w:r>
        <w:t xml:space="preserve"> </w:t>
      </w:r>
      <w:r>
        <w:t xml:space="preserve">“grammatical”</w:t>
      </w:r>
      <w:r>
        <w:t xml:space="preserve"> </w:t>
      </w:r>
      <w:r>
        <w:t xml:space="preserve">to a grammatical sentence (a hit) and</w:t>
      </w:r>
      <w:r>
        <w:t xml:space="preserve"> </w:t>
      </w:r>
      <m:oMath>
        <m:r>
          <m:t>F</m:t>
        </m:r>
      </m:oMath>
      <w:r>
        <w:t xml:space="preserve"> </w:t>
      </w:r>
      <w:r>
        <w:t xml:space="preserve">the rate of answering</w:t>
      </w:r>
      <w:r>
        <w:t xml:space="preserve"> </w:t>
      </w:r>
      <w:r>
        <w:t xml:space="preserve">“grammatical”</w:t>
      </w:r>
      <w:r>
        <w:t xml:space="preserve"> </w:t>
      </w:r>
      <w:r>
        <w:t xml:space="preserve">to an ungrammatical one (a false alarm). Accuracy on grammatical sentences is</w:t>
      </w:r>
      <w:r>
        <w:t xml:space="preserve"> </w:t>
      </w:r>
      <m:oMath>
        <m:r>
          <m:t>H</m:t>
        </m:r>
      </m:oMath>
      <w:r>
        <w:t xml:space="preserve">, and accuracy on ungrammatical sentences is</w:t>
      </w:r>
      <w:r>
        <w:t xml:space="preserve"> </w:t>
      </w:r>
      <m:oMath>
        <m:r>
          <m:t>1</m:t>
        </m:r>
        <m:r>
          <m:rPr>
            <m:sty m:val="p"/>
          </m:rPr>
          <m:t>−</m:t>
        </m:r>
        <m:r>
          <m:t>F</m:t>
        </m:r>
      </m:oMath>
      <w:r>
        <w:t xml:space="preserve">. With grammaticality coded</w:t>
      </w:r>
      <w:r>
        <w:t xml:space="preserve"> </w:t>
      </w:r>
      <w:r>
        <w:t xml:space="preserve">symmetrically, the terms of the accuracy model that do not contain grammaticality (the</w:t>
      </w:r>
      <w:r>
        <w:t xml:space="preserve"> </w:t>
      </w:r>
      <w:r>
        <w:t xml:space="preserve">intercept, session, language and session</w:t>
      </w:r>
      <w:r>
        <w:t xml:space="preserve"> </w:t>
      </w:r>
      <m:oMath>
        <m:r>
          <m:rPr>
            <m:sty m:val="p"/>
          </m:rPr>
          <m:t>×</m:t>
        </m:r>
      </m:oMath>
      <w:r>
        <w:t xml:space="preserve"> </w:t>
      </w:r>
      <w:r>
        <w:t xml:space="preserve">language) are half the logit-scale</w:t>
      </w:r>
      <w:r>
        <w:t xml:space="preserve"> </w:t>
      </w:r>
      <w:r>
        <w:t xml:space="preserve">sensitivity,</w:t>
      </w:r>
      <w:r>
        <w:t xml:space="preserve"> </w:t>
      </w:r>
      <m:oMath>
        <m:r>
          <m:rPr>
            <m:sty m:val="p"/>
          </m:rPr>
          <m:t>logit</m:t>
        </m:r>
        <m:r>
          <m:t>H</m:t>
        </m:r>
        <m:r>
          <m:rPr>
            <m:sty m:val="p"/>
          </m:rPr>
          <m:t>−</m:t>
        </m:r>
        <m:r>
          <m:rPr>
            <m:sty m:val="p"/>
          </m:rPr>
          <m:t>logit</m:t>
        </m:r>
        <m:r>
          <m:t>F</m:t>
        </m:r>
      </m:oMath>
      <w:r>
        <w:t xml:space="preserve">, and its change with session</w:t>
      </w:r>
      <w:r>
        <w:t xml:space="preserve"> </w:t>
      </w:r>
      <w:r>
        <w:t xml:space="preserve">and language. The terms that do contain grammaticality are half of</w:t>
      </w:r>
      <w:r>
        <w:t xml:space="preserve"> </w:t>
      </w:r>
      <m:oMath>
        <m:r>
          <m:rPr>
            <m:sty m:val="p"/>
          </m:rPr>
          <m:t>logit</m:t>
        </m:r>
        <m:r>
          <m:t>H</m:t>
        </m:r>
        <m:r>
          <m:rPr>
            <m:sty m:val="p"/>
          </m:rPr>
          <m:t>+</m:t>
        </m:r>
        <m:r>
          <m:rPr>
            <m:sty m:val="p"/>
          </m:rPr>
          <m:t>logit</m:t>
        </m:r>
        <m:r>
          <m:t>F</m:t>
        </m:r>
      </m:oMath>
      <w:r>
        <w:t xml:space="preserve">, a response bias: a learner inclined to answer</w:t>
      </w:r>
      <w:r>
        <w:t xml:space="preserve"> </w:t>
      </w:r>
      <w:r>
        <w:t xml:space="preserve">“grammatical”</w:t>
      </w:r>
      <w:r>
        <w:t xml:space="preserve"> </w:t>
      </w:r>
      <w:r>
        <w:t xml:space="preserve">gains accuracy on grammatical sentences and loses it on ungrammatical ones</w:t>
      </w:r>
      <w:r>
        <w:t xml:space="preserve"> </w:t>
      </w:r>
      <w:r>
        <w:t xml:space="preserve">without discriminating any better. The grammaticality</w:t>
      </w:r>
      <w:r>
        <w:t xml:space="preserve"> </w:t>
      </w:r>
      <m:oMath>
        <m:r>
          <m:rPr>
            <m:sty m:val="p"/>
          </m:rPr>
          <m:t>×</m:t>
        </m:r>
      </m:oMath>
      <w:r>
        <w:t xml:space="preserve"> </w:t>
      </w:r>
      <w:r>
        <w:t xml:space="preserve">language and 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terms therefore index a between-language difference in</w:t>
      </w:r>
      <w:r>
        <w:t xml:space="preserve"> </w:t>
      </w:r>
      <w:r>
        <w:t xml:space="preserve">bias and in its development, not in discrimination. We report both quantities, derived for</w:t>
      </w:r>
      <w:r>
        <w:t xml:space="preserve"> </w:t>
      </w:r>
      <w:r>
        <w:t xml:space="preserve">each language and session as linear combinations of the posterior draws: sensitivity</w:t>
      </w:r>
      <w:r>
        <w:t xml:space="preserve"> </w:t>
      </w:r>
      <m:oMath>
        <m:sSub>
          <m:e>
            <m:r>
              <m:t>d</m:t>
            </m:r>
          </m:e>
          <m:sub>
            <m:r>
              <m:t>L</m:t>
            </m:r>
          </m:sub>
        </m:sSub>
        <m:r>
          <m:rPr>
            <m:sty m:val="p"/>
          </m:rPr>
          <m:t>=</m:t>
        </m:r>
        <m:r>
          <m:rPr>
            <m:sty m:val="p"/>
          </m:rPr>
          <m:t>logit</m:t>
        </m:r>
        <m:r>
          <m:t>H</m:t>
        </m:r>
        <m:r>
          <m:rPr>
            <m:sty m:val="p"/>
          </m:rPr>
          <m:t>−</m:t>
        </m:r>
        <m:r>
          <m:rPr>
            <m:sty m:val="p"/>
          </m:rPr>
          <m:t>logit</m:t>
        </m:r>
        <m:r>
          <m:t>F</m:t>
        </m:r>
      </m:oMath>
      <w:r>
        <w:t xml:space="preserve">, and the criterion</w:t>
      </w:r>
      <w:r>
        <w:t xml:space="preserve"> </w:t>
      </w:r>
      <m:oMath>
        <m:sSub>
          <m:e>
            <m:r>
              <m:t>c</m:t>
            </m:r>
          </m:e>
          <m:sub>
            <m:r>
              <m:t>L</m:t>
            </m:r>
          </m:sub>
        </m:sSub>
        <m:r>
          <m:rPr>
            <m:sty m:val="p"/>
          </m:rPr>
          <m:t>=</m:t>
        </m:r>
        <m:r>
          <m:rPr>
            <m:sty m:val="p"/>
          </m:rPr>
          <m:t>−</m:t>
        </m:r>
        <m:r>
          <m:rPr>
            <m:sty m:val="p"/>
          </m:rPr>
          <m:t>(</m:t>
        </m:r>
        <m:r>
          <m:rPr>
            <m:sty m:val="p"/>
          </m:rPr>
          <m:t>logit</m:t>
        </m:r>
        <m:r>
          <m:t>H</m:t>
        </m:r>
        <m:r>
          <m:rPr>
            <m:sty m:val="p"/>
          </m:rPr>
          <m:t>+</m:t>
        </m:r>
        <m:r>
          <m:rPr>
            <m:sty m:val="p"/>
          </m:rPr>
          <m:t>logit</m:t>
        </m:r>
        <m:r>
          <m:t>F</m:t>
        </m:r>
        <m:r>
          <m:rPr>
            <m:sty m:val="p"/>
          </m:rPr>
          <m:t>)</m:t>
        </m:r>
        <m:r>
          <m:rPr>
            <m:sty m:val="p"/>
          </m:rPr>
          <m:t>/</m:t>
        </m:r>
        <m:r>
          <m:t>2</m:t>
        </m:r>
      </m:oMath>
      <w:r>
        <w:t xml:space="preserve">, which is negative for a</w:t>
      </w:r>
      <w:r>
        <w:t xml:space="preserve"> </w:t>
      </w:r>
      <w:r>
        <w:t xml:space="preserve">readiness to answer</w:t>
      </w:r>
      <w:r>
        <w:t xml:space="preserve"> </w:t>
      </w:r>
      <w:r>
        <w:t xml:space="preserve">“grammatical”</w:t>
      </w:r>
      <w:r>
        <w:t xml:space="preserve"> </w:t>
      </w:r>
      <w:r>
        <w:t xml:space="preserve">(</w:t>
      </w:r>
      <w:hyperlink w:anchor="ref-macmillan2005">
        <w:r>
          <w:rPr>
            <w:rStyle w:val="Hyperlink"/>
          </w:rPr>
          <w:t xml:space="preserve">Macmillan &amp; Creelman, 2005</w:t>
        </w:r>
      </w:hyperlink>
      <w:r>
        <w:t xml:space="preserve">)</w:t>
      </w:r>
      <w:r>
        <w:t xml:space="preserve">. On the logit scale,</w:t>
      </w:r>
      <w:r>
        <w:t xml:space="preserve"> </w:t>
      </w:r>
      <m:oMath>
        <m:sSub>
          <m:e>
            <m:r>
              <m:t>d</m:t>
            </m:r>
          </m:e>
          <m:sub>
            <m:r>
              <m:t>L</m:t>
            </m:r>
          </m:sub>
        </m:sSub>
      </m:oMath>
      <w:r>
        <w:t xml:space="preserve"> </w:t>
      </w:r>
      <w:r>
        <w:t xml:space="preserve">is about 1.7</w:t>
      </w:r>
      <w:r>
        <w:t xml:space="preserve"> </w:t>
      </w:r>
      <w:r>
        <w:t xml:space="preserve">times the familiar probit</w:t>
      </w:r>
      <w:r>
        <w:t xml:space="preserve"> </w:t>
      </w:r>
      <m:oMath>
        <m:sSup>
          <m:e>
            <m:r>
              <m:t>d</m:t>
            </m:r>
          </m:e>
          <m:sup>
            <m:r>
              <m:rPr>
                <m:sty m:val="p"/>
              </m:rPr>
              <m:t>′</m:t>
            </m:r>
          </m:sup>
        </m:sSup>
      </m:oMath>
      <w:r>
        <w:t xml:space="preserve"> </w:t>
      </w:r>
      <w:r>
        <w:t xml:space="preserve">(</w:t>
      </w:r>
      <w:hyperlink w:anchor="ref-decarlo1998">
        <w:r>
          <w:rPr>
            <w:rStyle w:val="Hyperlink"/>
          </w:rPr>
          <w:t xml:space="preserve">DeCarlo, 1998</w:t>
        </w:r>
      </w:hyperlink>
      <w:r>
        <w:t xml:space="preserve">)</w:t>
      </w:r>
      <w:r>
        <w:t xml:space="preserve">. For display,</w:t>
      </w:r>
      <w:r>
        <w:t xml:space="preserve"> </w:t>
      </w:r>
      <m:oMath>
        <m:sSup>
          <m:e>
            <m:r>
              <m:t>d</m:t>
            </m:r>
          </m:e>
          <m:sup>
            <m:r>
              <m:rPr>
                <m:sty m:val="p"/>
              </m:rPr>
              <m:t>′</m:t>
            </m:r>
          </m:sup>
        </m:sSup>
      </m:oMath>
      <w:r>
        <w:t xml:space="preserve"> </w:t>
      </w:r>
      <w:r>
        <w:t xml:space="preserve">and</w:t>
      </w:r>
      <w:r>
        <w:t xml:space="preserve"> </w:t>
      </w:r>
      <m:oMath>
        <m:r>
          <m:t>c</m:t>
        </m:r>
      </m:oMath>
      <w:r>
        <w:t xml:space="preserve"> </w:t>
      </w:r>
      <w:r>
        <w:t xml:space="preserve">were also computed</w:t>
      </w:r>
      <w:r>
        <w:t xml:space="preserve"> </w:t>
      </w:r>
      <w:r>
        <w:t xml:space="preserve">per participant and session with the log-linear correction for extreme rates</w:t>
      </w:r>
      <w:r>
        <w:t xml:space="preserve"> </w:t>
      </w:r>
      <w:r>
        <w:t xml:space="preserve">(</w:t>
      </w:r>
      <w:hyperlink w:anchor="ref-hautus1995">
        <w:r>
          <w:rPr>
            <w:rStyle w:val="Hyperlink"/>
          </w:rPr>
          <w:t xml:space="preserve">Hautus, 1995</w:t>
        </w:r>
      </w:hyperlink>
      <w:r>
        <w:t xml:space="preserve">)</w:t>
      </w:r>
      <w:r>
        <w:t xml:space="preserve">.</w:t>
      </w:r>
      <w:r>
        <w:t xml:space="preserve"> </w:t>
      </w:r>
      <w:r>
        <w:t xml:space="preserve">The models were specified with the grammaticality terms read as discrimination, and</w:t>
      </w:r>
      <w:r>
        <w:t xml:space="preserve"> </w:t>
      </w:r>
      <w:r>
        <w:rPr>
          <w:i/>
          <w:iCs/>
        </w:rPr>
        <w:t xml:space="preserve">Transparency, preregistration and analysis status</w:t>
      </w:r>
      <w:r>
        <w:t xml:space="preserve"> </w:t>
      </w:r>
      <w:r>
        <w:t xml:space="preserve">records when and why that reading was</w:t>
      </w:r>
      <w:r>
        <w:t xml:space="preserve"> </w:t>
      </w:r>
      <w:r>
        <w:t xml:space="preserve">replaced.</w:t>
      </w:r>
    </w:p>
    <w:p>
      <w:pPr>
        <w:pStyle w:val="BodyText"/>
      </w:pPr>
      <w:r>
        <w:t xml:space="preserve">The reported accuracy models include by-participant slopes for grammaticality and for</w:t>
      </w:r>
      <w:r>
        <w:t xml:space="preserve"> </w:t>
      </w:r>
      <w:r>
        <w:t xml:space="preserve">session but not for their interaction, although that interaction, the within-participant</w:t>
      </w:r>
      <w:r>
        <w:t xml:space="preserve"> </w:t>
      </w:r>
      <w:r>
        <w:t xml:space="preserve">change in bias, varies within participants. Omitting such a slope can make the</w:t>
      </w:r>
      <w:r>
        <w:t xml:space="preserve"> </w:t>
      </w:r>
      <w:r>
        <w:t xml:space="preserve">corresponding fixed effect’s interval too narrow</w:t>
      </w:r>
      <w:r>
        <w:t xml:space="preserve"> </w:t>
      </w:r>
      <w:r>
        <w:t xml:space="preserve">(</w:t>
      </w:r>
      <w:hyperlink w:anchor="ref-barr2013">
        <w:r>
          <w:rPr>
            <w:rStyle w:val="Hyperlink"/>
          </w:rPr>
          <w:t xml:space="preserve">Barr et al., 2013</w:t>
        </w:r>
      </w:hyperlink>
      <w:r>
        <w:t xml:space="preserve">)</w:t>
      </w:r>
      <w:r>
        <w:t xml:space="preserve">. Each accuracy model was</w:t>
      </w:r>
      <w:r>
        <w:t xml:space="preserve"> </w:t>
      </w:r>
      <w:r>
        <w:t xml:space="preserve">therefore refitted with the interaction slope added, as a sensitivity analysis specified</w:t>
      </w:r>
      <w:r>
        <w:t xml:space="preserve"> </w:t>
      </w:r>
      <w:r>
        <w:t xml:space="preserve">after the signal-detection reading above. With that slope, the refit is the</w:t>
      </w:r>
      <w:r>
        <w:t xml:space="preserve"> </w:t>
      </w:r>
      <w:r>
        <w:t xml:space="preserve">signal-detection model of the response itself in a different parameterisation: its</w:t>
      </w:r>
      <w:r>
        <w:t xml:space="preserve"> </w:t>
      </w:r>
      <w:r>
        <w:t xml:space="preserve">by-participant intercept and session slope are each learner’s sensitivity and its change,</w:t>
      </w:r>
      <w:r>
        <w:t xml:space="preserve"> </w:t>
      </w:r>
      <w:r>
        <w:t xml:space="preserve">its by-participant grammaticality and grammaticality</w:t>
      </w:r>
      <w:r>
        <w:t xml:space="preserve"> </w:t>
      </w:r>
      <m:oMath>
        <m:r>
          <m:rPr>
            <m:sty m:val="p"/>
          </m:rPr>
          <m:t>×</m:t>
        </m:r>
      </m:oMath>
      <w:r>
        <w:t xml:space="preserve"> </w:t>
      </w:r>
      <w:r>
        <w:t xml:space="preserve">session slopes are each</w:t>
      </w:r>
      <w:r>
        <w:t xml:space="preserve"> </w:t>
      </w:r>
      <w:r>
        <w:t xml:space="preserve">learner’s criterion and its change, and the map between the two parameterisations is linear</w:t>
      </w:r>
      <w:r>
        <w:t xml:space="preserve"> </w:t>
      </w:r>
      <w:r>
        <w:t xml:space="preserve">and invertible, so the two models can differ only through their priors.</w:t>
      </w:r>
    </w:p>
    <w:bookmarkEnd w:id="81"/>
    <w:bookmarkStart w:id="86" w:name="priors"/>
    <w:p>
      <w:pPr>
        <w:pStyle w:val="Heading3"/>
      </w:pPr>
      <w:r>
        <w:t xml:space="preserve">Priors</w:t>
      </w:r>
    </w:p>
    <w:p>
      <w:pPr>
        <w:pStyle w:val="FirstParagraph"/>
      </w:pPr>
      <w:r>
        <w:t xml:space="preserve">We placed informative priors derived from the</w:t>
      </w:r>
      <w:r>
        <w:t xml:space="preserve"> </w:t>
      </w:r>
      <w:r>
        <w:t xml:space="preserve">morphosyntactic-ERP and behavioural literature, in place of the common</w:t>
      </w:r>
      <w:r>
        <w:t xml:space="preserve"> </w:t>
      </w:r>
      <w:r>
        <w:t xml:space="preserve">weakly informative default, following a selective, sign-informed and</w:t>
      </w:r>
      <w:r>
        <w:t xml:space="preserve"> </w:t>
      </w:r>
      <w:r>
        <w:t xml:space="preserve">magnitude-regularising strategy</w:t>
      </w:r>
      <w:r>
        <w:t xml:space="preserve"> </w:t>
      </w:r>
      <w:r>
        <w:t xml:space="preserve">(</w:t>
      </w:r>
      <w:hyperlink w:anchor="ref-schad2021">
        <w:r>
          <w:rPr>
            <w:rStyle w:val="Hyperlink"/>
          </w:rPr>
          <w:t xml:space="preserve">Schad et al., 2021</w:t>
        </w:r>
      </w:hyperlink>
      <w:r>
        <w:t xml:space="preserve">)</w:t>
      </w:r>
      <w:r>
        <w:t xml:space="preserve">. Because the response and all predictors</w:t>
      </w:r>
      <w:r>
        <w:t xml:space="preserve"> </w:t>
      </w:r>
      <w:r>
        <w:t xml:space="preserve">are standardised, each coefficient is expressed in standard-deviation units (within</w:t>
      </w:r>
      <w:r>
        <w:t xml:space="preserve"> </w:t>
      </w:r>
      <w:r>
        <w:t xml:space="preserve">participant, for the ERP models). A prior</w:t>
      </w:r>
      <w:r>
        <w:t xml:space="preserve"> </w:t>
      </w:r>
      <w:r>
        <w:rPr>
          <w:i/>
          <w:iCs/>
        </w:rPr>
        <w:t xml:space="preserve">mean</w:t>
      </w:r>
      <w:r>
        <w:t xml:space="preserve"> </w:t>
      </w:r>
      <w:r>
        <w:t xml:space="preserve">can therefore encode the direction of a</w:t>
      </w:r>
      <w:r>
        <w:t xml:space="preserve"> </w:t>
      </w:r>
      <w:r>
        <w:t xml:space="preserve">well-established effect, while its</w:t>
      </w:r>
      <w:r>
        <w:t xml:space="preserve"> </w:t>
      </w:r>
      <w:r>
        <w:rPr>
          <w:i/>
          <w:iCs/>
        </w:rPr>
        <w:t xml:space="preserve">standard deviation</w:t>
      </w:r>
      <w:r>
        <w:t xml:space="preserve"> </w:t>
      </w:r>
      <w:r>
        <w:t xml:space="preserve">stays wide enough to let the data</w:t>
      </w:r>
      <w:r>
        <w:t xml:space="preserve"> </w:t>
      </w:r>
      <w:r>
        <w:t xml:space="preserve">dominate any well-identified effect</w:t>
      </w:r>
      <w:r>
        <w:t xml:space="preserve"> </w:t>
      </w:r>
      <w:r>
        <w:t xml:space="preserve">(</w:t>
      </w:r>
      <w:hyperlink w:anchor="ref-gelman2008">
        <w:r>
          <w:rPr>
            <w:rStyle w:val="Hyperlink"/>
          </w:rPr>
          <w:t xml:space="preserve">Gelman et al., 2008</w:t>
        </w:r>
      </w:hyperlink>
      <w:r>
        <w:t xml:space="preserve">)</w:t>
      </w:r>
      <w:r>
        <w:t xml:space="preserve">.</w:t>
      </w:r>
    </w:p>
    <w:p>
      <w:pPr>
        <w:pStyle w:val="BodyText"/>
      </w:pPr>
      <w:r>
        <w:t xml:space="preserve">The one firmly established directional effect is the P600: words that violate the</w:t>
      </w:r>
      <w:r>
        <w:t xml:space="preserve"> </w:t>
      </w:r>
      <w:r>
        <w:t xml:space="preserve">syntactic structure of a sentence elicit a late positivity, larger for ungrammatical than</w:t>
      </w:r>
      <w:r>
        <w:t xml:space="preserve"> </w:t>
      </w:r>
      <w:r>
        <w:t xml:space="preserve">for grammatical sentences</w:t>
      </w:r>
      <w:r>
        <w:t xml:space="preserve"> </w:t>
      </w:r>
      <w:r>
        <w:t xml:space="preserve">(</w:t>
      </w:r>
      <w:hyperlink w:anchor="ref-osterhout1992">
        <w:r>
          <w:rPr>
            <w:rStyle w:val="Hyperlink"/>
          </w:rPr>
          <w:t xml:space="preserve">Osterhout &amp; Holcomb, 1992</w:t>
        </w:r>
      </w:hyperlink>
      <w:r>
        <w:t xml:space="preserve">)</w:t>
      </w:r>
      <w:r>
        <w:t xml:space="preserve">. For morphosyntactic violations specifically,</w:t>
      </w:r>
      <w:r>
        <w:t xml:space="preserve"> </w:t>
      </w:r>
      <w:r>
        <w:t xml:space="preserve">that positivity is posterior and centroparietal, and it is obtained in native speakers</w:t>
      </w:r>
      <w:r>
        <w:t xml:space="preserve"> </w:t>
      </w:r>
      <w:r>
        <w:t xml:space="preserve">(</w:t>
      </w:r>
      <w:hyperlink w:anchor="ref-chen2007">
        <w:r>
          <w:rPr>
            <w:rStyle w:val="Hyperlink"/>
          </w:rPr>
          <w:t xml:space="preserve">Chen et al., 2007</w:t>
        </w:r>
      </w:hyperlink>
      <w:r>
        <w:t xml:space="preserve">;</w:t>
      </w:r>
      <w:r>
        <w:t xml:space="preserve"> </w:t>
      </w:r>
      <w:hyperlink w:anchor="ref-mueller2005">
        <w:r>
          <w:rPr>
            <w:rStyle w:val="Hyperlink"/>
          </w:rPr>
          <w:t xml:space="preserve">Mueller et al., 2005</w:t>
        </w:r>
      </w:hyperlink>
      <w:r>
        <w:t xml:space="preserve">,</w:t>
      </w:r>
      <w:r>
        <w:t xml:space="preserve"> </w:t>
      </w:r>
      <w:hyperlink w:anchor="ref-mueller2007">
        <w:r>
          <w:rPr>
            <w:rStyle w:val="Hyperlink"/>
          </w:rPr>
          <w:t xml:space="preserve">2007</w:t>
        </w:r>
      </w:hyperlink>
      <w:r>
        <w:t xml:space="preserve">)</w:t>
      </w:r>
      <w:r>
        <w:t xml:space="preserve"> </w:t>
      </w:r>
      <w:r>
        <w:t xml:space="preserve">and, once some proficiency has been reached, in</w:t>
      </w:r>
      <w:r>
        <w:t xml:space="preserve"> </w:t>
      </w:r>
      <w:r>
        <w:t xml:space="preserve">artificial-language learners</w:t>
      </w:r>
      <w:r>
        <w:t xml:space="preserve"> </w:t>
      </w:r>
      <w:r>
        <w:t xml:space="preserve">(</w:t>
      </w:r>
      <w:hyperlink w:anchor="ref-morganshort2010">
        <w:r>
          <w:rPr>
            <w:rStyle w:val="Hyperlink"/>
          </w:rPr>
          <w:t xml:space="preserve">Morgan-Short et al., 2010</w:t>
        </w:r>
      </w:hyperlink>
      <w:r>
        <w:t xml:space="preserve">;</w:t>
      </w:r>
      <w:r>
        <w:t xml:space="preserve"> </w:t>
      </w:r>
      <w:hyperlink w:anchor="ref-morganshort2012">
        <w:r>
          <w:rPr>
            <w:rStyle w:val="Hyperlink"/>
          </w:rPr>
          <w:t xml:space="preserve">Morgan-Short, Steinhauer, et al., 2012</w:t>
        </w:r>
      </w:hyperlink>
      <w:r>
        <w:t xml:space="preserve">)</w:t>
      </w:r>
      <w:r>
        <w:t xml:space="preserve">. A P600 also</w:t>
      </w:r>
      <w:r>
        <w:t xml:space="preserve"> </w:t>
      </w:r>
      <w:r>
        <w:t xml:space="preserve">arises to structural violations in implicit artificial-grammar learning, where the</w:t>
      </w:r>
      <w:r>
        <w:t xml:space="preserve"> </w:t>
      </w:r>
      <w:r>
        <w:t xml:space="preserve">sequences carry no morphology at all</w:t>
      </w:r>
      <w:r>
        <w:t xml:space="preserve"> </w:t>
      </w:r>
      <w:r>
        <w:t xml:space="preserve">(</w:t>
      </w:r>
      <w:hyperlink w:anchor="ref-silva2017">
        <w:r>
          <w:rPr>
            <w:rStyle w:val="Hyperlink"/>
          </w:rPr>
          <w:t xml:space="preserve">Silva et al., 2017</w:t>
        </w:r>
      </w:hyperlink>
      <w:r>
        <w:t xml:space="preserve">)</w:t>
      </w:r>
      <w:r>
        <w:t xml:space="preserve">. Because</w:t>
      </w:r>
      <w:r>
        <w:t xml:space="preserve"> </w:t>
      </w:r>
      <w:r>
        <w:t xml:space="preserve">grammaticality is coded grammatical</w:t>
      </w:r>
      <w:r>
        <w:t xml:space="preserve"> </w:t>
      </w:r>
      <m:oMath>
        <m:r>
          <m:rPr>
            <m:sty m:val="p"/>
          </m:rPr>
          <m:t>=</m:t>
        </m:r>
        <m:r>
          <m:rPr>
            <m:sty m:val="p"/>
          </m:rPr>
          <m:t>+</m:t>
        </m:r>
        <m:r>
          <m:t>0.5</m:t>
        </m:r>
      </m:oMath>
      <w:r>
        <w:t xml:space="preserve">, this implies a</w:t>
      </w:r>
      <w:r>
        <w:t xml:space="preserve"> </w:t>
      </w:r>
      <w:r>
        <w:rPr>
          <w:i/>
          <w:iCs/>
        </w:rPr>
        <w:t xml:space="preserve">negative</w:t>
      </w:r>
      <w:r>
        <w:t xml:space="preserve"> </w:t>
      </w:r>
      <w:r>
        <w:t xml:space="preserve">prior mean on the</w:t>
      </w:r>
      <w:r>
        <w:t xml:space="preserve"> </w:t>
      </w:r>
      <w:r>
        <w:t xml:space="preserve">grammaticality slope in the P600 window, carried more mildly into the 300–600 ms window</w:t>
      </w:r>
      <w:r>
        <w:t xml:space="preserve"> </w:t>
      </w:r>
      <w:r>
        <w:t xml:space="preserve">for the two agreement properties, whose late signature is a positivity rather than an N400.</w:t>
      </w:r>
      <w:r>
        <w:t xml:space="preserve"> </w:t>
      </w:r>
      <w:r>
        <w:t xml:space="preserve">For differential object marking, the specification differs in both windows, being widened</w:t>
      </w:r>
      <w:r>
        <w:t xml:space="preserve"> </w:t>
      </w:r>
      <w:r>
        <w:t xml:space="preserve">in the later window and left zero-centred in the earlier one, because case-marking</w:t>
      </w:r>
      <w:r>
        <w:t xml:space="preserve"> </w:t>
      </w:r>
      <w:r>
        <w:t xml:space="preserve">violations are configuration-dependent and elicit a P600, an N400 or a biphasic response</w:t>
      </w:r>
      <w:r>
        <w:t xml:space="preserve"> </w:t>
      </w:r>
      <w:r>
        <w:t xml:space="preserve">according to animacy and markedness</w:t>
      </w:r>
      <w:r>
        <w:t xml:space="preserve"> </w:t>
      </w:r>
      <w:r>
        <w:t xml:space="preserve">(</w:t>
      </w:r>
      <w:hyperlink w:anchor="ref-frisch2001">
        <w:r>
          <w:rPr>
            <w:rStyle w:val="Hyperlink"/>
          </w:rPr>
          <w:t xml:space="preserve">Frisch &amp; Schlesewsky, 2001</w:t>
        </w:r>
      </w:hyperlink>
      <w:r>
        <w:t xml:space="preserve">;</w:t>
      </w:r>
      <w:r>
        <w:t xml:space="preserve"> </w:t>
      </w:r>
      <w:hyperlink w:anchor="ref-mueller2007">
        <w:r>
          <w:rPr>
            <w:rStyle w:val="Hyperlink"/>
          </w:rPr>
          <w:t xml:space="preserve">Mueller et al., 2007</w:t>
        </w:r>
      </w:hyperlink>
      <w:r>
        <w:t xml:space="preserve">;</w:t>
      </w:r>
      <w:r>
        <w:t xml:space="preserve"> </w:t>
      </w:r>
      <w:hyperlink w:anchor="ref-nieuwland2013">
        <w:r>
          <w:rPr>
            <w:rStyle w:val="Hyperlink"/>
          </w:rPr>
          <w:t xml:space="preserve">Nieuwland et al., 2013</w:t>
        </w:r>
      </w:hyperlink>
      <w:r>
        <w:t xml:space="preserve">)</w:t>
      </w:r>
      <w:r>
        <w:t xml:space="preserve">. The early</w:t>
      </w:r>
      <w:r>
        <w:t xml:space="preserve"> </w:t>
      </w:r>
      <w:r>
        <w:t xml:space="preserve">(200–500 ms) anterior-negativity window was left zero-centred, because the LAN is small and</w:t>
      </w:r>
      <w:r>
        <w:t xml:space="preserve"> </w:t>
      </w:r>
      <w:r>
        <w:t xml:space="preserve">present in only roughly half of participants and items, so its sign is not safely</w:t>
      </w:r>
      <w:r>
        <w:t xml:space="preserve"> </w:t>
      </w:r>
      <w:r>
        <w:t xml:space="preserve">predictable</w:t>
      </w:r>
      <w:r>
        <w:t xml:space="preserve"> </w:t>
      </w:r>
      <w:r>
        <w:t xml:space="preserve">(</w:t>
      </w:r>
      <w:hyperlink w:anchor="ref-caffarra2019">
        <w:r>
          <w:rPr>
            <w:rStyle w:val="Hyperlink"/>
          </w:rPr>
          <w:t xml:space="preserve">Caffarra et al., 2019</w:t>
        </w:r>
      </w:hyperlink>
      <w:r>
        <w:t xml:space="preserve">)</w:t>
      </w:r>
      <w:r>
        <w:t xml:space="preserve">. The 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interaction, the language-conditioned contrast under test, was</w:t>
      </w:r>
      <w:r>
        <w:t xml:space="preserve"> </w:t>
      </w:r>
      <w:r>
        <w:t xml:space="preserve">kept zero-centred, because the second-language signature of these effects is qualitatively</w:t>
      </w:r>
      <w:r>
        <w:t xml:space="preserve"> </w:t>
      </w:r>
      <w:r>
        <w:t xml:space="preserve">contested</w:t>
      </w:r>
      <w:r>
        <w:t xml:space="preserve"> </w:t>
      </w:r>
      <w:r>
        <w:t xml:space="preserve">(</w:t>
      </w:r>
      <w:hyperlink w:anchor="ref-chen2007">
        <w:r>
          <w:rPr>
            <w:rStyle w:val="Hyperlink"/>
          </w:rPr>
          <w:t xml:space="preserve">Chen et al., 2007</w:t>
        </w:r>
      </w:hyperlink>
      <w:r>
        <w:t xml:space="preserve">;</w:t>
      </w:r>
      <w:r>
        <w:t xml:space="preserve"> </w:t>
      </w:r>
      <w:hyperlink w:anchor="ref-mueller2009">
        <w:r>
          <w:rPr>
            <w:rStyle w:val="Hyperlink"/>
          </w:rPr>
          <w:t xml:space="preserve">Mueller et al., 2009</w:t>
        </w:r>
      </w:hyperlink>
      <w:r>
        <w:t xml:space="preserve">)</w:t>
      </w:r>
      <w:r>
        <w:t xml:space="preserve"> </w:t>
      </w:r>
      <w:r>
        <w:t xml:space="preserve">and proficiency-dependent</w:t>
      </w:r>
      <w:r>
        <w:t xml:space="preserve"> </w:t>
      </w:r>
      <w:r>
        <w:t xml:space="preserve">(</w:t>
      </w:r>
      <w:hyperlink w:anchor="ref-caffarra2015">
        <w:r>
          <w:rPr>
            <w:rStyle w:val="Hyperlink"/>
          </w:rPr>
          <w:t xml:space="preserve">Caffarra et al., 2015</w:t>
        </w:r>
      </w:hyperlink>
      <w:r>
        <w:t xml:space="preserve">)</w:t>
      </w:r>
      <w:r>
        <w:t xml:space="preserve">. The priors</w:t>
      </w:r>
      <w:r>
        <w:t xml:space="preserve"> </w:t>
      </w:r>
      <w:r>
        <w:t xml:space="preserve">thus inform the model where the evidence is strong without biasing the effects we set out</w:t>
      </w:r>
      <w:r>
        <w:t xml:space="preserve"> </w:t>
      </w:r>
      <w:r>
        <w:t xml:space="preserve">to estimate.</w:t>
      </w:r>
    </w:p>
    <w:p>
      <w:pPr>
        <w:pStyle w:val="BodyText"/>
      </w:pPr>
      <w:r>
        <w:t xml:space="preserve">For the accuracy models, artificial-language learners judge grammaticality well above</w:t>
      </w:r>
      <w:r>
        <w:t xml:space="preserve"> </w:t>
      </w:r>
      <w:r>
        <w:t xml:space="preserve">chance and improve across successive test blocks even under mere exposure, without</w:t>
      </w:r>
      <w:r>
        <w:t xml:space="preserve"> </w:t>
      </w:r>
      <w:r>
        <w:t xml:space="preserve">explicit instruction or feedback</w:t>
      </w:r>
      <w:r>
        <w:t xml:space="preserve"> </w:t>
      </w:r>
      <w:r>
        <w:t xml:space="preserve">(</w:t>
      </w:r>
      <w:hyperlink w:anchor="ref-mueller2009">
        <w:r>
          <w:rPr>
            <w:rStyle w:val="Hyperlink"/>
          </w:rPr>
          <w:t xml:space="preserve">Mueller et al., 2009</w:t>
        </w:r>
      </w:hyperlink>
      <w:r>
        <w:t xml:space="preserve">)</w:t>
      </w:r>
      <w:r>
        <w:t xml:space="preserve">, motivating a positive intercept and a</w:t>
      </w:r>
      <w:r>
        <w:t xml:space="preserve"> </w:t>
      </w:r>
      <w:r>
        <w:t xml:space="preserve">positive session slope. In signal-detection terms, these encode above-chance sensitivity</w:t>
      </w:r>
      <w:r>
        <w:t xml:space="preserve"> </w:t>
      </w:r>
      <w:r>
        <w:t xml:space="preserve">that increases with training. Every term that carries grammaticality, and so indexes</w:t>
      </w:r>
      <w:r>
        <w:t xml:space="preserve"> </w:t>
      </w:r>
      <w:r>
        <w:t xml:space="preserve">response bias, received the zero-centred default. Random-effect standard deviations, and the residual standard</w:t>
      </w:r>
      <w:r>
        <w:t xml:space="preserve"> </w:t>
      </w:r>
      <w:r>
        <w:t xml:space="preserve">deviation of the ERP models, received a generous half–Student-</w:t>
      </w:r>
      <m:oMath>
        <m:r>
          <m:t>t</m:t>
        </m:r>
      </m:oMath>
      <w:r>
        <w:t xml:space="preserve"> </w:t>
      </w:r>
      <w:r>
        <w:t xml:space="preserve">prior, a weakly</w:t>
      </w:r>
      <w:r>
        <w:t xml:space="preserve"> </w:t>
      </w:r>
      <w:r>
        <w:t xml:space="preserve">informative default for variance parameters in hierarchical models</w:t>
      </w:r>
      <w:r>
        <w:t xml:space="preserve"> </w:t>
      </w:r>
      <w:r>
        <w:t xml:space="preserve">(</w:t>
      </w:r>
      <w:hyperlink w:anchor="ref-gelman2006">
        <w:r>
          <w:rPr>
            <w:rStyle w:val="Hyperlink"/>
          </w:rPr>
          <w:t xml:space="preserve">Gelman, 2006</w:t>
        </w:r>
      </w:hyperlink>
      <w:r>
        <w:t xml:space="preserve">)</w:t>
      </w:r>
      <w:r>
        <w:t xml:space="preserve">.</w:t>
      </w:r>
      <w:r>
        <w:t xml:space="preserve"> </w:t>
      </w:r>
      <w:r>
        <w:t xml:space="preserve">A generous prior is warranted here because between-participant variation in</w:t>
      </w:r>
      <w:r>
        <w:t xml:space="preserve"> </w:t>
      </w:r>
      <w:r>
        <w:t xml:space="preserve">the morphosyntactic ERP response is not incidental noise.</w:t>
      </w:r>
      <w:r>
        <w:t xml:space="preserve"> </w:t>
      </w:r>
      <w:r>
        <w:t xml:space="preserve">Tanner and Van Hell (</w:t>
      </w:r>
      <w:hyperlink w:anchor="ref-tanner2014">
        <w:r>
          <w:rPr>
            <w:rStyle w:val="Hyperlink"/>
          </w:rPr>
          <w:t xml:space="preserve">2014</w:t>
        </w:r>
      </w:hyperlink>
      <w:r>
        <w:t xml:space="preserve">)</w:t>
      </w:r>
      <w:r>
        <w:t xml:space="preserve"> </w:t>
      </w:r>
      <w:r>
        <w:t xml:space="preserve">found that although</w:t>
      </w:r>
      <w:r>
        <w:t xml:space="preserve"> </w:t>
      </w:r>
      <w:r>
        <w:t xml:space="preserve">the grand mean showed the usual biphasic LAN–P600 pattern, individual responses varied</w:t>
      </w:r>
      <w:r>
        <w:t xml:space="preserve"> </w:t>
      </w:r>
      <w:r>
        <w:t xml:space="preserve">systematically along a continuum between negativity-dominant and positivity-dominant, so</w:t>
      </w:r>
      <w:r>
        <w:t xml:space="preserve"> </w:t>
      </w:r>
      <w:r>
        <w:t xml:space="preserve">participants differ in the form of the response and not only in its size. Modelling that</w:t>
      </w:r>
      <w:r>
        <w:t xml:space="preserve"> </w:t>
      </w:r>
      <w:r>
        <w:t xml:space="preserve">variation as a random effect over single trials, instead of averaging across it, is the</w:t>
      </w:r>
      <w:r>
        <w:t xml:space="preserve"> </w:t>
      </w:r>
      <w:r>
        <w:t xml:space="preserve">approach</w:t>
      </w:r>
      <w:r>
        <w:t xml:space="preserve"> </w:t>
      </w:r>
      <w:r>
        <w:t xml:space="preserve">Volpert-Esmond et al. (</w:t>
      </w:r>
      <w:hyperlink w:anchor="ref-volpertesmond2021">
        <w:r>
          <w:rPr>
            <w:rStyle w:val="Hyperlink"/>
          </w:rPr>
          <w:t xml:space="preserve">2021</w:t>
        </w:r>
      </w:hyperlink>
      <w:r>
        <w:t xml:space="preserve">)</w:t>
      </w:r>
      <w:r>
        <w:t xml:space="preserve"> </w:t>
      </w:r>
      <w:r>
        <w:t xml:space="preserve">set out for ERP data. Random-effect correlation</w:t>
      </w:r>
      <w:r>
        <w:t xml:space="preserve"> </w:t>
      </w:r>
      <w:r>
        <w:t xml:space="preserve">matrices received an</w:t>
      </w:r>
      <w:r>
        <w:t xml:space="preserve"> </w:t>
      </w:r>
      <m:oMath>
        <m:r>
          <m:rPr>
            <m:sty m:val="p"/>
          </m:rPr>
          <m:t>L</m:t>
        </m:r>
        <m:r>
          <m:rPr>
            <m:sty m:val="p"/>
          </m:rPr>
          <m:t>K</m:t>
        </m:r>
        <m:r>
          <m:rPr>
            <m:sty m:val="p"/>
          </m:rPr>
          <m:t>J</m:t>
        </m:r>
        <m:r>
          <m:rPr>
            <m:sty m:val="p"/>
          </m:rPr>
          <m:t>(</m:t>
        </m:r>
        <m:r>
          <m:t>2</m:t>
        </m:r>
        <m:r>
          <m:rPr>
            <m:sty m:val="p"/>
          </m:rPr>
          <m:t>)</m:t>
        </m:r>
      </m:oMath>
      <w:r>
        <w:t xml:space="preserve"> </w:t>
      </w:r>
      <w:r>
        <w:t xml:space="preserve">prior</w:t>
      </w:r>
      <w:r>
        <w:t xml:space="preserve"> </w:t>
      </w:r>
      <w:r>
        <w:t xml:space="preserve">(</w:t>
      </w:r>
      <w:hyperlink w:anchor="ref-lewandowski2009">
        <w:r>
          <w:rPr>
            <w:rStyle w:val="Hyperlink"/>
          </w:rPr>
          <w:t xml:space="preserve">Lewandowski et al., 2009</w:t>
        </w:r>
      </w:hyperlink>
      <w:r>
        <w:t xml:space="preserve">)</w:t>
      </w:r>
      <w:r>
        <w:t xml:space="preserve">.</w:t>
      </w:r>
      <w:r>
        <w:t xml:space="preserve"> </w:t>
      </w:r>
      <w:hyperlink w:anchor="tbl-priors">
        <w:r>
          <w:rPr>
            <w:rStyle w:val="Hyperlink"/>
          </w:rPr>
          <w:t xml:space="preserve">Table C1</w:t>
        </w:r>
      </w:hyperlink>
      <w:r>
        <w:t xml:space="preserve"> </w:t>
      </w:r>
      <w:r>
        <w:t xml:space="preserve">in</w:t>
      </w:r>
      <w:r>
        <w:t xml:space="preserve"> </w:t>
      </w:r>
      <w:hyperlink w:anchor="apx-prior-specifications">
        <w:r>
          <w:rPr>
            <w:rStyle w:val="Hyperlink"/>
          </w:rPr>
          <w:t xml:space="preserve">Appendix C</w:t>
        </w:r>
      </w:hyperlink>
      <w:r>
        <w:t xml:space="preserve"> </w:t>
      </w:r>
      <w:r>
        <w:t xml:space="preserve">gives the distribution placed on every parameter. The literature does not</w:t>
      </w:r>
      <w:r>
        <w:t xml:space="preserve"> </w:t>
      </w:r>
      <w:r>
        <w:t xml:space="preserve">supply a defensible microvolt effect size for these components (even systematic resampling</w:t>
      </w:r>
      <w:r>
        <w:t xml:space="preserve"> </w:t>
      </w:r>
      <w:r>
        <w:t xml:space="preserve">finds the magnitude of the P600 to vary widely across samples,</w:t>
      </w:r>
      <w:r>
        <w:t xml:space="preserve"> </w:t>
      </w:r>
      <w:r>
        <w:t xml:space="preserve">Kim et al. (</w:t>
      </w:r>
      <w:hyperlink w:anchor="ref-kim2024">
        <w:r>
          <w:rPr>
            <w:rStyle w:val="Hyperlink"/>
          </w:rPr>
          <w:t xml:space="preserve">2024</w:t>
        </w:r>
      </w:hyperlink>
      <w:r>
        <w:t xml:space="preserve">)</w:t>
      </w:r>
      <w:r>
        <w:t xml:space="preserve">).</w:t>
      </w:r>
      <w:r>
        <w:t xml:space="preserve"> </w:t>
      </w:r>
      <w:r>
        <w:t xml:space="preserve">Prior means therefore encode only sign and a regularised magnitude, and their influence is</w:t>
      </w:r>
      <w:r>
        <w:t xml:space="preserve"> </w:t>
      </w:r>
      <w:r>
        <w:t xml:space="preserve">bounded by deliberately wide standard deviations. Prior</w:t>
      </w:r>
      <w:r>
        <w:t xml:space="preserve"> </w:t>
      </w:r>
      <w:r>
        <w:t xml:space="preserve">predictive simulation confirmed that the priors imply amplitude and accuracy distributions</w:t>
      </w:r>
      <w:r>
        <w:t xml:space="preserve"> </w:t>
      </w:r>
      <w:r>
        <w:t xml:space="preserve">that encompass the observed data (</w:t>
      </w:r>
      <w:hyperlink w:anchor="fig-priorpc">
        <w:r>
          <w:rPr>
            <w:rStyle w:val="Hyperlink"/>
          </w:rPr>
          <w:t xml:space="preserve">Figure 6</w:t>
        </w:r>
      </w:hyperlink>
      <w:r>
        <w:t xml:space="preserve">). Every model in the grid, under both</w:t>
      </w:r>
      <w:r>
        <w:t xml:space="preserve"> </w:t>
      </w:r>
      <w:r>
        <w:t xml:space="preserve">random-effect structures, and every accuracy model was also refitted on the same data,</w:t>
      </w:r>
      <w:r>
        <w:t xml:space="preserve"> </w:t>
      </w:r>
      <w:r>
        <w:t xml:space="preserve">as a sensitivity analysis, under the former weakly informative priors of</w:t>
      </w:r>
      <w:r>
        <w:t xml:space="preserve"> </w:t>
      </w:r>
      <m:oMath>
        <m:r>
          <m:rPr>
            <m:scr m:val="script"/>
            <m:sty m:val="p"/>
          </m:rPr>
          <m:t>N</m:t>
        </m:r>
        <m:r>
          <m:rPr>
            <m:sty m:val="p"/>
          </m:rPr>
          <m:t>(</m:t>
        </m:r>
        <m:r>
          <m:t>0</m:t>
        </m:r>
        <m:r>
          <m:rPr>
            <m:sty m:val="p"/>
          </m:rPr>
          <m:t>,</m:t>
        </m:r>
        <m:r>
          <m:t>1</m:t>
        </m:r>
        <m:r>
          <m:rPr>
            <m:sty m:val="p"/>
          </m:rPr>
          <m:t>)</m:t>
        </m:r>
      </m:oMath>
      <w:r>
        <w:t xml:space="preserve"> </w:t>
      </w:r>
      <w:r>
        <w:t xml:space="preserve">and</w:t>
      </w:r>
      <w:r>
        <w:t xml:space="preserve"> </w:t>
      </w:r>
      <m:oMath>
        <m:r>
          <m:rPr>
            <m:scr m:val="script"/>
            <m:sty m:val="p"/>
          </m:rPr>
          <m:t>N</m:t>
        </m:r>
        <m:r>
          <m:rPr>
            <m:sty m:val="p"/>
          </m:rPr>
          <m:t>(</m:t>
        </m:r>
        <m:r>
          <m:t>0</m:t>
        </m:r>
        <m:r>
          <m:rPr>
            <m:sty m:val="p"/>
          </m:rPr>
          <m:t>,</m:t>
        </m:r>
        <m:r>
          <m:t>1.5</m:t>
        </m:r>
        <m:r>
          <m:rPr>
            <m:sty m:val="p"/>
          </m:rPr>
          <m:t>)</m:t>
        </m:r>
      </m:oMath>
      <w:r>
        <w:t xml:space="preserve">, and the estimates were essentially</w:t>
      </w:r>
      <w:r>
        <w:t xml:space="preserve"> </w:t>
      </w:r>
      <w:r>
        <w:t xml:space="preserve">unchanged. The retention-free refits were fitted under the informative priors only. The largest</w:t>
      </w:r>
      <w:r>
        <w:t xml:space="preserve"> </w:t>
      </w:r>
      <w:r>
        <w:t xml:space="preserve">shift in any grammaticality term was 0.0004 on the within-participant</w:t>
      </w:r>
      <w:r>
        <w:t xml:space="preserve"> </w:t>
      </w:r>
      <w:r>
        <w:t xml:space="preserve">standardised scale for the ERP models and 0.059 in</w:t>
      </w:r>
      <w:r>
        <w:t xml:space="preserve"> </w:t>
      </w:r>
      <w:r>
        <w:t xml:space="preserve">log-odds for the accuracy models. No grammaticality term’s credible interval changed</w:t>
      </w:r>
      <w:r>
        <w:t xml:space="preserve"> </w:t>
      </w:r>
      <w:r>
        <w:t xml:space="preserve">width by more than 3.3% in the ERP models or</w:t>
      </w:r>
      <w:r>
        <w:t xml:space="preserve"> </w:t>
      </w:r>
      <w:r>
        <w:t xml:space="preserve">2.7% in the accuracy models. Taken over every</w:t>
      </w:r>
      <w:r>
        <w:t xml:space="preserve"> </w:t>
      </w:r>
      <w:r>
        <w:t xml:space="preserve">reported parameter, the largest width change</w:t>
      </w:r>
      <w:r>
        <w:t xml:space="preserve"> </w:t>
      </w:r>
      <w:r>
        <w:t xml:space="preserve">was 6.5%. The informative priors therefore regularise without driving the</w:t>
      </w:r>
      <w:r>
        <w:t xml:space="preserve"> </w:t>
      </w:r>
      <w:r>
        <w:t xml:space="preserve">conclusions</w:t>
      </w:r>
      <w:r>
        <w:t xml:space="preserve"> </w:t>
      </w:r>
      <w:r>
        <w:t xml:space="preserve">(</w:t>
      </w:r>
      <w:hyperlink w:anchor="ref-depaoli2017">
        <w:r>
          <w:rPr>
            <w:rStyle w:val="Hyperlink"/>
          </w:rPr>
          <w:t xml:space="preserve">Depaoli &amp; van de Schoot, 2017</w:t>
        </w:r>
      </w:hyperlink>
      <w:r>
        <w:t xml:space="preserve">;</w:t>
      </w:r>
      <w:r>
        <w:t xml:space="preserve"> </w:t>
      </w:r>
      <w:hyperlink w:anchor="ref-schad2021">
        <w:r>
          <w:rPr>
            <w:rStyle w:val="Hyperlink"/>
          </w:rPr>
          <w:t xml:space="preserve">Schad et al., 2021</w:t>
        </w:r>
      </w:hyperlink>
      <w:r>
        <w:t xml:space="preserve">;</w:t>
      </w:r>
      <w:r>
        <w:t xml:space="preserve"> </w:t>
      </w:r>
      <w:hyperlink w:anchor="ref-vandeschoot2021">
        <w:r>
          <w:rPr>
            <w:rStyle w:val="Hyperlink"/>
          </w:rPr>
          <w:t xml:space="preserve">van de Schoot et al., 2021</w:t>
        </w:r>
      </w:hyperlink>
      <w:r>
        <w:t xml:space="preserve">)</w:t>
      </w:r>
      <w:r>
        <w:t xml:space="preserve">. Under both random-effect</w:t>
      </w:r>
      <w:r>
        <w:t xml:space="preserve"> </w:t>
      </w:r>
      <w:r>
        <w:t xml:space="preserve">structures, each grammaticality term is credible in the same ERP cells, with the same sign,</w:t>
      </w:r>
      <w:r>
        <w:t xml:space="preserve"> </w:t>
      </w:r>
      <w:r>
        <w:t xml:space="preserve">under the weak priors as under the informative</w:t>
      </w:r>
      <w:r>
        <w:t xml:space="preserve"> </w:t>
      </w:r>
      <w:r>
        <w:t xml:space="preserve">ones.</w:t>
      </w:r>
      <w:r>
        <w:t xml:space="preserve"> </w:t>
      </w:r>
      <w:r>
        <w:t xml:space="preserve">The credible effect whose interval lies closest to zero (gender agreement, grammaticality</w:t>
      </w:r>
      <w:r>
        <w:t xml:space="preserve"> </w:t>
      </w:r>
      <m:oMath>
        <m:r>
          <m:rPr>
            <m:sty m:val="p"/>
          </m:rPr>
          <m:t>×</m:t>
        </m:r>
      </m:oMath>
      <w:r>
        <w:t xml:space="preserve"> </w:t>
      </w:r>
      <w:r>
        <w:t xml:space="preserve">session, midline 400–900 ms) is</w:t>
      </w:r>
      <w:r>
        <w:t xml:space="preserve"> </w:t>
      </w:r>
      <m:oMath>
        <m:r>
          <m:t>b</m:t>
        </m:r>
        <m:r>
          <m:rPr>
            <m:sty m:val="p"/>
          </m:rPr>
          <m:t>=</m:t>
        </m:r>
        <m:r>
          <m:t>0.021</m:t>
        </m:r>
      </m:oMath>
      <w:r>
        <w:t xml:space="preserve">, 95% CrI</w:t>
      </w:r>
      <w:r>
        <w:t xml:space="preserve"> </w:t>
      </w:r>
      <m:oMath>
        <m:r>
          <m:rPr>
            <m:sty m:val="p"/>
          </m:rPr>
          <m:t>[</m:t>
        </m:r>
        <m:r>
          <m:t>0.002</m:t>
        </m:r>
        <m:r>
          <m:rPr>
            <m:sty m:val="p"/>
          </m:rPr>
          <m:t>,</m:t>
        </m:r>
        <m:r>
          <m:t>0.041</m:t>
        </m:r>
        <m:r>
          <m:rPr>
            <m:sty m:val="p"/>
          </m:rPr>
          <m:t>]</m:t>
        </m:r>
      </m:oMath>
      <w:r>
        <w:t xml:space="preserve">,</w:t>
      </w:r>
      <w:r>
        <w:t xml:space="preserve"> </w:t>
      </w:r>
      <m:oMath>
        <m:sSub>
          <m:e>
            <m:r>
              <m:t>p</m:t>
            </m:r>
          </m:e>
          <m:sub>
            <m:r>
              <m:t>d</m:t>
            </m:r>
          </m:sub>
        </m:sSub>
        <m:r>
          <m:rPr>
            <m:sty m:val="p"/>
          </m:rPr>
          <m:t>=</m:t>
        </m:r>
        <m:r>
          <m:t>.99</m:t>
        </m:r>
      </m:oMath>
      <w:r>
        <w:t xml:space="preserve"> </w:t>
      </w:r>
      <w:r>
        <w:t xml:space="preserve">under the weak priors, so its credibility does not depend on them.</w:t>
      </w:r>
    </w:p>
    <w:bookmarkStart w:id="85" w:name="fig-priorpc"/>
    <w:p>
      <w:pPr>
        <w:pStyle w:val="FigureTitle"/>
      </w:pPr>
      <w:r>
        <w:t xml:space="preserve">Figure 6</w:t>
      </w:r>
    </w:p>
    <w:p>
      <w:pPr>
        <w:pStyle w:val="Caption"/>
      </w:pPr>
      <w:r>
        <w:t xml:space="preserve">Prior Predictive Check for a Representative ERP Model</w:t>
      </w:r>
    </w:p>
    <w:p>
      <w:pPr>
        <w:pStyle w:val="FigureWithNote"/>
      </w:pPr>
      <w:r>
        <w:drawing>
          <wp:inline>
            <wp:extent cx="5943600" cy="2926079"/>
            <wp:effectExtent b="0" l="0" r="0" t="0"/>
            <wp:docPr descr="" title="" id="83" name="Picture"/>
            <a:graphic>
              <a:graphicData uri="http://schemas.openxmlformats.org/drawingml/2006/picture">
                <pic:pic>
                  <pic:nvPicPr>
                    <pic:cNvPr descr="paper_1_morphosyntax_files/figure-docx/fig-priorpc-1.png" id="84" name="Picture"/>
                    <pic:cNvPicPr>
                      <a:picLocks noChangeArrowheads="1" noChangeAspect="1"/>
                    </pic:cNvPicPr>
                  </pic:nvPicPr>
                  <pic:blipFill>
                    <a:blip r:embed="rId82"/>
                    <a:stretch>
                      <a:fillRect/>
                    </a:stretch>
                  </pic:blipFill>
                  <pic:spPr bwMode="auto">
                    <a:xfrm>
                      <a:off x="0" y="0"/>
                      <a:ext cx="5943600" cy="2926079"/>
                    </a:xfrm>
                    <a:prstGeom prst="rect">
                      <a:avLst/>
                    </a:prstGeom>
                    <a:noFill/>
                    <a:ln w="9525">
                      <a:noFill/>
                      <a:headEnd/>
                      <a:tailEnd/>
                    </a:ln>
                  </pic:spPr>
                </pic:pic>
              </a:graphicData>
            </a:graphic>
          </wp:inline>
        </w:drawing>
      </w:r>
    </w:p>
    <w:bookmarkEnd w:id="85"/>
    <w:p>
      <w:pPr>
        <w:pStyle w:val="FigureNote"/>
      </w:pPr>
      <w:r>
        <w:rPr>
          <w:i/>
          <w:iCs/>
        </w:rPr>
        <w:t xml:space="preserve">Note</w:t>
      </w:r>
      <w:r>
        <w:t xml:space="preserve">. The model is subject–verb gender agreement, 400–900 ms, midline, with its informative priors and the maximal random-effect structure. Grey lines are the densities of 100 datasets simulated from the priors alone, with the likelihood switched off, and the black line is that of the 12,908 observed single-trial amplitudes, z-scored within participant. Each density is a Gaussian kernel estimate. The horizontal axis is amplitude in within-participant standard deviations and the vertical axis is density. The prior predictive distribution comfortably encompasses the observed data, so the priors are not in conflict with it. The horizontal axis is limited to 8 standard deviations either side of zero, which holds 66% of the simulated values. Wide priors on a standardised scale are meant to reach far: 1% of the simulated values lie beyond 38, and on that range the observed density would collapse to a spike at zero. The check therefore establishes that the priors generate data of a plausible order of magnitude, not that they are tightly calibrated to the observed distribution.</w:t>
      </w:r>
    </w:p>
    <w:bookmarkEnd w:id="86"/>
    <w:bookmarkStart w:id="87" w:name="sampler-settings-and-convergence"/>
    <w:p>
      <w:pPr>
        <w:pStyle w:val="Heading3"/>
      </w:pPr>
      <w:r>
        <w:t xml:space="preserve">Sampler settings and convergence</w:t>
      </w:r>
    </w:p>
    <w:p>
      <w:pPr>
        <w:pStyle w:val="FirstParagraph"/>
      </w:pPr>
      <w:r>
        <w:t xml:space="preserve">Each model was run with four chains of 10,000 iterations, the first 2,000 of each</w:t>
      </w:r>
      <w:r>
        <w:t xml:space="preserve"> </w:t>
      </w:r>
      <w:r>
        <w:t xml:space="preserve">discarded as warm-up, with</w:t>
      </w:r>
      <w:r>
        <w:t xml:space="preserve"> </w:t>
      </w:r>
      <w:r>
        <w:rPr>
          <w:rStyle w:val="VerbatimChar"/>
        </w:rPr>
        <w:t xml:space="preserve">adapt_delta = 0.95</w:t>
      </w:r>
      <w:r>
        <w:t xml:space="preserve"> </w:t>
      </w:r>
      <w:r>
        <w:t xml:space="preserve">and</w:t>
      </w:r>
      <w:r>
        <w:t xml:space="preserve"> </w:t>
      </w:r>
      <w:r>
        <w:rPr>
          <w:rStyle w:val="VerbatimChar"/>
        </w:rPr>
        <w:t xml:space="preserve">max_treedepth = 12</w:t>
      </w:r>
      <w:r>
        <w:t xml:space="preserve"> </w:t>
      </w:r>
      <w:r>
        <w:t xml:space="preserve">to accommodate the</w:t>
      </w:r>
      <w:r>
        <w:t xml:space="preserve"> </w:t>
      </w:r>
      <w:r>
        <w:t xml:space="preserve">challenging geometry of maximal multilevel posteriors. One fit was run longer, with the same seed and control settings, because its first run missed the</w:t>
      </w:r>
      <w:r>
        <w:t xml:space="preserve"> </w:t>
      </w:r>
      <m:oMath>
        <m:acc>
          <m:accPr>
            <m:chr m:val="̂"/>
          </m:accPr>
          <m:e>
            <m:r>
              <m:t>R</m:t>
            </m:r>
          </m:e>
        </m:acc>
      </m:oMath>
      <w:r>
        <w:t xml:space="preserve"> </w:t>
      </w:r>
      <w:r>
        <w:t xml:space="preserve">criterion</w:t>
      </w:r>
      <w:r>
        <w:t xml:space="preserve"> </w:t>
      </w:r>
      <w:r>
        <w:t xml:space="preserve">(</w:t>
      </w:r>
      <w:hyperlink w:anchor="ref-vehtari2021">
        <w:r>
          <w:rPr>
            <w:rStyle w:val="Hyperlink"/>
          </w:rPr>
          <w:t xml:space="preserve">Vehtari et al., 2021</w:t>
        </w:r>
      </w:hyperlink>
      <w:r>
        <w:t xml:space="preserve">)</w:t>
      </w:r>
      <w:r>
        <w:t xml:space="preserve">: gender agreement, 200–500 ms, lateral, base structure, weak prior (4,000 warm-up and 16,000 sampling iterations per chain). Convergence was assessed</w:t>
      </w:r>
      <w:r>
        <w:t xml:space="preserve"> </w:t>
      </w:r>
      <w:r>
        <w:t xml:space="preserve">with the rank-normalised split-</w:t>
      </w:r>
      <m:oMath>
        <m:acc>
          <m:accPr>
            <m:chr m:val="̂"/>
          </m:accPr>
          <m:e>
            <m:r>
              <m:t>R</m:t>
            </m:r>
          </m:e>
        </m:acc>
      </m:oMath>
      <w:r>
        <w:t xml:space="preserve"> </w:t>
      </w:r>
      <w:r>
        <w:t xml:space="preserve">and bulk/tail effective sample sizes</w:t>
      </w:r>
      <w:r>
        <w:t xml:space="preserve"> </w:t>
      </w:r>
      <w:r>
        <w:t xml:space="preserve">(</w:t>
      </w:r>
      <w:hyperlink w:anchor="ref-vehtari2021">
        <w:r>
          <w:rPr>
            <w:rStyle w:val="Hyperlink"/>
          </w:rPr>
          <w:t xml:space="preserve">Vehtari et al., 2021</w:t>
        </w:r>
      </w:hyperlink>
      <w:r>
        <w:t xml:space="preserve">)</w:t>
      </w:r>
      <w:r>
        <w:t xml:space="preserve">, requiring</w:t>
      </w:r>
      <w:r>
        <w:t xml:space="preserve"> </w:t>
      </w:r>
      <m:oMath>
        <m:acc>
          <m:accPr>
            <m:chr m:val="̂"/>
          </m:accPr>
          <m:e>
            <m:r>
              <m:t>R</m:t>
            </m:r>
          </m:e>
        </m:acc>
        <m:r>
          <m:rPr>
            <m:sty m:val="p"/>
          </m:rPr>
          <m:t>&lt;</m:t>
        </m:r>
        <m:r>
          <m:t>1.01</m:t>
        </m:r>
      </m:oMath>
      <w:r>
        <w:t xml:space="preserve">, bulk- and tail-ESS</w:t>
      </w:r>
      <w:r>
        <w:t xml:space="preserve"> </w:t>
      </w:r>
      <m:oMath>
        <m:r>
          <m:rPr>
            <m:sty m:val="p"/>
          </m:rPr>
          <m:t>&gt;</m:t>
        </m:r>
        <m:r>
          <m:t>400</m:t>
        </m:r>
      </m:oMath>
      <w:r>
        <w:t xml:space="preserve">, and</w:t>
      </w:r>
      <w:r>
        <w:t xml:space="preserve"> </w:t>
      </w:r>
      <w:r>
        <w:t xml:space="preserve">no divergent transitions. Model fit was checked with posterior predictive checks</w:t>
      </w:r>
      <w:r>
        <w:t xml:space="preserve"> </w:t>
      </w:r>
      <w:r>
        <w:t xml:space="preserve">(</w:t>
      </w:r>
      <w:hyperlink w:anchor="ref-gabry2019">
        <w:r>
          <w:rPr>
            <w:rStyle w:val="Hyperlink"/>
          </w:rPr>
          <w:t xml:space="preserve">Gabry et al., 2019</w:t>
        </w:r>
      </w:hyperlink>
      <w:r>
        <w:t xml:space="preserve">)</w:t>
      </w:r>
      <w:r>
        <w:t xml:space="preserve">. These two thresholds do different jobs. An</w:t>
      </w:r>
      <w:r>
        <w:t xml:space="preserve"> </w:t>
      </w:r>
      <w:r>
        <w:t xml:space="preserve">effective sample size of 400 (at least 100 per chain) is the point at which the</w:t>
      </w:r>
      <w:r>
        <w:t xml:space="preserve"> </w:t>
      </w:r>
      <m:oMath>
        <m:acc>
          <m:accPr>
            <m:chr m:val="̂"/>
          </m:accPr>
          <m:e>
            <m:r>
              <m:t>R</m:t>
            </m:r>
          </m:e>
        </m:acc>
      </m:oMath>
      <w:r>
        <w:t xml:space="preserve"> </w:t>
      </w:r>
      <w:r>
        <w:t xml:space="preserve">and ESS diagnostics are themselves reliable</w:t>
      </w:r>
      <w:r>
        <w:t xml:space="preserve"> </w:t>
      </w:r>
      <w:r>
        <w:t xml:space="preserve">(</w:t>
      </w:r>
      <w:hyperlink w:anchor="ref-vehtari2021">
        <w:r>
          <w:rPr>
            <w:rStyle w:val="Hyperlink"/>
          </w:rPr>
          <w:t xml:space="preserve">Vehtari et al., 2021</w:t>
        </w:r>
      </w:hyperlink>
      <w:r>
        <w:t xml:space="preserve">)</w:t>
      </w:r>
      <w:r>
        <w:t xml:space="preserve">. The stability of a</w:t>
      </w:r>
      <w:r>
        <w:t xml:space="preserve"> </w:t>
      </w:r>
      <w:r>
        <w:t xml:space="preserve">95% interval limit is a more demanding requirement, because extreme quantiles are estimated</w:t>
      </w:r>
      <w:r>
        <w:t xml:space="preserve"> </w:t>
      </w:r>
      <w:r>
        <w:t xml:space="preserve">far less efficiently than a posterior mean</w:t>
      </w:r>
      <w:r>
        <w:t xml:space="preserve"> </w:t>
      </w:r>
      <w:r>
        <w:t xml:space="preserve">(</w:t>
      </w:r>
      <w:hyperlink w:anchor="ref-kruschke2021">
        <w:r>
          <w:rPr>
            <w:rStyle w:val="Hyperlink"/>
          </w:rPr>
          <w:t xml:space="preserve">Kruschke, 2021</w:t>
        </w:r>
      </w:hyperlink>
      <w:r>
        <w:t xml:space="preserve">)</w:t>
      </w:r>
      <w:r>
        <w:t xml:space="preserve">. Over all parameters of all</w:t>
      </w:r>
      <w:r>
        <w:t xml:space="preserve"> </w:t>
      </w:r>
      <w:r>
        <w:t xml:space="preserve">models, the smallest bulk effective sample size is 785 and the smallest</w:t>
      </w:r>
      <w:r>
        <w:t xml:space="preserve"> </w:t>
      </w:r>
      <w:r>
        <w:t xml:space="preserve">tail effective sample size is 1,900, with the per-model values in</w:t>
      </w:r>
      <w:r>
        <w:t xml:space="preserve"> </w:t>
      </w:r>
      <w:hyperlink w:anchor="tbl-convergence-appendix">
        <w:r>
          <w:rPr>
            <w:rStyle w:val="Hyperlink"/>
          </w:rPr>
          <w:t xml:space="preserve">Table D1</w:t>
        </w:r>
      </w:hyperlink>
      <w:r>
        <w:t xml:space="preserve"> </w:t>
      </w:r>
      <w:r>
        <w:t xml:space="preserve">and</w:t>
      </w:r>
      <w:r>
        <w:t xml:space="preserve"> </w:t>
      </w:r>
      <w:hyperlink w:anchor="tbl-convergence-accuracy">
        <w:r>
          <w:rPr>
            <w:rStyle w:val="Hyperlink"/>
          </w:rPr>
          <w:t xml:space="preserve">Table D2</w:t>
        </w:r>
      </w:hyperlink>
      <w:r>
        <w:t xml:space="preserve"> </w:t>
      </w:r>
      <w:r>
        <w:t xml:space="preserve">in</w:t>
      </w:r>
      <w:r>
        <w:t xml:space="preserve"> </w:t>
      </w:r>
      <w:hyperlink w:anchor="apx-convergence-diagnostics">
        <w:r>
          <w:rPr>
            <w:rStyle w:val="Hyperlink"/>
          </w:rPr>
          <w:t xml:space="preserve">Appendix D</w:t>
        </w:r>
      </w:hyperlink>
      <w:r>
        <w:t xml:space="preserve">.</w:t>
      </w:r>
      <w:r>
        <w:t xml:space="preserve"> </w:t>
      </w:r>
      <w:r>
        <w:t xml:space="preserve">At the lower end of that range, the margin over the floor of 400 is narrow. The interval</w:t>
      </w:r>
      <w:r>
        <w:t xml:space="preserve"> </w:t>
      </w:r>
      <w:r>
        <w:t xml:space="preserve">limits of those models are therefore estimated less precisely than their medians, and</w:t>
      </w:r>
      <w:r>
        <w:t xml:space="preserve"> </w:t>
      </w:r>
      <w:r>
        <w:t xml:space="preserve">coefficients whose intervals lie close to zero should be treated as</w:t>
      </w:r>
      <w:r>
        <w:t xml:space="preserve"> </w:t>
      </w:r>
      <w:r>
        <w:t xml:space="preserve">borderline.</w:t>
      </w:r>
    </w:p>
    <w:bookmarkEnd w:id="87"/>
    <w:bookmarkStart w:id="88" w:name="inference"/>
    <w:p>
      <w:pPr>
        <w:pStyle w:val="Heading3"/>
      </w:pPr>
      <w:r>
        <w:t xml:space="preserve">Inference</w:t>
      </w:r>
    </w:p>
    <w:p>
      <w:pPr>
        <w:pStyle w:val="FirstParagraph"/>
      </w:pPr>
      <w:r>
        <w:t xml:space="preserve">We summarise each effect by its posterior median, 95% credible interval (CrI) and</w:t>
      </w:r>
      <w:r>
        <w:t xml:space="preserve"> </w:t>
      </w:r>
      <w:r>
        <w:t xml:space="preserve">probability of direction (</w:t>
      </w:r>
      <m:oMath>
        <m:sSub>
          <m:e>
            <m:r>
              <m:t>p</m:t>
            </m:r>
          </m:e>
          <m:sub>
            <m:r>
              <m:t>d</m:t>
            </m:r>
          </m:sub>
        </m:sSub>
      </m:oMath>
      <w:r>
        <w:t xml:space="preserve">, the posterior probability that the effect has its</w:t>
      </w:r>
      <w:r>
        <w:t xml:space="preserve"> </w:t>
      </w:r>
      <w:r>
        <w:t xml:space="preserve">median’s sign), an estimation-first approach that avoids dichotomous</w:t>
      </w:r>
      <w:r>
        <w:t xml:space="preserve"> </w:t>
      </w:r>
      <w:r>
        <w:t xml:space="preserve">null-hypothesis testing</w:t>
      </w:r>
      <w:r>
        <w:t xml:space="preserve"> </w:t>
      </w:r>
      <w:r>
        <w:t xml:space="preserve">(</w:t>
      </w:r>
      <w:hyperlink w:anchor="ref-makowski2019">
        <w:r>
          <w:rPr>
            <w:rStyle w:val="Hyperlink"/>
          </w:rPr>
          <w:t xml:space="preserve">Makowski et al., 2019</w:t>
        </w:r>
      </w:hyperlink>
      <w:r>
        <w:t xml:space="preserve">)</w:t>
      </w:r>
      <w:r>
        <w:t xml:space="preserve">. We describe an effect as</w:t>
      </w:r>
      <w:r>
        <w:t xml:space="preserve"> </w:t>
      </w:r>
      <w:r>
        <w:rPr>
          <w:i/>
          <w:iCs/>
        </w:rPr>
        <w:t xml:space="preserve">credible</w:t>
      </w:r>
      <w:r>
        <w:t xml:space="preserve"> </w:t>
      </w:r>
      <w:r>
        <w:t xml:space="preserve">when its 95%</w:t>
      </w:r>
      <w:r>
        <w:t xml:space="preserve"> </w:t>
      </w:r>
      <w:r>
        <w:t xml:space="preserve">credible interval excludes zero, and otherwise read</w:t>
      </w:r>
      <w:r>
        <w:t xml:space="preserve"> </w:t>
      </w:r>
      <m:oMath>
        <m:sSub>
          <m:e>
            <m:r>
              <m:t>p</m:t>
            </m:r>
          </m:e>
          <m:sub>
            <m:r>
              <m:t>d</m:t>
            </m:r>
          </m:sub>
        </m:sSub>
      </m:oMath>
      <w:r>
        <w:t xml:space="preserve"> </w:t>
      </w:r>
      <w:r>
        <w:t xml:space="preserve">as a continuous index of</w:t>
      </w:r>
      <w:r>
        <w:t xml:space="preserve"> </w:t>
      </w:r>
      <w:r>
        <w:t xml:space="preserve">directional certainty</w:t>
      </w:r>
      <w:r>
        <w:t xml:space="preserve"> </w:t>
      </w:r>
      <w:r>
        <w:t xml:space="preserve">(</w:t>
      </w:r>
      <w:hyperlink w:anchor="ref-kruschke2018">
        <w:r>
          <w:rPr>
            <w:rStyle w:val="Hyperlink"/>
          </w:rPr>
          <w:t xml:space="preserve">Kruschke &amp; Liddell, 2018</w:t>
        </w:r>
      </w:hyperlink>
      <w:r>
        <w:t xml:space="preserve">)</w:t>
      </w:r>
      <w:r>
        <w:t xml:space="preserve">. All</w:t>
      </w:r>
      <w:r>
        <w:t xml:space="preserve"> </w:t>
      </w:r>
      <w:r>
        <w:t xml:space="preserve">credible intervals are equal-tailed quantile intervals bounded by the 2.5th and 97.5th</w:t>
      </w:r>
      <w:r>
        <w:t xml:space="preserve"> </w:t>
      </w:r>
      <w:r>
        <w:t xml:space="preserve">percentiles of the posterior draws. For a skewed</w:t>
      </w:r>
      <w:r>
        <w:t xml:space="preserve"> </w:t>
      </w:r>
      <w:r>
        <w:t xml:space="preserve">posterior, an equal-tailed and a highest-density interval can differ in whether they</w:t>
      </w:r>
      <w:r>
        <w:t xml:space="preserve"> </w:t>
      </w:r>
      <w:r>
        <w:t xml:space="preserve">contain zero, so the choice is stated</w:t>
      </w:r>
      <w:r>
        <w:t xml:space="preserve"> </w:t>
      </w:r>
      <w:r>
        <w:t xml:space="preserve">(</w:t>
      </w:r>
      <w:hyperlink w:anchor="ref-kruschke2021">
        <w:r>
          <w:rPr>
            <w:rStyle w:val="Hyperlink"/>
          </w:rPr>
          <w:t xml:space="preserve">Kruschke, 2021</w:t>
        </w:r>
      </w:hyperlink>
      <w:r>
        <w:t xml:space="preserve">)</w:t>
      </w:r>
      <w:r>
        <w:t xml:space="preserve">. Within each model, hierarchical shrinkage</w:t>
      </w:r>
      <w:r>
        <w:t xml:space="preserve"> </w:t>
      </w:r>
      <w:r>
        <w:t xml:space="preserve">across participants and items already regularises the coefficient estimates</w:t>
      </w:r>
      <w:r>
        <w:t xml:space="preserve"> </w:t>
      </w:r>
      <w:r>
        <w:t xml:space="preserve">(</w:t>
      </w:r>
      <w:hyperlink w:anchor="ref-gelmanhillyajima2012">
        <w:r>
          <w:rPr>
            <w:rStyle w:val="Hyperlink"/>
          </w:rPr>
          <w:t xml:space="preserve">Gelman et al., 2012</w:t>
        </w:r>
      </w:hyperlink>
      <w:r>
        <w:t xml:space="preserve">;</w:t>
      </w:r>
      <w:r>
        <w:t xml:space="preserve"> </w:t>
      </w:r>
      <w:hyperlink w:anchor="ref-kruschke2018">
        <w:r>
          <w:rPr>
            <w:rStyle w:val="Hyperlink"/>
          </w:rPr>
          <w:t xml:space="preserve">Kruschke &amp; Liddell, 2018</w:t>
        </w:r>
      </w:hyperlink>
      <w:r>
        <w:t xml:space="preserve">)</w:t>
      </w:r>
      <w:r>
        <w:t xml:space="preserve">. The eighteen cells are fitted separately and are</w:t>
      </w:r>
      <w:r>
        <w:t xml:space="preserve"> </w:t>
      </w:r>
      <w:r>
        <w:t xml:space="preserve">not pooled towards one another, so that shrinkage is not itself an argument about the grid. The grid (3</w:t>
      </w:r>
      <w:r>
        <w:t xml:space="preserve"> </w:t>
      </w:r>
      <w:r>
        <w:t xml:space="preserve">properties</w:t>
      </w:r>
      <w:r>
        <w:t xml:space="preserve"> </w:t>
      </w:r>
      <m:oMath>
        <m:r>
          <m:rPr>
            <m:sty m:val="p"/>
          </m:rPr>
          <m:t>×</m:t>
        </m:r>
      </m:oMath>
      <w:r>
        <w:t xml:space="preserve"> </w:t>
      </w:r>
      <w:r>
        <w:t xml:space="preserve">3 a priori windows</w:t>
      </w:r>
      <w:r>
        <w:t xml:space="preserve"> </w:t>
      </w:r>
      <m:oMath>
        <m:r>
          <m:rPr>
            <m:sty m:val="p"/>
          </m:rPr>
          <m:t>×</m:t>
        </m:r>
      </m:oMath>
      <w:r>
        <w:t xml:space="preserve"> </w:t>
      </w:r>
      <w:r>
        <w:t xml:space="preserve">2 macroregions) is fixed before</w:t>
      </w:r>
      <w:r>
        <w:t xml:space="preserve"> </w:t>
      </w:r>
      <w:r>
        <w:t xml:space="preserve">fitting, and no cell is screened for significance before it is reported (</w:t>
      </w:r>
      <w:hyperlink w:anchor="fig-erp-forest">
        <w:r>
          <w:rPr>
            <w:rStyle w:val="Hyperlink"/>
          </w:rPr>
          <w:t xml:space="preserve">Figure 7</w:t>
        </w:r>
      </w:hyperlink>
      <w:r>
        <w:t xml:space="preserve"> </w:t>
      </w:r>
      <w:r>
        <w:t xml:space="preserve">reports all 18 cells for the four grammaticality terms, and</w:t>
      </w:r>
      <w:r>
        <w:t xml:space="preserve"> </w:t>
      </w:r>
      <w:hyperlink w:anchor="tbl-retention">
        <w:r>
          <w:rPr>
            <w:rStyle w:val="Hyperlink"/>
          </w:rPr>
          <w:t xml:space="preserve">Table B1</w:t>
        </w:r>
      </w:hyperlink>
      <w:r>
        <w:t xml:space="preserve"> </w:t>
      </w:r>
      <w:r>
        <w:t xml:space="preserve">the derived</w:t>
      </w:r>
      <w:r>
        <w:t xml:space="preserve"> </w:t>
      </w:r>
      <w:r>
        <w:t xml:space="preserve">retention contrasts). No correction across cells is applied. Where a</w:t>
      </w:r>
      <w:r>
        <w:t xml:space="preserve"> </w:t>
      </w:r>
      <w:r>
        <w:t xml:space="preserve">conclusion does rest on particular cells crossing the credibility threshold, we treat it as</w:t>
      </w:r>
      <w:r>
        <w:t xml:space="preserve"> </w:t>
      </w:r>
      <w:r>
        <w:t xml:space="preserve">provisional on that basis (see</w:t>
      </w:r>
      <w:r>
        <w:t xml:space="preserve"> </w:t>
      </w:r>
      <w:r>
        <w:rPr>
          <w:i/>
          <w:iCs/>
        </w:rPr>
        <w:t xml:space="preserve">Strength of evidence</w:t>
      </w:r>
      <w:r>
        <w:t xml:space="preserve"> </w:t>
      </w:r>
      <w:r>
        <w:t xml:space="preserve">in the Discussion). We do not claim</w:t>
      </w:r>
      <w:r>
        <w:t xml:space="preserve"> </w:t>
      </w:r>
      <w:r>
        <w:t xml:space="preserve">the grid is immune to selection effects</w:t>
      </w:r>
      <w:r>
        <w:t xml:space="preserve"> </w:t>
      </w:r>
      <w:r>
        <w:t xml:space="preserve">(</w:t>
      </w:r>
      <w:hyperlink w:anchor="ref-rubin2021">
        <w:r>
          <w:rPr>
            <w:rStyle w:val="Hyperlink"/>
          </w:rPr>
          <w:t xml:space="preserve">Rubin, 2021</w:t>
        </w:r>
      </w:hyperlink>
      <w:r>
        <w:t xml:space="preserve">)</w:t>
      </w:r>
      <w:r>
        <w:t xml:space="preserve">.</w:t>
      </w:r>
      <w:r>
        <w:t xml:space="preserve"> </w:t>
      </w:r>
      <w:r>
        <w:t xml:space="preserve">The derived retention effect (Session 4</w:t>
      </w:r>
      <w:r>
        <w:t xml:space="preserve"> </w:t>
      </w:r>
      <m:oMath>
        <m:r>
          <m:rPr>
            <m:sty m:val="p"/>
          </m:rPr>
          <m:t>→</m:t>
        </m:r>
      </m:oMath>
      <w:r>
        <w:t xml:space="preserve"> </w:t>
      </w:r>
      <w:r>
        <w:t xml:space="preserve">Session 6) and its language-scoped contrasts are posterior quantities computed from</w:t>
      </w:r>
      <w:r>
        <w:t xml:space="preserve"> </w:t>
      </w:r>
      <w:r>
        <w:t xml:space="preserve">the same models, summarised and disclosed in full the same way (</w:t>
      </w:r>
      <w:hyperlink w:anchor="tbl-retention">
        <w:r>
          <w:rPr>
            <w:rStyle w:val="Hyperlink"/>
          </w:rPr>
          <w:t xml:space="preserve">Table B1</w:t>
        </w:r>
      </w:hyperlink>
      <w:r>
        <w:t xml:space="preserve">). For</w:t>
      </w:r>
      <w:r>
        <w:t xml:space="preserve"> </w:t>
      </w:r>
      <w:r>
        <w:t xml:space="preserve">gender agreement and differential object marking, they are also re-estimated in refits that</w:t>
      </w:r>
      <w:r>
        <w:t xml:space="preserve"> </w:t>
      </w:r>
      <w:r>
        <w:t xml:space="preserve">free the Session-6 step from the training trend, described under</w:t>
      </w:r>
      <w:r>
        <w:t xml:space="preserve"> </w:t>
      </w:r>
      <w:r>
        <w:rPr>
          <w:i/>
          <w:iCs/>
        </w:rPr>
        <w:t xml:space="preserve">Model structure</w:t>
      </w:r>
      <w:r>
        <w:t xml:space="preserve"> </w:t>
      </w:r>
      <w:r>
        <w:t xml:space="preserve">(</w:t>
      </w:r>
      <w:hyperlink w:anchor="tbl-retention-free">
        <w:r>
          <w:rPr>
            <w:rStyle w:val="Hyperlink"/>
          </w:rPr>
          <w:t xml:space="preserve">Table B2</w:t>
        </w:r>
      </w:hyperlink>
      <w:r>
        <w:t xml:space="preserve">).</w:t>
      </w:r>
    </w:p>
    <w:bookmarkEnd w:id="88"/>
    <w:bookmarkStart w:id="89" w:name="multivariate-decoding-of-grammaticality"/>
    <w:p>
      <w:pPr>
        <w:pStyle w:val="Heading3"/>
      </w:pPr>
      <w:r>
        <w:t xml:space="preserve">Multivariate decoding of grammaticality</w:t>
      </w:r>
    </w:p>
    <w:p>
      <w:pPr>
        <w:pStyle w:val="FirstParagraph"/>
      </w:pPr>
      <w:r>
        <w:t xml:space="preserve">The Bayesian models above summarise each trial by its mean amplitude over a</w:t>
      </w:r>
      <w:r>
        <w:t xml:space="preserve"> </w:t>
      </w:r>
      <w:r>
        <w:t xml:space="preserve">macroregion, which could miss a grammaticality signal that is distributed across the</w:t>
      </w:r>
      <w:r>
        <w:t xml:space="preserve"> </w:t>
      </w:r>
      <w:r>
        <w:t xml:space="preserve">scalp too weakly to move any single cluster’s mean but is nonetheless jointly</w:t>
      </w:r>
      <w:r>
        <w:t xml:space="preserve"> </w:t>
      </w:r>
      <w:r>
        <w:t xml:space="preserve">decodable from the whole-scalp pattern</w:t>
      </w:r>
      <w:r>
        <w:t xml:space="preserve"> </w:t>
      </w:r>
      <w:r>
        <w:t xml:space="preserve">(</w:t>
      </w:r>
      <w:hyperlink w:anchor="ref-haxby2001">
        <w:r>
          <w:rPr>
            <w:rStyle w:val="Hyperlink"/>
          </w:rPr>
          <w:t xml:space="preserve">Haxby et al., 2001</w:t>
        </w:r>
      </w:hyperlink>
      <w:r>
        <w:t xml:space="preserve">)</w:t>
      </w:r>
      <w:r>
        <w:t xml:space="preserve">. As a complementary,</w:t>
      </w:r>
      <w:r>
        <w:t xml:space="preserve"> </w:t>
      </w:r>
      <w:r>
        <w:t xml:space="preserve">classical (non-Bayesian) analysis, we decoded Grammatical from</w:t>
      </w:r>
      <w:r>
        <w:t xml:space="preserve"> </w:t>
      </w:r>
      <w:r>
        <w:t xml:space="preserve">Ungrammatical trials directly from the single-trial amplitude pattern across all</w:t>
      </w:r>
      <w:r>
        <w:t xml:space="preserve"> </w:t>
      </w:r>
      <w:r>
        <w:t xml:space="preserve">EEG sensors at every time sample, downsampled to a 4 ms grid, after subtracting from each</w:t>
      </w:r>
      <w:r>
        <w:t xml:space="preserve"> </w:t>
      </w:r>
      <w:r>
        <w:t xml:space="preserve">sensor the trial’s mean over the 100 ms before the critical word. The amplitude models enter</w:t>
      </w:r>
      <w:r>
        <w:t xml:space="preserve"> </w:t>
      </w:r>
      <w:r>
        <w:t xml:space="preserve">that mean as a covariate instead</w:t>
      </w:r>
      <w:r>
        <w:t xml:space="preserve"> </w:t>
      </w:r>
      <w:r>
        <w:t xml:space="preserve">(</w:t>
      </w:r>
      <w:hyperlink w:anchor="ref-alday2019">
        <w:r>
          <w:rPr>
            <w:rStyle w:val="Hyperlink"/>
          </w:rPr>
          <w:t xml:space="preserve">Alday, 2019</w:t>
        </w:r>
      </w:hyperlink>
      <w:r>
        <w:t xml:space="preserve">)</w:t>
      </w:r>
      <w:r>
        <w:t xml:space="preserve">. Subtraction moves the conditions’ difference in</w:t>
      </w:r>
      <w:r>
        <w:t xml:space="preserve"> </w:t>
      </w:r>
      <w:r>
        <w:t xml:space="preserve">that mean into every later sample of the decoder’s input, with its sign reversed.</w:t>
      </w:r>
      <w:r>
        <w:t xml:space="preserve"> </w:t>
      </w:r>
      <w:r>
        <w:t xml:space="preserve">The classifier was a</w:t>
      </w:r>
      <w:r>
        <w:t xml:space="preserve"> </w:t>
      </w:r>
      <w:r>
        <w:t xml:space="preserve">regularised linear discriminant analysis under leave-one-participant-out</w:t>
      </w:r>
      <w:r>
        <w:t xml:space="preserve"> </w:t>
      </w:r>
      <w:r>
        <w:t xml:space="preserve">cross-validation, a time-resolved multivariate pattern analysis (MVPA)</w:t>
      </w:r>
      <w:r>
        <w:t xml:space="preserve"> </w:t>
      </w:r>
      <w:r>
        <w:t xml:space="preserve">approach for EEG/MEG</w:t>
      </w:r>
      <w:r>
        <w:t xml:space="preserve"> </w:t>
      </w:r>
      <w:r>
        <w:t xml:space="preserve">(</w:t>
      </w:r>
      <w:hyperlink w:anchor="ref-grootswagers2017">
        <w:r>
          <w:rPr>
            <w:rStyle w:val="Hyperlink"/>
          </w:rPr>
          <w:t xml:space="preserve">Grootswagers et al., 2017</w:t>
        </w:r>
      </w:hyperlink>
      <w:r>
        <w:t xml:space="preserve">)</w:t>
      </w:r>
      <w:r>
        <w:t xml:space="preserve">. Leave-one-participant-out is the</w:t>
      </w:r>
      <w:r>
        <w:t xml:space="preserve"> </w:t>
      </w:r>
      <w:r>
        <w:t xml:space="preserve">generalisation test this question calls for, since what is at stake is whether the</w:t>
      </w:r>
      <w:r>
        <w:t xml:space="preserve"> </w:t>
      </w:r>
      <w:r>
        <w:t xml:space="preserve">pattern transfers to an unseen learner.</w:t>
      </w:r>
      <w:r>
        <w:t xml:space="preserve"> </w:t>
      </w:r>
      <w:r>
        <w:t xml:space="preserve">Varoquaux et al. (</w:t>
      </w:r>
      <w:hyperlink w:anchor="ref-varoquaux2017">
        <w:r>
          <w:rPr>
            <w:rStyle w:val="Hyperlink"/>
          </w:rPr>
          <w:t xml:space="preserve">2017</w:t>
        </w:r>
      </w:hyperlink>
      <w:r>
        <w:t xml:space="preserve">)</w:t>
      </w:r>
      <w:r>
        <w:t xml:space="preserve"> </w:t>
      </w:r>
      <w:r>
        <w:t xml:space="preserve">show that leave-one-out</w:t>
      </w:r>
      <w:r>
        <w:t xml:space="preserve"> </w:t>
      </w:r>
      <w:r>
        <w:t xml:space="preserve">schemes give more variable accuracy estimates than repeated random splits, so we read</w:t>
      </w:r>
      <w:r>
        <w:t xml:space="preserve"> </w:t>
      </w:r>
      <w:r>
        <w:t xml:space="preserve">the AUC time-course below as a profile whose individual point estimates carry limited</w:t>
      </w:r>
      <w:r>
        <w:t xml:space="preserve"> </w:t>
      </w:r>
      <w:r>
        <w:t xml:space="preserve">precision. Decoding performance is</w:t>
      </w:r>
      <w:r>
        <w:t xml:space="preserve"> </w:t>
      </w:r>
      <w:r>
        <w:t xml:space="preserve">summarised as the area under the ROC curve (AUC) at each time point. Chance-level</w:t>
      </w:r>
      <w:r>
        <w:t xml:space="preserve"> </w:t>
      </w:r>
      <w:r>
        <w:t xml:space="preserve">calibration was established with a permutation test that shuffles the</w:t>
      </w:r>
      <w:r>
        <w:t xml:space="preserve"> </w:t>
      </w:r>
      <w:r>
        <w:t xml:space="preserve">grammaticality labels once per permutation, holding the shuffle constant across the</w:t>
      </w:r>
      <w:r>
        <w:t xml:space="preserve"> </w:t>
      </w:r>
      <w:r>
        <w:t xml:space="preserve">whole time-course so that the null preserves each trial’s temporal autocorrelation.</w:t>
      </w:r>
      <w:r>
        <w:t xml:space="preserve"> </w:t>
      </w:r>
      <w:r>
        <w:t xml:space="preserve">Multiple comparisons across time points were corrected with cluster-based</w:t>
      </w:r>
      <w:r>
        <w:t xml:space="preserve"> </w:t>
      </w:r>
      <w:r>
        <w:t xml:space="preserve">permutation inference</w:t>
      </w:r>
      <w:r>
        <w:t xml:space="preserve"> </w:t>
      </w:r>
      <w:r>
        <w:t xml:space="preserve">(</w:t>
      </w:r>
      <w:hyperlink w:anchor="ref-maris2007">
        <w:r>
          <w:rPr>
            <w:rStyle w:val="Hyperlink"/>
          </w:rPr>
          <w:t xml:space="preserve">Maris &amp; Oostenveld, 2007</w:t>
        </w:r>
      </w:hyperlink>
      <w:r>
        <w:t xml:space="preserve">)</w:t>
      </w:r>
      <w:r>
        <w:t xml:space="preserve">. Clusters were formed from temporally contiguous</w:t>
      </w:r>
      <w:r>
        <w:t xml:space="preserve"> </w:t>
      </w:r>
      <w:r>
        <w:t xml:space="preserve">samples whose AUC exceeded the 95th percentile of the pooled permutation null, the</w:t>
      </w:r>
      <w:r>
        <w:t xml:space="preserve"> </w:t>
      </w:r>
      <w:r>
        <w:t xml:space="preserve">cluster statistic was the summed excess of AUC over that threshold, and each cluster</w:t>
      </w:r>
      <w:r>
        <w:t xml:space="preserve"> </w:t>
      </w:r>
      <w:r>
        <w:t xml:space="preserve">was assessed against the distribution of the largest cluster statistic across</w:t>
      </w:r>
      <w:r>
        <w:t xml:space="preserve"> </w:t>
      </w:r>
      <w:r>
        <w:t xml:space="preserve">permutations. A second correction layer, for the false-discovery</w:t>
      </w:r>
      <w:r>
        <w:t xml:space="preserve"> </w:t>
      </w:r>
      <w:r>
        <w:t xml:space="preserve">rate (FDR), is applied across clusters, with the family defined per property. Benjamini–Hochberg</w:t>
      </w:r>
      <w:r>
        <w:t xml:space="preserve"> </w:t>
      </w:r>
      <w:r>
        <w:t xml:space="preserve">correction (</w:t>
      </w:r>
      <m:oMath>
        <m:r>
          <m:t>q</m:t>
        </m:r>
        <m:r>
          <m:rPr>
            <m:sty m:val="p"/>
          </m:rPr>
          <m:t>&lt;</m:t>
        </m:r>
        <m:r>
          <m:t>.05</m:t>
        </m:r>
      </m:oMath>
      <w:r>
        <w:t xml:space="preserve">) is applied across the clusters of a</w:t>
      </w:r>
      <w:r>
        <w:t xml:space="preserve"> </w:t>
      </w:r>
      <w:r>
        <w:t xml:space="preserve">property’s pooled overall time-course, and each property’s family is corrected</w:t>
      </w:r>
      <w:r>
        <w:t xml:space="preserve"> </w:t>
      </w:r>
      <w:r>
        <w:t xml:space="preserve">separately. A Benjamini–Hochberg adjustment never lowers a</w:t>
      </w:r>
      <w:r>
        <w:t xml:space="preserve"> </w:t>
      </w:r>
      <m:oMath>
        <m:r>
          <m:t>p</m:t>
        </m:r>
      </m:oMath>
      <w:r>
        <w:t xml:space="preserve"> </w:t>
      </w:r>
      <w:r>
        <w:t xml:space="preserve">value, so this second layer</w:t>
      </w:r>
      <w:r>
        <w:t xml:space="preserve"> </w:t>
      </w:r>
      <w:r>
        <w:t xml:space="preserve">can only remove clusters that pass the maximum-cluster test, and because that test already</w:t>
      </w:r>
      <w:r>
        <w:t xml:space="preserve"> </w:t>
      </w:r>
      <w:r>
        <w:t xml:space="preserve">controls the family-wise error rate across time, the layer adds no error control of its</w:t>
      </w:r>
      <w:r>
        <w:t xml:space="preserve"> </w:t>
      </w:r>
      <w:r>
        <w:t xml:space="preserve">own. We therefore report the clusters that pass the first test alongside those that survive</w:t>
      </w:r>
      <w:r>
        <w:t xml:space="preserve"> </w:t>
      </w:r>
      <w:r>
        <w:t xml:space="preserve">both. The session-resolved and session-by-language breakdowns carry only their own</w:t>
      </w:r>
      <w:r>
        <w:t xml:space="preserve"> </w:t>
      </w:r>
      <w:r>
        <w:t xml:space="preserve">cluster-level</w:t>
      </w:r>
      <w:r>
        <w:t xml:space="preserve"> </w:t>
      </w:r>
      <m:oMath>
        <m:r>
          <m:t>p</m:t>
        </m:r>
      </m:oMath>
      <w:r>
        <w:t xml:space="preserve"> </w:t>
      </w:r>
      <w:r>
        <w:t xml:space="preserve">values.</w:t>
      </w:r>
      <w:r>
        <w:t xml:space="preserve"> </w:t>
      </w:r>
      <w:hyperlink w:anchor="apx-analytic-decisions-in-detail">
        <w:r>
          <w:rPr>
            <w:rStyle w:val="Hyperlink"/>
          </w:rPr>
          <w:t xml:space="preserve">Appendix A</w:t>
        </w:r>
      </w:hyperlink>
      <w:r>
        <w:t xml:space="preserve"> </w:t>
      </w:r>
      <w:r>
        <w:t xml:space="preserve">sets out why the family is defined this way.</w:t>
      </w:r>
      <w:r>
        <w:t xml:space="preserve"> </w:t>
      </w:r>
      <w:r>
        <w:t xml:space="preserve">Grammatical and ungrammatical trial counts differ</w:t>
      </w:r>
      <w:r>
        <w:t xml:space="preserve"> </w:t>
      </w:r>
      <w:r>
        <w:t xml:space="preserve">across participants and decline across sessions, so we balanced the classes by</w:t>
      </w:r>
      <w:r>
        <w:t xml:space="preserve"> </w:t>
      </w:r>
      <w:r>
        <w:t xml:space="preserve">undersampling the majority class within each participant of the training fold. The</w:t>
      </w:r>
      <w:r>
        <w:t xml:space="preserve"> </w:t>
      </w:r>
      <w:r>
        <w:t xml:space="preserve">discriminant’s pooled within-class covariance was ridged by one thousandth of its mean</w:t>
      </w:r>
      <w:r>
        <w:t xml:space="preserve"> </w:t>
      </w:r>
      <w:r>
        <w:t xml:space="preserve">diagonal for numerical stability. The time-course AUC, computed within each held-out</w:t>
      </w:r>
      <w:r>
        <w:t xml:space="preserve"> </w:t>
      </w:r>
      <w:r>
        <w:t xml:space="preserve">participant, is in any case insensitive to class prevalence, so neither the classifier nor</w:t>
      </w:r>
      <w:r>
        <w:t xml:space="preserve"> </w:t>
      </w:r>
      <w:r>
        <w:t xml:space="preserve">the metric can exploit a prevalence shortcut there, and chance was set by the empirical</w:t>
      </w:r>
      <w:r>
        <w:t xml:space="preserve"> </w:t>
      </w:r>
      <w:r>
        <w:t xml:space="preserve">within-participant permutation null</w:t>
      </w:r>
      <w:r>
        <w:t xml:space="preserve"> </w:t>
      </w:r>
      <w:r>
        <w:t xml:space="preserve">(</w:t>
      </w:r>
      <w:hyperlink w:anchor="ref-combrisson2015">
        <w:r>
          <w:rPr>
            <w:rStyle w:val="Hyperlink"/>
          </w:rPr>
          <w:t xml:space="preserve">Combrisson &amp; Jerbi, 2015</w:t>
        </w:r>
      </w:hyperlink>
      <w:r>
        <w:t xml:space="preserve">)</w:t>
      </w:r>
      <w:r>
        <w:t xml:space="preserve">. The labels were shuffled within</w:t>
      </w:r>
      <w:r>
        <w:t xml:space="preserve"> </w:t>
      </w:r>
      <w:r>
        <w:t xml:space="preserve">participant and not within each session, which the design allows because the two</w:t>
      </w:r>
      <w:r>
        <w:t xml:space="preserve"> </w:t>
      </w:r>
      <w:r>
        <w:t xml:space="preserve">conditions were presented in near-equal numbers at every session. The</w:t>
      </w:r>
      <w:r>
        <w:t xml:space="preserve"> </w:t>
      </w:r>
      <w:r>
        <w:t xml:space="preserve">permutation null comprised 1,000 shufflings, so the smallest attainable cluster</w:t>
      </w:r>
      <w:r>
        <w:t xml:space="preserve"> </w:t>
      </w:r>
      <m:oMath>
        <m:r>
          <m:t>p</m:t>
        </m:r>
      </m:oMath>
      <w:r>
        <w:t xml:space="preserve"> </w:t>
      </w:r>
      <w:r>
        <w:t xml:space="preserve">is 1/1,001. This bounds the resolution of near-threshold cluster</w:t>
      </w:r>
      <w:r>
        <w:t xml:space="preserve"> </w:t>
      </w:r>
      <m:oMath>
        <m:r>
          <m:t>p</m:t>
        </m:r>
      </m:oMath>
      <w:r>
        <w:t xml:space="preserve">-values,</w:t>
      </w:r>
      <w:r>
        <w:t xml:space="preserve"> </w:t>
      </w:r>
      <w:r>
        <w:t xml:space="preserve">and the surviving clusters are reported with that granularity in mind</w:t>
      </w:r>
      <w:r>
        <w:t xml:space="preserve"> </w:t>
      </w:r>
      <w:r>
        <w:t xml:space="preserve">(</w:t>
      </w:r>
      <w:hyperlink w:anchor="ref-nichols2002">
        <w:r>
          <w:rPr>
            <w:rStyle w:val="Hyperlink"/>
          </w:rPr>
          <w:t xml:space="preserve">T. E. Nichols &amp; Holmes, 2002</w:t>
        </w:r>
      </w:hyperlink>
      <w:r>
        <w:t xml:space="preserve">;</w:t>
      </w:r>
      <w:r>
        <w:t xml:space="preserve"> </w:t>
      </w:r>
      <w:hyperlink w:anchor="ref-phipson2010">
        <w:r>
          <w:rPr>
            <w:rStyle w:val="Hyperlink"/>
          </w:rPr>
          <w:t xml:space="preserve">Phipson &amp; Smyth, 2010</w:t>
        </w:r>
      </w:hyperlink>
      <w:r>
        <w:t xml:space="preserve">)</w:t>
      </w:r>
      <w:r>
        <w:t xml:space="preserve">. The</w:t>
      </w:r>
      <w:r>
        <w:t xml:space="preserve"> </w:t>
      </w:r>
      <w:r>
        <w:t xml:space="preserve">decoder is given the EEG sensors alone. The amplifier’s built-in accelerometer</w:t>
      </w:r>
      <w:r>
        <w:t xml:space="preserve"> </w:t>
      </w:r>
      <w:r>
        <w:t xml:space="preserve">channels are excluded, as is any channel not exported for every session a property</w:t>
      </w:r>
      <w:r>
        <w:t xml:space="preserve"> </w:t>
      </w:r>
      <w:r>
        <w:t xml:space="preserve">was recorded in, so that each property’s pattern is brain-derived and no sensor is</w:t>
      </w:r>
      <w:r>
        <w:t xml:space="preserve"> </w:t>
      </w:r>
      <w:r>
        <w:t xml:space="preserve">present for one session’s trials but structurally absent for another’s. Beyond the overall time-course, five further analyses were run. Decoding separately</w:t>
      </w:r>
      <w:r>
        <w:t xml:space="preserve"> </w:t>
      </w:r>
      <w:r>
        <w:t xml:space="preserve">by session, and by session</w:t>
      </w:r>
      <w:r>
        <w:t xml:space="preserve"> </w:t>
      </w:r>
      <m:oMath>
        <m:r>
          <m:rPr>
            <m:sty m:val="p"/>
          </m:rPr>
          <m:t>×</m:t>
        </m:r>
      </m:oMath>
      <w:r>
        <w:t xml:space="preserve"> </w:t>
      </w:r>
      <w:r>
        <w:t xml:space="preserve">mini-language, gives a multivariate analogue of</w:t>
      </w:r>
      <w:r>
        <w:t xml:space="preserve"> </w:t>
      </w:r>
      <w:r>
        <w:t xml:space="preserve">the ERP models’ grammaticality</w:t>
      </w:r>
      <w:r>
        <w:t xml:space="preserve"> </w:t>
      </w:r>
      <m:oMath>
        <m:r>
          <m:rPr>
            <m:sty m:val="p"/>
          </m:rPr>
          <m:t>×</m:t>
        </m:r>
      </m:oMath>
      <w:r>
        <w:t xml:space="preserve"> </w:t>
      </w:r>
      <w:r>
        <w:t xml:space="preserve">session and</w:t>
      </w:r>
      <w:r>
        <w:t xml:space="preserve"> </w:t>
      </w:r>
      <m:oMath>
        <m:r>
          <m:rPr>
            <m:sty m:val="p"/>
          </m:rPr>
          <m:t>×</m:t>
        </m:r>
      </m:oMath>
      <w:r>
        <w:t xml:space="preserve"> </w:t>
      </w:r>
      <w:r>
        <w:t xml:space="preserve">language terms. A</w:t>
      </w:r>
      <w:r>
        <w:t xml:space="preserve"> </w:t>
      </w:r>
      <w:r>
        <w:t xml:space="preserve">cross-language generalisation analysis trains the decoder on one mini-language and</w:t>
      </w:r>
      <w:r>
        <w:t xml:space="preserve"> </w:t>
      </w:r>
      <w:r>
        <w:t xml:space="preserve">tests it on the other. A cross-property generalisation analysis trains on one grammatical</w:t>
      </w:r>
      <w:r>
        <w:t xml:space="preserve"> </w:t>
      </w:r>
      <w:r>
        <w:t xml:space="preserve">property’s Grammatical/Ungrammatical contrast and tests on another. Finally, temporal generalisation trains a decoder at every time</w:t>
      </w:r>
      <w:r>
        <w:t xml:space="preserve"> </w:t>
      </w:r>
      <w:r>
        <w:t xml:space="preserve">point and tests it at every other, on a grid coarsened by a factor of two on both axes to</w:t>
      </w:r>
      <w:r>
        <w:t xml:space="preserve"> </w:t>
      </w:r>
      <w:r>
        <w:t xml:space="preserve">keep the computation tractable. It characterises whether the same neural code is</w:t>
      </w:r>
      <w:r>
        <w:t xml:space="preserve"> </w:t>
      </w:r>
      <w:r>
        <w:t xml:space="preserve">stable across the epoch or evolves</w:t>
      </w:r>
      <w:r>
        <w:t xml:space="preserve"> </w:t>
      </w:r>
      <w:r>
        <w:t xml:space="preserve">(</w:t>
      </w:r>
      <w:hyperlink w:anchor="ref-king2014">
        <w:r>
          <w:rPr>
            <w:rStyle w:val="Hyperlink"/>
          </w:rPr>
          <w:t xml:space="preserve">King &amp; Dehaene, 2014</w:t>
        </w:r>
      </w:hyperlink>
      <w:r>
        <w:t xml:space="preserve">)</w:t>
      </w:r>
      <w:r>
        <w:t xml:space="preserve">. The two generalisation analyses carry no</w:t>
      </w:r>
      <w:r>
        <w:t xml:space="preserve"> </w:t>
      </w:r>
      <w:r>
        <w:t xml:space="preserve">permutation null and are reported as descriptive comparisons. Cross-validating strictly</w:t>
      </w:r>
      <w:r>
        <w:t xml:space="preserve"> </w:t>
      </w:r>
      <w:r>
        <w:t xml:space="preserve">out-of-participant throughout guards against the circular, non-independent analysis</w:t>
      </w:r>
      <w:r>
        <w:t xml:space="preserve"> </w:t>
      </w:r>
      <w:r>
        <w:t xml:space="preserve">that would otherwise inflate apparent decoding accuracy</w:t>
      </w:r>
      <w:r>
        <w:t xml:space="preserve"> </w:t>
      </w:r>
      <w:r>
        <w:t xml:space="preserve">(</w:t>
      </w:r>
      <w:hyperlink w:anchor="ref-kriegeskorte2009">
        <w:r>
          <w:rPr>
            <w:rStyle w:val="Hyperlink"/>
          </w:rPr>
          <w:t xml:space="preserve">Kriegeskorte et al., 2009</w:t>
        </w:r>
      </w:hyperlink>
      <w:r>
        <w:t xml:space="preserve">)</w:t>
      </w:r>
      <w:r>
        <w:t xml:space="preserve">.</w:t>
      </w:r>
    </w:p>
    <w:bookmarkEnd w:id="89"/>
    <w:bookmarkEnd w:id="90"/>
    <w:bookmarkStart w:id="92" w:name="Xa1aa7648d5ac5e7d9e5b3f8be809fb2fcb7ad16"/>
    <w:p>
      <w:pPr>
        <w:pStyle w:val="Heading2"/>
      </w:pPr>
      <w:r>
        <w:t xml:space="preserve">Transparency, preregistration and analysis status</w:t>
      </w:r>
    </w:p>
    <w:p>
      <w:pPr>
        <w:pStyle w:val="FirstParagraph"/>
      </w:pPr>
      <w:r>
        <w:t xml:space="preserve">The study design, artificial-language materials and session protocol were</w:t>
      </w:r>
      <w:r>
        <w:t xml:space="preserve"> </w:t>
      </w:r>
      <w:r>
        <w:t xml:space="preserve">preregistered before data collection (</w:t>
      </w:r>
      <w:hyperlink r:id="rId91">
        <w:r>
          <w:rPr>
            <w:rStyle w:val="Hyperlink"/>
          </w:rPr>
          <w:t xml:space="preserve">https://osf.io/tjr54</w:t>
        </w:r>
      </w:hyperlink>
      <w:r>
        <w:t xml:space="preserve">). The preregistration</w:t>
      </w:r>
      <w:r>
        <w:t xml:space="preserve"> </w:t>
      </w:r>
      <w:r>
        <w:t xml:space="preserve">specified the design, the miniature-language materials, the six-session schedule and</w:t>
      </w:r>
      <w:r>
        <w:t xml:space="preserve"> </w:t>
      </w:r>
      <w:r>
        <w:t xml:space="preserve">the EEG acquisition, but it did not commit to a statistical analysis plan. The</w:t>
      </w:r>
      <w:r>
        <w:t xml:space="preserve"> </w:t>
      </w:r>
      <w:r>
        <w:t xml:space="preserve">Bayesian multilevel models, the literature-derived informative priors, the latency</w:t>
      </w:r>
      <w:r>
        <w:t xml:space="preserve"> </w:t>
      </w:r>
      <w:r>
        <w:t xml:space="preserve">windows and macroregions, the Session 4</w:t>
      </w:r>
      <w:r>
        <w:t xml:space="preserve"> </w:t>
      </w:r>
      <m:oMath>
        <m:r>
          <m:rPr>
            <m:sty m:val="p"/>
          </m:rPr>
          <m:t>→</m:t>
        </m:r>
      </m:oMath>
      <w:r>
        <w:t xml:space="preserve"> </w:t>
      </w:r>
      <w:r>
        <w:t xml:space="preserve">6 retention contrasts and the</w:t>
      </w:r>
      <w:r>
        <w:t xml:space="preserve"> </w:t>
      </w:r>
      <w:r>
        <w:t xml:space="preserve">multivariate decoding analyses reported here were therefore specified after the data</w:t>
      </w:r>
      <w:r>
        <w:t xml:space="preserve"> </w:t>
      </w:r>
      <w:r>
        <w:t xml:space="preserve">were collected. None was preregistered, so all are exploratory in the registered</w:t>
      </w:r>
      <w:r>
        <w:t xml:space="preserve"> </w:t>
      </w:r>
      <w:r>
        <w:t xml:space="preserve">sense, and we report them as estimation-oriented analyses, since none tests a</w:t>
      </w:r>
      <w:r>
        <w:t xml:space="preserve"> </w:t>
      </w:r>
      <w:r>
        <w:t xml:space="preserve">preregistered hypothesis</w:t>
      </w:r>
      <w:r>
        <w:t xml:space="preserve"> </w:t>
      </w:r>
      <w:r>
        <w:t xml:space="preserve">(</w:t>
      </w:r>
      <w:hyperlink w:anchor="ref-nosek2018">
        <w:r>
          <w:rPr>
            <w:rStyle w:val="Hyperlink"/>
          </w:rPr>
          <w:t xml:space="preserve">Nosek et al., 2018</w:t>
        </w:r>
      </w:hyperlink>
      <w:r>
        <w:t xml:space="preserve">;</w:t>
      </w:r>
      <w:r>
        <w:t xml:space="preserve"> </w:t>
      </w:r>
      <w:hyperlink w:anchor="ref-wagenmakers2012">
        <w:r>
          <w:rPr>
            <w:rStyle w:val="Hyperlink"/>
          </w:rPr>
          <w:t xml:space="preserve">Wagenmakers et al., 2012</w:t>
        </w:r>
      </w:hyperlink>
      <w:r>
        <w:t xml:space="preserve">)</w:t>
      </w:r>
      <w:r>
        <w:t xml:space="preserve">. Within that frame,</w:t>
      </w:r>
      <w:r>
        <w:t xml:space="preserve"> </w:t>
      </w:r>
      <w:r>
        <w:t xml:space="preserve">we distinguish</w:t>
      </w:r>
      <w:r>
        <w:t xml:space="preserve"> </w:t>
      </w:r>
      <w:r>
        <w:rPr>
          <w:i/>
          <w:iCs/>
        </w:rPr>
        <w:t xml:space="preserve">primary</w:t>
      </w:r>
      <w:r>
        <w:t xml:space="preserve"> </w:t>
      </w:r>
      <w:r>
        <w:t xml:space="preserve">from</w:t>
      </w:r>
      <w:r>
        <w:t xml:space="preserve"> </w:t>
      </w:r>
      <w:r>
        <w:rPr>
          <w:i/>
          <w:iCs/>
        </w:rPr>
        <w:t xml:space="preserve">secondary</w:t>
      </w:r>
      <w:r>
        <w:t xml:space="preserve"> </w:t>
      </w:r>
      <w:r>
        <w:t xml:space="preserve">analyses. The primary analyses, fixed</w:t>
      </w:r>
      <w:r>
        <w:t xml:space="preserve"> </w:t>
      </w:r>
      <w:r>
        <w:t xml:space="preserve">before any model was fitted, comprise the ERP grid of properties, windows,</w:t>
      </w:r>
      <w:r>
        <w:t xml:space="preserve"> </w:t>
      </w:r>
      <w:r>
        <w:t xml:space="preserve">macroregions and priors together with the pooled, all-sessions decoding time-course</w:t>
      </w:r>
      <w:r>
        <w:t xml:space="preserve"> </w:t>
      </w:r>
      <w:r>
        <w:t xml:space="preserve">for each property. The secondary analyses are the session-resolved and</w:t>
      </w:r>
      <w:r>
        <w:t xml:space="preserve"> </w:t>
      </w:r>
      <w:r>
        <w:t xml:space="preserve">session-by-language decoding breakdowns, the cross-language and cross-property</w:t>
      </w:r>
      <w:r>
        <w:t xml:space="preserve"> </w:t>
      </w:r>
      <w:r>
        <w:t xml:space="preserve">generalisation analyses, and the temporal-generalisation matrix. What the</w:t>
      </w:r>
      <w:r>
        <w:t xml:space="preserve"> </w:t>
      </w:r>
      <w:r>
        <w:t xml:space="preserve">paper reports of them varies, and we say which is which. The cross-language and</w:t>
      </w:r>
      <w:r>
        <w:t xml:space="preserve"> </w:t>
      </w:r>
      <w:r>
        <w:t xml:space="preserve">cross-property peaks are quoted in the Results. The session-resolved and</w:t>
      </w:r>
      <w:r>
        <w:t xml:space="preserve"> </w:t>
      </w:r>
      <w:r>
        <w:t xml:space="preserve">session-by-language breakdowns and the temporal-generalisation matrices are not summarised</w:t>
      </w:r>
      <w:r>
        <w:t xml:space="preserve"> </w:t>
      </w:r>
      <w:r>
        <w:t xml:space="preserve">numerically here and are available in the deposited decoding artefacts. Where a secondary</w:t>
      </w:r>
      <w:r>
        <w:t xml:space="preserve"> </w:t>
      </w:r>
      <w:r>
        <w:t xml:space="preserve">analysis carries a cluster-level</w:t>
      </w:r>
      <w:r>
        <w:t xml:space="preserve"> </w:t>
      </w:r>
      <m:oMath>
        <m:r>
          <m:t>p</m:t>
        </m:r>
      </m:oMath>
      <w:r>
        <w:t xml:space="preserve"> </w:t>
      </w:r>
      <w:r>
        <w:t xml:space="preserve">value, that value is family-wise-error-controlled over</w:t>
      </w:r>
      <w:r>
        <w:t xml:space="preserve"> </w:t>
      </w:r>
      <w:r>
        <w:t xml:space="preserve">time in the usual way, but none of them is treated as a test of the paper’s claims. Where the decoding analyses</w:t>
      </w:r>
      <w:r>
        <w:t xml:space="preserve"> </w:t>
      </w:r>
      <w:r>
        <w:t xml:space="preserve">speak of a</w:t>
      </w:r>
      <w:r>
        <w:t xml:space="preserve"> </w:t>
      </w:r>
      <w:r>
        <w:t xml:space="preserve">“confirmatory family”</w:t>
      </w:r>
      <w:r>
        <w:t xml:space="preserve">, the term names the false-discovery-rate correction</w:t>
      </w:r>
      <w:r>
        <w:t xml:space="preserve"> </w:t>
      </w:r>
      <w:r>
        <w:t xml:space="preserve">family (the clusters of each property’s pooled overall time-course), not</w:t>
      </w:r>
      <w:r>
        <w:t xml:space="preserve"> </w:t>
      </w:r>
      <w:r>
        <w:t xml:space="preserve">preregistered confirmation. On a minor point of adherence, a third, ancillary violation</w:t>
      </w:r>
      <w:r>
        <w:t xml:space="preserve"> </w:t>
      </w:r>
      <w:r>
        <w:t xml:space="preserve">type was recorded per property but, as noted above, is not analysed here.</w:t>
      </w:r>
    </w:p>
    <w:p>
      <w:pPr>
        <w:pStyle w:val="BodyText"/>
      </w:pPr>
      <w:r>
        <w:t xml:space="preserve">Several decisions were made after results had been inspected, and we label them as such.</w:t>
      </w:r>
      <w:r>
        <w:t xml:space="preserve"> </w:t>
      </w:r>
      <w:r>
        <w:t xml:space="preserve">First, peak decoding accuracies are quoted on the post-stimulus axis, a restriction adopted</w:t>
      </w:r>
      <w:r>
        <w:t xml:space="preserve"> </w:t>
      </w:r>
      <w:r>
        <w:t xml:space="preserve">once the pre-stimulus interval was found not to be at chance for differential object</w:t>
      </w:r>
      <w:r>
        <w:t xml:space="preserve"> </w:t>
      </w:r>
      <w:r>
        <w:t xml:space="preserve">marking. The pre-stimulus interval is retained and reported alongside as a negative control.</w:t>
      </w:r>
      <w:r>
        <w:t xml:space="preserve"> </w:t>
      </w:r>
      <w:r>
        <w:t xml:space="preserve">Second, the temporal-generalisation and cross-property analyses were reclassified as</w:t>
      </w:r>
      <w:r>
        <w:t xml:space="preserve"> </w:t>
      </w:r>
      <w:r>
        <w:t xml:space="preserve">descriptive after it became clear that no null distribution had been computed for them.</w:t>
      </w:r>
      <w:r>
        <w:t xml:space="preserve"> </w:t>
      </w:r>
      <w:r>
        <w:t xml:space="preserve">Third, the judgement models were first read with their grammaticality terms as</w:t>
      </w:r>
      <w:r>
        <w:t xml:space="preserve"> </w:t>
      </w:r>
      <w:r>
        <w:t xml:space="preserve">discrimination. We later recognised that, with accuracy as the response, those terms index</w:t>
      </w:r>
      <w:r>
        <w:t xml:space="preserve"> </w:t>
      </w:r>
      <w:r>
        <w:t xml:space="preserve">response bias (see</w:t>
      </w:r>
      <w:r>
        <w:t xml:space="preserve"> </w:t>
      </w:r>
      <w:r>
        <w:rPr>
          <w:i/>
          <w:iCs/>
        </w:rPr>
        <w:t xml:space="preserve">Signal-detection reading of the judgement models</w:t>
      </w:r>
      <w:r>
        <w:t xml:space="preserve">), and the behavioural</w:t>
      </w:r>
      <w:r>
        <w:t xml:space="preserve"> </w:t>
      </w:r>
      <w:r>
        <w:t xml:space="preserve">results are reported in signal-detection terms throughout. The models themselves were not</w:t>
      </w:r>
      <w:r>
        <w:t xml:space="preserve"> </w:t>
      </w:r>
      <w:r>
        <w:t xml:space="preserve">changed. The refit adding a by-participant slope for the change in bias was specified at</w:t>
      </w:r>
      <w:r>
        <w:t xml:space="preserve"> </w:t>
      </w:r>
      <w:r>
        <w:t xml:space="preserve">the same point, as a sensitivity analysis. Fourth, an audit of the archived EEG processing</w:t>
      </w:r>
      <w:r>
        <w:t xml:space="preserve"> </w:t>
      </w:r>
      <w:r>
        <w:t xml:space="preserve">histories found five Session 3 recordings, beyond the four already excluded, that had been</w:t>
      </w:r>
      <w:r>
        <w:t xml:space="preserve"> </w:t>
      </w:r>
      <w:r>
        <w:t xml:space="preserve">filtered at 1 Hz. All nine were reprocessed at 0.1 Hz under a protocol fixed before any</w:t>
      </w:r>
      <w:r>
        <w:t xml:space="preserve"> </w:t>
      </w:r>
      <w:r>
        <w:t xml:space="preserve">reprocessed output was inspected, and the protocol’s robustness analysis refits the ERP</w:t>
      </w:r>
      <w:r>
        <w:t xml:space="preserve"> </w:t>
      </w:r>
      <w:r>
        <w:t xml:space="preserve">models without them (see</w:t>
      </w:r>
      <w:r>
        <w:t xml:space="preserve"> </w:t>
      </w:r>
      <w:r>
        <w:rPr>
          <w:i/>
          <w:iCs/>
        </w:rPr>
        <w:t xml:space="preserve">EEG acquisition and single-trial ERP quantification</w:t>
      </w:r>
      <w:r>
        <w:t xml:space="preserve">). The same</w:t>
      </w:r>
      <w:r>
        <w:t xml:space="preserve"> </w:t>
      </w:r>
      <w:r>
        <w:t xml:space="preserve">audit found three exports that do not contain the participant-session they are named for, of</w:t>
      </w:r>
      <w:r>
        <w:t xml:space="preserve"> </w:t>
      </w:r>
      <w:r>
        <w:t xml:space="preserve">which two were recovered under that protocol and the third is excluded. It also found that</w:t>
      </w:r>
      <w:r>
        <w:t xml:space="preserve"> </w:t>
      </w:r>
      <w:r>
        <w:t xml:space="preserve">the Session 2 recordings had been re-referenced differently from the</w:t>
      </w:r>
      <w:r>
        <w:t xml:space="preserve"> </w:t>
      </w:r>
      <w:r>
        <w:t xml:space="preserve">others, which we corrected, and identified the participant trained in the wrong miniature</w:t>
      </w:r>
      <w:r>
        <w:t xml:space="preserve"> </w:t>
      </w:r>
      <w:r>
        <w:t xml:space="preserve">language at Session 2, who is excluded (see</w:t>
      </w:r>
      <w:r>
        <w:t xml:space="preserve"> </w:t>
      </w:r>
      <w:r>
        <w:rPr>
          <w:i/>
          <w:iCs/>
        </w:rPr>
        <w:t xml:space="preserve">Participants</w:t>
      </w:r>
      <w:r>
        <w:t xml:space="preserve">). All of these decisions rest on</w:t>
      </w:r>
      <w:r>
        <w:t xml:space="preserve"> </w:t>
      </w:r>
      <w:r>
        <w:t xml:space="preserve">how the data were collected or processed, not on the values of the data. Fifth, the Introduction’s statement of what the transfer accounts</w:t>
      </w:r>
      <w:r>
        <w:t xml:space="preserve"> </w:t>
      </w:r>
      <w:r>
        <w:t xml:space="preserve">predict was revised after the results were known, when it became clear that the lexical</w:t>
      </w:r>
      <w:r>
        <w:t xml:space="preserve"> </w:t>
      </w:r>
      <w:r>
        <w:t xml:space="preserve">and structural differences between the two miniature languages do not separate the</w:t>
      </w:r>
      <w:r>
        <w:t xml:space="preserve"> </w:t>
      </w:r>
      <w:r>
        <w:t xml:space="preserve">accounts as the original framing assumed. The revised statement sets out the predictions</w:t>
      </w:r>
      <w:r>
        <w:t xml:space="preserve"> </w:t>
      </w:r>
      <w:r>
        <w:t xml:space="preserve">each account makes for the design as it was run, including those our results contradict.</w:t>
      </w:r>
      <w:r>
        <w:t xml:space="preserve"> </w:t>
      </w:r>
      <w:r>
        <w:t xml:space="preserve">Sixth, the ERP models first entered each trial once per electrode cluster. A check of their</w:t>
      </w:r>
      <w:r>
        <w:t xml:space="preserve"> </w:t>
      </w:r>
      <w:r>
        <w:t xml:space="preserve">residual structure after the first fits showed that one trial’s observations across</w:t>
      </w:r>
      <w:r>
        <w:t xml:space="preserve"> </w:t>
      </w:r>
      <w:r>
        <w:t xml:space="preserve">clusters were correlated, so those models overstated the precision of the trial-level</w:t>
      </w:r>
      <w:r>
        <w:t xml:space="preserve"> </w:t>
      </w:r>
      <w:r>
        <w:t xml:space="preserve">terms, and the models were respecified with one observation per trial per macroregion and</w:t>
      </w:r>
      <w:r>
        <w:t xml:space="preserve"> </w:t>
      </w:r>
      <w:r>
        <w:t xml:space="preserve">a by-participant slope</w:t>
      </w:r>
      <w:r>
        <w:t xml:space="preserve"> </w:t>
      </w:r>
      <w:r>
        <w:t xml:space="preserve">for the grammaticality</w:t>
      </w:r>
      <w:r>
        <w:t xml:space="preserve"> </w:t>
      </w:r>
      <m:oMath>
        <m:r>
          <m:rPr>
            <m:sty m:val="p"/>
          </m:rPr>
          <m:t>×</m:t>
        </m:r>
      </m:oMath>
      <w:r>
        <w:t xml:space="preserve"> </w:t>
      </w:r>
      <w:r>
        <w:t xml:space="preserve">session interaction (see</w:t>
      </w:r>
      <w:r>
        <w:t xml:space="preserve"> </w:t>
      </w:r>
      <w:r>
        <w:rPr>
          <w:i/>
          <w:iCs/>
        </w:rPr>
        <w:t xml:space="preserve">Model structure</w:t>
      </w:r>
      <w:r>
        <w:t xml:space="preserve">). The change was</w:t>
      </w:r>
      <w:r>
        <w:t xml:space="preserve"> </w:t>
      </w:r>
      <w:r>
        <w:t xml:space="preserve">made on statistical grounds and before the Bayesian models were refitted. In frequentist</w:t>
      </w:r>
      <w:r>
        <w:t xml:space="preserve"> </w:t>
      </w:r>
      <w:r>
        <w:t xml:space="preserve">(lme4) fits of the same data, it widened the intervals of the language-conditioned terms,</w:t>
      </w:r>
      <w:r>
        <w:t xml:space="preserve"> </w:t>
      </w:r>
      <w:r>
        <w:t xml:space="preserve">which the earlier specification had reported as credible in several cells. In the respecified</w:t>
      </w:r>
      <w:r>
        <w:t xml:space="preserve"> </w:t>
      </w:r>
      <w:r>
        <w:t xml:space="preserve">models, fitted to the corrected sample, no language-conditioned term is credible in any</w:t>
      </w:r>
      <w:r>
        <w:t xml:space="preserve"> </w:t>
      </w:r>
      <w:r>
        <w:t xml:space="preserve">cell.</w:t>
      </w:r>
      <w:r>
        <w:t xml:space="preserve"> </w:t>
      </w:r>
      <w:r>
        <w:t xml:space="preserve">Seventh, the false-discovery-rate family of the decoding analyses was narrowed in July 2026</w:t>
      </w:r>
      <w:r>
        <w:t xml:space="preserve"> </w:t>
      </w:r>
      <w:r>
        <w:t xml:space="preserve">to the clusters of each property’s pooled time-course, after a run under a wider family that</w:t>
      </w:r>
      <w:r>
        <w:t xml:space="preserve"> </w:t>
      </w:r>
      <w:r>
        <w:t xml:space="preserve">also spanned the session-resolved breakdowns had been inspected. Correcting across those</w:t>
      </w:r>
      <w:r>
        <w:t xml:space="preserve"> </w:t>
      </w:r>
      <w:r>
        <w:t xml:space="preserve">nested re-analyses of the same trials leaves the number of hypotheses undefined (see</w:t>
      </w:r>
      <w:r>
        <w:t xml:space="preserve"> </w:t>
      </w:r>
      <w:hyperlink w:anchor="apx-analytic-decisions-in-detail">
        <w:r>
          <w:rPr>
            <w:rStyle w:val="Hyperlink"/>
          </w:rPr>
          <w:t xml:space="preserve">Appendix A</w:t>
        </w:r>
      </w:hyperlink>
      <w:r>
        <w:t xml:space="preserve">). The second layer itself was kept, after the corrected</w:t>
      </w:r>
      <w:r>
        <w:t xml:space="preserve"> </w:t>
      </w:r>
      <w:r>
        <w:t xml:space="preserve">sample’s results were seen, as it had been specified, and the clusters that pass the first</w:t>
      </w:r>
      <w:r>
        <w:t xml:space="preserve"> </w:t>
      </w:r>
      <w:r>
        <w:t xml:space="preserve">layer alone are reported beside it. Eighth, the judgements were first analysed under a</w:t>
      </w:r>
      <w:r>
        <w:t xml:space="preserve"> </w:t>
      </w:r>
      <w:r>
        <w:t xml:space="preserve">reaction-time screen carried over from the project’s earlier preprocessing. After the</w:t>
      </w:r>
      <w:r>
        <w:t xml:space="preserve"> </w:t>
      </w:r>
      <w:r>
        <w:t xml:space="preserve">accuracy models had been fitted both with and without it, we examined what the screen</w:t>
      </w:r>
      <w:r>
        <w:t xml:space="preserve"> </w:t>
      </w:r>
      <w:r>
        <w:t xml:space="preserve">removes. It removes the most and the least accurate judgements, and a larger share of the</w:t>
      </w:r>
      <w:r>
        <w:t xml:space="preserve"> </w:t>
      </w:r>
      <w:r>
        <w:t xml:space="preserve">Mini-English group’s judgements than of the Mini-Norwegian group’s (see</w:t>
      </w:r>
      <w:r>
        <w:t xml:space="preserve"> </w:t>
      </w:r>
      <w:r>
        <w:rPr>
          <w:i/>
          <w:iCs/>
        </w:rPr>
        <w:t xml:space="preserve">Grammaticality-judgement task</w:t>
      </w:r>
      <w:r>
        <w:t xml:space="preserve">). We therefore stopped applying it. The fits with it are</w:t>
      </w:r>
      <w:r>
        <w:t xml:space="preserve"> </w:t>
      </w:r>
      <w:r>
        <w:t xml:space="preserve">reported as a sensitivity analysis, and the results that only one of the two fits supports</w:t>
      </w:r>
      <w:r>
        <w:t xml:space="preserve"> </w:t>
      </w:r>
      <w:r>
        <w:t xml:space="preserve">are graded as suggestive (see</w:t>
      </w:r>
      <w:r>
        <w:t xml:space="preserve"> </w:t>
      </w:r>
      <w:r>
        <w:rPr>
          <w:i/>
          <w:iCs/>
        </w:rPr>
        <w:t xml:space="preserve">Strength of evidence</w:t>
      </w:r>
      <w:r>
        <w:t xml:space="preserve">). The refits on every judgement with the</w:t>
      </w:r>
      <w:r>
        <w:t xml:space="preserve"> </w:t>
      </w:r>
      <w:r>
        <w:t xml:space="preserve">other random-effect structures, priors and covariate were run after this decision. In the</w:t>
      </w:r>
      <w:r>
        <w:t xml:space="preserve"> </w:t>
      </w:r>
      <w:r>
        <w:t xml:space="preserve">refit that adds a by-participant slope for the change in bias, the gender-agreement criterion</w:t>
      </w:r>
      <w:r>
        <w:t xml:space="preserve"> </w:t>
      </w:r>
      <w:r>
        <w:t xml:space="preserve">difference was credible at no session, which is why</w:t>
      </w:r>
      <w:r>
        <w:t xml:space="preserve"> </w:t>
      </w:r>
      <w:r>
        <w:t xml:space="preserve">that difference is graded as suggestive.</w:t>
      </w:r>
      <w:r>
        <w:t xml:space="preserve"> </w:t>
      </w:r>
      <w:r>
        <w:t xml:space="preserve">None of these decisions creates a new test of the paper’s claims.</w:t>
      </w:r>
    </w:p>
    <w:p>
      <w:pPr>
        <w:pStyle w:val="BodyText"/>
      </w:pPr>
      <w:r>
        <w:t xml:space="preserve">The preregistration planned data collection at two sites, in Norway and Spain. The</w:t>
      </w:r>
      <w:r>
        <w:t xml:space="preserve"> </w:t>
      </w:r>
      <w:r>
        <w:t xml:space="preserve">present analyses concern only the Norwegian cohort (first-language Norwegian,</w:t>
      </w:r>
      <w:r>
        <w:t xml:space="preserve"> </w:t>
      </w:r>
      <w:r>
        <w:t xml:space="preserve">second-language English learners of Mini-English or Mini-Norwegian). The Spanish-site</w:t>
      </w:r>
      <w:r>
        <w:t xml:space="preserve"> </w:t>
      </w:r>
      <w:r>
        <w:t xml:space="preserve">data are not analysed here. The findings therefore speak to</w:t>
      </w:r>
      <w:r>
        <w:t xml:space="preserve"> </w:t>
      </w:r>
      <w:r>
        <w:t xml:space="preserve">first-language-Norwegian learners, and generalisation to the other registered</w:t>
      </w:r>
      <w:r>
        <w:t xml:space="preserve"> </w:t>
      </w:r>
      <w:r>
        <w:t xml:space="preserve">populations is an open question.</w:t>
      </w:r>
    </w:p>
    <w:p>
      <w:pPr>
        <w:pStyle w:val="BodyText"/>
      </w:pPr>
      <w:r>
        <w:t xml:space="preserve">The preregistered protocol required participants to score above 80% on the post-training</w:t>
      </w:r>
      <w:r>
        <w:t xml:space="preserve"> </w:t>
      </w:r>
      <w:r>
        <w:t xml:space="preserve">behavioural test in each grammar session before proceeding to the EEG experiment. After</w:t>
      </w:r>
      <w:r>
        <w:t xml:space="preserve"> </w:t>
      </w:r>
      <w:r>
        <w:t xml:space="preserve">a few participants had been tested, we recognised that this criterion was too strict and</w:t>
      </w:r>
      <w:r>
        <w:t xml:space="preserve"> </w:t>
      </w:r>
      <w:r>
        <w:t xml:space="preserve">modified the procedure: when the first test score was below 80%, pretraining, training</w:t>
      </w:r>
      <w:r>
        <w:t xml:space="preserve"> </w:t>
      </w:r>
      <w:r>
        <w:t xml:space="preserve">and the test were repeated; after the second attempt, participants proceeded to the</w:t>
      </w:r>
      <w:r>
        <w:t xml:space="preserve"> </w:t>
      </w:r>
      <w:r>
        <w:t xml:space="preserve">experiment regardless of their score. Participants were shown their percentage correct</w:t>
      </w:r>
      <w:r>
        <w:t xml:space="preserve"> </w:t>
      </w:r>
      <w:r>
        <w:t xml:space="preserve">at the end of each test attempt. The 80% threshold therefore describes the first-attempt</w:t>
      </w:r>
      <w:r>
        <w:t xml:space="preserve"> </w:t>
      </w:r>
      <w:r>
        <w:t xml:space="preserve">gate, not a requirement imposed on the second attempt. This performance threshold is</w:t>
      </w:r>
      <w:r>
        <w:t xml:space="preserve"> </w:t>
      </w:r>
      <w:r>
        <w:t xml:space="preserve">both an inclusion criterion and a performance-conditional missingness mechanism, since</w:t>
      </w:r>
      <w:r>
        <w:t xml:space="preserve"> </w:t>
      </w:r>
      <w:r>
        <w:t xml:space="preserve">it conditions which participant-sessions contribute EEG and behaviour. Its effect is</w:t>
      </w:r>
      <w:r>
        <w:t xml:space="preserve"> </w:t>
      </w:r>
      <w:r>
        <w:t xml:space="preserve">therefore folded into the attendance counts in</w:t>
      </w:r>
      <w:r>
        <w:t xml:space="preserve"> </w:t>
      </w:r>
      <w:hyperlink w:anchor="fig-flow">
        <w:r>
          <w:rPr>
            <w:rStyle w:val="Hyperlink"/>
          </w:rPr>
          <w:t xml:space="preserve">Figure 3</w:t>
        </w:r>
      </w:hyperlink>
      <w:r>
        <w:t xml:space="preserve">, which record who contributed</w:t>
      </w:r>
      <w:r>
        <w:t xml:space="preserve"> </w:t>
      </w:r>
      <w:r>
        <w:t xml:space="preserve">data at each stage but not why. Whether each participant met the threshold at a given</w:t>
      </w:r>
      <w:r>
        <w:t xml:space="preserve"> </w:t>
      </w:r>
      <w:r>
        <w:t xml:space="preserve">session is not reported. It can only be reconstructed from the final pass record in the</w:t>
      </w:r>
      <w:r>
        <w:t xml:space="preserve"> </w:t>
      </w:r>
      <w:r>
        <w:t xml:space="preserve">training logs, and that reconstruction does not reconcile with the attendance counts at</w:t>
      </w:r>
      <w:r>
        <w:t xml:space="preserve"> </w:t>
      </w:r>
      <w:r>
        <w:t xml:space="preserve">Session 4, so we do not quote numbers from it.</w:t>
      </w:r>
    </w:p>
    <w:bookmarkEnd w:id="92"/>
    <w:bookmarkEnd w:id="93"/>
    <w:bookmarkStart w:id="127" w:name="results"/>
    <w:p>
      <w:pPr>
        <w:pStyle w:val="Heading1"/>
      </w:pPr>
      <w:r>
        <w:t xml:space="preserve">Results</w:t>
      </w:r>
    </w:p>
    <w:p>
      <w:pPr>
        <w:pStyle w:val="FirstParagraph"/>
      </w:pPr>
      <w:r>
        <w:t xml:space="preserve">All 135 fitted models met the convergence criteria. Taken over every parameter of every model, the largest rank-normalised</w:t>
      </w:r>
      <w:r>
        <w:t xml:space="preserve"> </w:t>
      </w:r>
      <m:oMath>
        <m:acc>
          <m:accPr>
            <m:chr m:val="̂"/>
          </m:accPr>
          <m:e>
            <m:r>
              <m:t>R</m:t>
            </m:r>
          </m:e>
        </m:acc>
      </m:oMath>
      <w:r>
        <w:t xml:space="preserve"> </w:t>
      </w:r>
      <w:r>
        <w:t xml:space="preserve">was 1.009, the smallest bulk and tail effective sample sizes were 785 and 1,900, and no model produced a divergent transition. Per-model values are given in</w:t>
      </w:r>
      <w:r>
        <w:t xml:space="preserve"> </w:t>
      </w:r>
      <w:hyperlink w:anchor="tbl-convergence-appendix">
        <w:r>
          <w:rPr>
            <w:rStyle w:val="Hyperlink"/>
          </w:rPr>
          <w:t xml:space="preserve">Table D1</w:t>
        </w:r>
      </w:hyperlink>
      <w:r>
        <w:t xml:space="preserve"> </w:t>
      </w:r>
      <w:r>
        <w:t xml:space="preserve">and</w:t>
      </w:r>
      <w:r>
        <w:t xml:space="preserve"> </w:t>
      </w:r>
      <w:hyperlink w:anchor="tbl-convergence-accuracy">
        <w:r>
          <w:rPr>
            <w:rStyle w:val="Hyperlink"/>
          </w:rPr>
          <w:t xml:space="preserve">Table D2</w:t>
        </w:r>
      </w:hyperlink>
      <w:r>
        <w:t xml:space="preserve">.</w:t>
      </w:r>
    </w:p>
    <w:bookmarkStart w:id="115" w:name="Xf4fae0881c607eb6863bf9a1bc4ed423905f27f"/>
    <w:p>
      <w:pPr>
        <w:pStyle w:val="Heading2"/>
      </w:pPr>
      <w:r>
        <w:t xml:space="preserve">ERP signatures of grammatical processing and their development</w:t>
      </w:r>
    </w:p>
    <w:p>
      <w:pPr>
        <w:pStyle w:val="FirstParagraph"/>
      </w:pPr>
      <w:r>
        <w:t xml:space="preserve">We assess, for each property, whether it elicited a grammaticality effect, whether that</w:t>
      </w:r>
      <w:r>
        <w:t xml:space="preserve"> </w:t>
      </w:r>
      <w:r>
        <w:t xml:space="preserve">effect changed across sessions (the grammaticality</w:t>
      </w:r>
      <w:r>
        <w:t xml:space="preserve"> </w:t>
      </w:r>
      <m:oMath>
        <m:r>
          <m:rPr>
            <m:sty m:val="p"/>
          </m:rPr>
          <m:t>×</m:t>
        </m:r>
      </m:oMath>
      <w:r>
        <w:t xml:space="preserve"> </w:t>
      </w:r>
      <w:r>
        <w:t xml:space="preserve">session interaction), and</w:t>
      </w:r>
      <w:r>
        <w:t xml:space="preserve"> </w:t>
      </w:r>
      <w:r>
        <w:t xml:space="preserve">whether the effect or its development was modulated by language (the grammaticality</w:t>
      </w:r>
      <w:r>
        <w:t xml:space="preserve"> </w:t>
      </w:r>
      <m:oMath>
        <m:r>
          <m:rPr>
            <m:sty m:val="p"/>
          </m:rPr>
          <m:t>×</m:t>
        </m:r>
      </m:oMath>
      <w:r>
        <w:t xml:space="preserve"> </w:t>
      </w:r>
      <w:r>
        <w:t xml:space="preserve">language and 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interactions). The</w:t>
      </w:r>
      <w:r>
        <w:t xml:space="preserve"> </w:t>
      </w:r>
      <w:r>
        <w:t xml:space="preserve">pattern differs by property. Gender agreement showed a grammaticality effect in the early and</w:t>
      </w:r>
      <w:r>
        <w:t xml:space="preserve"> </w:t>
      </w:r>
      <w:r>
        <w:t xml:space="preserve">middle windows that grew across sessions in the late window, where the grammaticality</w:t>
      </w:r>
      <w:r>
        <w:t xml:space="preserve"> </w:t>
      </w:r>
      <m:oMath>
        <m:r>
          <m:rPr>
            <m:sty m:val="p"/>
          </m:rPr>
          <m:t>×</m:t>
        </m:r>
      </m:oMath>
      <w:r>
        <w:t xml:space="preserve"> </w:t>
      </w:r>
      <w:r>
        <w:t xml:space="preserve">session interaction was credible in</w:t>
      </w:r>
      <w:r>
        <w:t xml:space="preserve"> </w:t>
      </w:r>
      <w:r>
        <w:t xml:space="preserve">2 of 6 cells;</w:t>
      </w:r>
      <w:r>
        <w:t xml:space="preserve"> </w:t>
      </w:r>
      <w:r>
        <w:t xml:space="preserve">differential object marking showed a transient early grammaticality effect; and verb–object</w:t>
      </w:r>
      <w:r>
        <w:t xml:space="preserve"> </w:t>
      </w:r>
      <w:r>
        <w:t xml:space="preserve">number agreement showed no credible effect (</w:t>
      </w:r>
      <w:hyperlink w:anchor="fig-erp-forest">
        <w:r>
          <w:rPr>
            <w:rStyle w:val="Hyperlink"/>
          </w:rPr>
          <w:t xml:space="preserve">Figure 7</w:t>
        </w:r>
      </w:hyperlink>
      <w:r>
        <w:t xml:space="preserve">). No term involving language was</w:t>
      </w:r>
      <w:r>
        <w:t xml:space="preserve"> </w:t>
      </w:r>
      <w:r>
        <w:t xml:space="preserve">credible for any property: the grammaticality</w:t>
      </w:r>
      <w:r>
        <w:t xml:space="preserve"> </w:t>
      </w:r>
      <m:oMath>
        <m:r>
          <m:rPr>
            <m:sty m:val="p"/>
          </m:rPr>
          <m:t>×</m:t>
        </m:r>
      </m:oMath>
      <w:r>
        <w:t xml:space="preserve"> </w:t>
      </w:r>
      <w:r>
        <w:t xml:space="preserve">language interaction was credible in</w:t>
      </w:r>
      <w:r>
        <w:t xml:space="preserve"> </w:t>
      </w:r>
      <w:r>
        <w:t xml:space="preserve">0 of 18 cells and the</w:t>
      </w:r>
      <w:r>
        <w:t xml:space="preserve"> </w:t>
      </w:r>
      <w:r>
        <w:t xml:space="preserve">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interaction in</w:t>
      </w:r>
      <w:r>
        <w:t xml:space="preserve"> </w:t>
      </w:r>
      <w:r>
        <w:t xml:space="preserve">0 of 18. The</w:t>
      </w:r>
      <w:r>
        <w:t xml:space="preserve"> </w:t>
      </w:r>
      <w:r>
        <w:t xml:space="preserve">same terms are credible, with the same signs, when the reprocessed and recovered records are</w:t>
      </w:r>
      <w:r>
        <w:t xml:space="preserve"> </w:t>
      </w:r>
      <w:r>
        <w:t xml:space="preserve">left out (</w:t>
      </w:r>
      <w:hyperlink w:anchor="tbl-robustness">
        <w:r>
          <w:rPr>
            <w:rStyle w:val="Hyperlink"/>
          </w:rPr>
          <w:t xml:space="preserve">Table A1</w:t>
        </w:r>
      </w:hyperlink>
      <w:r>
        <w:t xml:space="preserve">). The condition averages are shown for each miniature-language</w:t>
      </w:r>
      <w:r>
        <w:t xml:space="preserve"> </w:t>
      </w:r>
      <w:r>
        <w:t xml:space="preserve">group in</w:t>
      </w:r>
      <w:r>
        <w:t xml:space="preserve"> </w:t>
      </w:r>
      <w:hyperlink w:anchor="fig-erp-waveforms">
        <w:r>
          <w:rPr>
            <w:rStyle w:val="Hyperlink"/>
          </w:rPr>
          <w:t xml:space="preserve">Figure 8</w:t>
        </w:r>
      </w:hyperlink>
      <w:r>
        <w:t xml:space="preserve">, the two groups’ difference waves in</w:t>
      </w:r>
      <w:r>
        <w:t xml:space="preserve"> </w:t>
      </w:r>
      <w:hyperlink w:anchor="fig-erp-difference-groups">
        <w:r>
          <w:rPr>
            <w:rStyle w:val="Hyperlink"/>
          </w:rPr>
          <w:t xml:space="preserve">Figure 9</w:t>
        </w:r>
      </w:hyperlink>
      <w:r>
        <w:t xml:space="preserve">, and the scalp distribution of the effect in each group and</w:t>
      </w:r>
      <w:r>
        <w:t xml:space="preserve"> </w:t>
      </w:r>
      <w:r>
        <w:t xml:space="preserve">window in</w:t>
      </w:r>
      <w:r>
        <w:t xml:space="preserve"> </w:t>
      </w:r>
      <w:hyperlink w:anchor="fig-erp-topography">
        <w:r>
          <w:rPr>
            <w:rStyle w:val="Hyperlink"/>
          </w:rPr>
          <w:t xml:space="preserve">Figure 10</w:t>
        </w:r>
      </w:hyperlink>
      <w:r>
        <w:t xml:space="preserve">.</w:t>
      </w:r>
    </w:p>
    <w:p>
      <w:pPr>
        <w:pStyle w:val="BodyText"/>
      </w:pPr>
      <w:r>
        <w:t xml:space="preserve">One coding fact governs how every coefficient below should be read. A positive</w:t>
      </w:r>
      <w:r>
        <w:t xml:space="preserve"> </w:t>
      </w:r>
      <w:r>
        <w:t xml:space="preserve">grammaticality coefficient means that grammatical trials were more positive than</w:t>
      </w:r>
      <w:r>
        <w:t xml:space="preserve"> </w:t>
      </w:r>
      <w:r>
        <w:t xml:space="preserve">ungrammatical ones, because grammaticality is coded grammatical</w:t>
      </w:r>
      <w:r>
        <w:t xml:space="preserve"> </w:t>
      </w:r>
      <m:oMath>
        <m:r>
          <m:rPr>
            <m:sty m:val="p"/>
          </m:rPr>
          <m:t>=</m:t>
        </m:r>
        <m:r>
          <m:rPr>
            <m:sty m:val="p"/>
          </m:rPr>
          <m:t>+</m:t>
        </m:r>
        <m:r>
          <m:t>0.5</m:t>
        </m:r>
      </m:oMath>
      <w:r>
        <w:t xml:space="preserve">. Violations</w:t>
      </w:r>
      <w:r>
        <w:t xml:space="preserve"> </w:t>
      </w:r>
      <w:r>
        <w:t xml:space="preserve">therefore appear as a relative negativity. The canonical P600 would produce a negative</w:t>
      </w:r>
      <w:r>
        <w:t xml:space="preserve"> </w:t>
      </w:r>
      <w:r>
        <w:t xml:space="preserve">coefficient. Every credible grammaticality effect below is positive, so the dominant</w:t>
      </w:r>
      <w:r>
        <w:t xml:space="preserve"> </w:t>
      </w:r>
      <w:r>
        <w:t xml:space="preserve">signature in these learners is a violation-related negativity where our priors</w:t>
      </w:r>
      <w:r>
        <w:t xml:space="preserve"> </w:t>
      </w:r>
      <w:r>
        <w:t xml:space="preserve">anticipated a late positivity, a point we return to in the Discussion. Results are</w:t>
      </w:r>
      <w:r>
        <w:t xml:space="preserve"> </w:t>
      </w:r>
      <w:r>
        <w:t xml:space="preserve">organised by property.</w:t>
      </w:r>
    </w:p>
    <w:bookmarkStart w:id="97" w:name="fig-erp-forest"/>
    <w:p>
      <w:pPr>
        <w:pStyle w:val="FigureTitle"/>
      </w:pPr>
      <w:r>
        <w:t xml:space="preserve">Figure 7</w:t>
      </w:r>
    </w:p>
    <w:p>
      <w:pPr>
        <w:pStyle w:val="Caption"/>
      </w:pPr>
      <w:r>
        <w:t xml:space="preserve">Posterior Medians and 95% Credible Intervals of the Grammaticality Terms in Every ERP Cell</w:t>
      </w:r>
    </w:p>
    <w:p>
      <w:pPr>
        <w:pStyle w:val="FigureWithNote"/>
      </w:pPr>
      <w:r>
        <w:drawing>
          <wp:inline>
            <wp:extent cx="5943600" cy="5760719"/>
            <wp:effectExtent b="0" l="0" r="0" t="0"/>
            <wp:docPr descr="" title="" id="95" name="Picture"/>
            <a:graphic>
              <a:graphicData uri="http://schemas.openxmlformats.org/drawingml/2006/picture">
                <pic:pic>
                  <pic:nvPicPr>
                    <pic:cNvPr descr="paper_1_morphosyntax_files/figure-docx/fig-erp-forest-1.png" id="96" name="Picture"/>
                    <pic:cNvPicPr>
                      <a:picLocks noChangeArrowheads="1" noChangeAspect="1"/>
                    </pic:cNvPicPr>
                  </pic:nvPicPr>
                  <pic:blipFill>
                    <a:blip r:embed="rId94"/>
                    <a:stretch>
                      <a:fillRect/>
                    </a:stretch>
                  </pic:blipFill>
                  <pic:spPr bwMode="auto">
                    <a:xfrm>
                      <a:off x="0" y="0"/>
                      <a:ext cx="5943600" cy="5760719"/>
                    </a:xfrm>
                    <a:prstGeom prst="rect">
                      <a:avLst/>
                    </a:prstGeom>
                    <a:noFill/>
                    <a:ln w="9525">
                      <a:noFill/>
                      <a:headEnd/>
                      <a:tailEnd/>
                    </a:ln>
                  </pic:spPr>
                </pic:pic>
              </a:graphicData>
            </a:graphic>
          </wp:inline>
        </w:drawing>
      </w:r>
    </w:p>
    <w:bookmarkEnd w:id="97"/>
    <w:p>
      <w:pPr>
        <w:pStyle w:val="FigureNote"/>
      </w:pPr>
      <w:r>
        <w:rPr>
          <w:i/>
          <w:iCs/>
        </w:rPr>
        <w:t xml:space="preserve">Note</w:t>
      </w:r>
      <w:r>
        <w:t xml:space="preserve">. Points are posterior medians and horizontal lines 95% equal-tailed credible intervals (CrI) for the four grammaticality terms of each single-trial ERP model (maximal random-effect structure, informative priors). The vertical grey line marks zero. Columns are grammatical properties and rows are model terms. Within each panel the three a priori windows run from earliest (top) to latest (bottom), with the midline estimate (circle) above the lateral one (square). Filled symbols mark intervals that exclude zero; open symbols, intervals that include it. All panels share one horizontal scale, in within-participant standard deviations of single-trial amplitude. Grammaticality (grammatical = +0.5) and language (Mini-Norwegian = +0.5) were coded before standardisation, so a positive grammaticality coefficient is a relative negativity for violations, and a positive term involving language is a larger value of the corresponding grammaticality term in the Mini-Norwegian group. Verb–object number agreement was recorded at Sessions 4 and 6 only, so its session terms index change across the retention interval.</w:t>
      </w:r>
    </w:p>
    <w:bookmarkStart w:id="101" w:name="fig-erp-waveforms"/>
    <w:p>
      <w:pPr>
        <w:pStyle w:val="FigureTitle"/>
      </w:pPr>
      <w:r>
        <w:t xml:space="preserve">Figure 8</w:t>
      </w:r>
    </w:p>
    <w:p>
      <w:pPr>
        <w:pStyle w:val="Caption"/>
      </w:pPr>
      <w:r>
        <w:t xml:space="preserve">Grand-Average ERPs by Electrode Cluster, Miniature Language and Property</w:t>
      </w:r>
    </w:p>
    <w:p>
      <w:pPr>
        <w:pStyle w:val="FigureWithNote"/>
      </w:pPr>
      <w:r>
        <w:drawing>
          <wp:inline>
            <wp:extent cx="5943600" cy="5486399"/>
            <wp:effectExtent b="0" l="0" r="0" t="0"/>
            <wp:docPr descr="" title="" id="99" name="Picture"/>
            <a:graphic>
              <a:graphicData uri="http://schemas.openxmlformats.org/drawingml/2006/picture">
                <pic:pic>
                  <pic:nvPicPr>
                    <pic:cNvPr descr="paper_1_morphosyntax_files/figure-docx/fig-erp-waveforms-1.png" id="100" name="Picture"/>
                    <pic:cNvPicPr>
                      <a:picLocks noChangeArrowheads="1" noChangeAspect="1"/>
                    </pic:cNvPicPr>
                  </pic:nvPicPr>
                  <pic:blipFill>
                    <a:blip r:embed="rId98"/>
                    <a:stretch>
                      <a:fillRect/>
                    </a:stretch>
                  </pic:blipFill>
                  <pic:spPr bwMode="auto">
                    <a:xfrm>
                      <a:off x="0" y="0"/>
                      <a:ext cx="5943600" cy="5486399"/>
                    </a:xfrm>
                    <a:prstGeom prst="rect">
                      <a:avLst/>
                    </a:prstGeom>
                    <a:noFill/>
                    <a:ln w="9525">
                      <a:noFill/>
                      <a:headEnd/>
                      <a:tailEnd/>
                    </a:ln>
                  </pic:spPr>
                </pic:pic>
              </a:graphicData>
            </a:graphic>
          </wp:inline>
        </w:drawing>
      </w:r>
    </w:p>
    <w:bookmarkEnd w:id="101"/>
    <w:p>
      <w:pPr>
        <w:pStyle w:val="FigureNote"/>
      </w:pPr>
      <w:r>
        <w:rPr>
          <w:i/>
          <w:iCs/>
        </w:rPr>
        <w:t xml:space="preserve">Note</w:t>
      </w:r>
      <w:r>
        <w:t xml:space="preserve">. The upper block is a midline posterior electrode cluster, where the P600 is typically largest, and the lower block a left anterior cluster, where the LAN is typically largest (the models use macroregion means). Black lines are grammatical and green lines ungrammatical sentences, pooled over each property’s sessions. Each participant’s waveform was baseline-corrected (</w:t>
      </w:r>
      <m:oMath>
        <m:r>
          <m:rPr>
            <m:sty m:val="p"/>
          </m:rPr>
          <m:t>−</m:t>
        </m:r>
        <m:r>
          <m:t>100</m:t>
        </m:r>
      </m:oMath>
      <w:r>
        <w:t xml:space="preserve"> </w:t>
      </w:r>
      <w:r>
        <w:t xml:space="preserve">to 0 ms) and averaged over their sessions before participants were averaged, so every participant carries equal weight. Ribbons are descriptive pointwise 95% normal intervals from the participant-level standard error. Positive is plotted up, and all panels share one scale. Grey bars mark the a priori windows (from the top, 200–500, 300–600 and 400–900 ms) and the triangle the median onset of the next word. The sample is the modelled one, and inferences rest on the models summarised in the forest plot of posterior estimates.</w:t>
      </w:r>
    </w:p>
    <w:p>
      <w:pPr>
        <w:pStyle w:val="BodyText"/>
      </w:pPr>
      <w:r>
        <w:t xml:space="preserve">The grammaticality effect is easier to compare between the groups once the shared evoked</w:t>
      </w:r>
      <w:r>
        <w:t xml:space="preserve"> </w:t>
      </w:r>
      <w:r>
        <w:t xml:space="preserve">response is subtracted.</w:t>
      </w:r>
      <w:r>
        <w:t xml:space="preserve"> </w:t>
      </w:r>
      <w:hyperlink w:anchor="fig-erp-difference-groups">
        <w:r>
          <w:rPr>
            <w:rStyle w:val="Hyperlink"/>
          </w:rPr>
          <w:t xml:space="preserve">Figure 9</w:t>
        </w:r>
      </w:hyperlink>
      <w:r>
        <w:t xml:space="preserve"> </w:t>
      </w:r>
      <w:r>
        <w:t xml:space="preserve">overlays the two groups’ difference</w:t>
      </w:r>
      <w:r>
        <w:t xml:space="preserve"> </w:t>
      </w:r>
      <w:r>
        <w:t xml:space="preserve">waves (ungrammatical minus grammatical) at the same two electrode clusters.</w:t>
      </w:r>
    </w:p>
    <w:bookmarkStart w:id="105" w:name="fig-erp-difference-groups"/>
    <w:p>
      <w:pPr>
        <w:pStyle w:val="FigureTitle"/>
      </w:pPr>
      <w:r>
        <w:t xml:space="preserve">Figure 9</w:t>
      </w:r>
    </w:p>
    <w:p>
      <w:pPr>
        <w:pStyle w:val="Caption"/>
      </w:pPr>
      <w:r>
        <w:t xml:space="preserve">Difference Waves (Ungrammatical Minus Grammatical) by Electrode Cluster, Miniature Language and Property</w:t>
      </w:r>
    </w:p>
    <w:p>
      <w:pPr>
        <w:pStyle w:val="FigureWithNote"/>
      </w:pPr>
      <w:r>
        <w:drawing>
          <wp:inline>
            <wp:extent cx="5943600" cy="4023359"/>
            <wp:effectExtent b="0" l="0" r="0" t="0"/>
            <wp:docPr descr="" title="" id="103" name="Picture"/>
            <a:graphic>
              <a:graphicData uri="http://schemas.openxmlformats.org/drawingml/2006/picture">
                <pic:pic>
                  <pic:nvPicPr>
                    <pic:cNvPr descr="paper_1_morphosyntax_files/figure-docx/fig-erp-difference-groups-1.png" id="104" name="Picture"/>
                    <pic:cNvPicPr>
                      <a:picLocks noChangeArrowheads="1" noChangeAspect="1"/>
                    </pic:cNvPicPr>
                  </pic:nvPicPr>
                  <pic:blipFill>
                    <a:blip r:embed="rId102"/>
                    <a:stretch>
                      <a:fillRect/>
                    </a:stretch>
                  </pic:blipFill>
                  <pic:spPr bwMode="auto">
                    <a:xfrm>
                      <a:off x="0" y="0"/>
                      <a:ext cx="5943600" cy="4023359"/>
                    </a:xfrm>
                    <a:prstGeom prst="rect">
                      <a:avLst/>
                    </a:prstGeom>
                    <a:noFill/>
                    <a:ln w="9525">
                      <a:noFill/>
                      <a:headEnd/>
                      <a:tailEnd/>
                    </a:ln>
                  </pic:spPr>
                </pic:pic>
              </a:graphicData>
            </a:graphic>
          </wp:inline>
        </w:drawing>
      </w:r>
    </w:p>
    <w:bookmarkEnd w:id="105"/>
    <w:p>
      <w:pPr>
        <w:pStyle w:val="FigureNote"/>
      </w:pPr>
      <w:r>
        <w:rPr>
          <w:i/>
          <w:iCs/>
        </w:rPr>
        <w:t xml:space="preserve">Note</w:t>
      </w:r>
      <w:r>
        <w:t xml:space="preserve">. Each line is the participant-paired difference between ungrammatical and grammatical baseline-corrected waveforms, averaged over each participant’s sessions and then over participants, for the Mini-Norwegian (blue) and Mini-English (vermilion) groups at the two electrode clusters of the grand-average figure. Values below zero mark a relative negativity for violations, the opposite sign to the grammaticality coefficient in the models, where grammatical is coded +0.5. Ribbons are pointwise 95% normal intervals from the participant-level standard error of the paired difference. Positive is plotted up. Grey bars mark the a priori windows and the triangle the median onset of the next word, as in the grand-average figure. Session-resolved difference waves are given in the appendix on group displays by session.</w:t>
      </w:r>
    </w:p>
    <w:bookmarkStart w:id="106" w:name="subjectverb-gender-agreement"/>
    <w:p>
      <w:pPr>
        <w:pStyle w:val="Heading3"/>
      </w:pPr>
      <w:r>
        <w:t xml:space="preserve">Subject–verb gender agreement</w:t>
      </w:r>
    </w:p>
    <w:p>
      <w:pPr>
        <w:pStyle w:val="FirstParagraph"/>
      </w:pPr>
      <w:r>
        <w:t xml:space="preserve">Gender agreement showed the clearest profile. The grammaticality effect was positive in</w:t>
      </w:r>
      <w:r>
        <w:t xml:space="preserve"> </w:t>
      </w:r>
      <w:r>
        <w:t xml:space="preserve">direction in every window and macroregion (</w:t>
      </w:r>
      <m:oMath>
        <m:sSub>
          <m:e>
            <m:r>
              <m:t>p</m:t>
            </m:r>
          </m:e>
          <m:sub>
            <m:r>
              <m:t>d</m:t>
            </m:r>
          </m:sub>
        </m:sSub>
      </m:oMath>
      <w:r>
        <w:t xml:space="preserve"> </w:t>
      </w:r>
      <w:r>
        <w:t xml:space="preserve">from</w:t>
      </w:r>
      <w:r>
        <w:t xml:space="preserve"> </w:t>
      </w:r>
      <w:r>
        <w:t xml:space="preserve">.93 to .998;</w:t>
      </w:r>
      <w:r>
        <w:t xml:space="preserve"> </w:t>
      </w:r>
      <w:hyperlink w:anchor="fig-erp-forest">
        <w:r>
          <w:rPr>
            <w:rStyle w:val="Hyperlink"/>
          </w:rPr>
          <w:t xml:space="preserve">Figure 7</w:t>
        </w:r>
      </w:hyperlink>
      <w:r>
        <w:t xml:space="preserve">) and credible in</w:t>
      </w:r>
      <w:r>
        <w:t xml:space="preserve"> </w:t>
      </w:r>
      <w:r>
        <w:t xml:space="preserve">3 of 6 cells, all in the two earlier</w:t>
      </w:r>
      <w:r>
        <w:t xml:space="preserve"> </w:t>
      </w:r>
      <w:r>
        <w:t xml:space="preserve">windows (midline 200–500 ms,</w:t>
      </w:r>
      <w:r>
        <w:t xml:space="preserve"> </w:t>
      </w:r>
      <m:oMath>
        <m:r>
          <m:t>b</m:t>
        </m:r>
        <m:r>
          <m:rPr>
            <m:sty m:val="p"/>
          </m:rPr>
          <m:t>=</m:t>
        </m:r>
        <m:r>
          <m:t>0.031</m:t>
        </m:r>
      </m:oMath>
      <w:r>
        <w:t xml:space="preserve">, 95% CrI</w:t>
      </w:r>
      <w:r>
        <w:t xml:space="preserve"> </w:t>
      </w:r>
      <m:oMath>
        <m:r>
          <m:rPr>
            <m:sty m:val="p"/>
          </m:rPr>
          <m:t>[</m:t>
        </m:r>
        <m:r>
          <m:t>0.011</m:t>
        </m:r>
        <m:r>
          <m:rPr>
            <m:sty m:val="p"/>
          </m:rPr>
          <m:t>,</m:t>
        </m:r>
        <m:r>
          <m:t>0.052</m:t>
        </m:r>
        <m:r>
          <m:rPr>
            <m:sty m:val="p"/>
          </m:rPr>
          <m:t>]</m:t>
        </m:r>
      </m:oMath>
      <w:r>
        <w:t xml:space="preserve">,</w:t>
      </w:r>
      <w:r>
        <w:t xml:space="preserve"> </w:t>
      </w:r>
      <m:oMath>
        <m:sSub>
          <m:e>
            <m:r>
              <m:t>p</m:t>
            </m:r>
          </m:e>
          <m:sub>
            <m:r>
              <m:t>d</m:t>
            </m:r>
          </m:sub>
        </m:sSub>
        <m:r>
          <m:rPr>
            <m:sty m:val="p"/>
          </m:rPr>
          <m:t>=</m:t>
        </m:r>
        <m:r>
          <m:t>.998</m:t>
        </m:r>
      </m:oMath>
      <w:r>
        <w:t xml:space="preserve">;</w:t>
      </w:r>
      <w:r>
        <w:t xml:space="preserve"> </w:t>
      </w:r>
      <w:r>
        <w:t xml:space="preserve">lateral 300–600 ms,</w:t>
      </w:r>
      <w:r>
        <w:t xml:space="preserve"> </w:t>
      </w:r>
      <m:oMath>
        <m:r>
          <m:t>b</m:t>
        </m:r>
        <m:r>
          <m:rPr>
            <m:sty m:val="p"/>
          </m:rPr>
          <m:t>=</m:t>
        </m:r>
        <m:r>
          <m:t>0.025</m:t>
        </m:r>
      </m:oMath>
      <w:r>
        <w:t xml:space="preserve">, 95% CrI</w:t>
      </w:r>
      <w:r>
        <w:t xml:space="preserve"> </w:t>
      </w:r>
      <m:oMath>
        <m:r>
          <m:rPr>
            <m:sty m:val="p"/>
          </m:rPr>
          <m:t>[</m:t>
        </m:r>
        <m:r>
          <m:t>0.004</m:t>
        </m:r>
        <m:r>
          <m:rPr>
            <m:sty m:val="p"/>
          </m:rPr>
          <m:t>,</m:t>
        </m:r>
        <m:r>
          <m:t>0.047</m:t>
        </m:r>
        <m:r>
          <m:rPr>
            <m:sty m:val="p"/>
          </m:rPr>
          <m:t>]</m:t>
        </m:r>
      </m:oMath>
      <w:r>
        <w:t xml:space="preserve">,</w:t>
      </w:r>
      <w:r>
        <w:t xml:space="preserve"> </w:t>
      </w:r>
      <m:oMath>
        <m:sSub>
          <m:e>
            <m:r>
              <m:t>p</m:t>
            </m:r>
          </m:e>
          <m:sub>
            <m:r>
              <m:t>d</m:t>
            </m:r>
          </m:sub>
        </m:sSub>
        <m:r>
          <m:rPr>
            <m:sty m:val="p"/>
          </m:rPr>
          <m:t>=</m:t>
        </m:r>
        <m:r>
          <m:t>.99</m:t>
        </m:r>
      </m:oMath>
      <w:r>
        <w:t xml:space="preserve">;</w:t>
      </w:r>
      <w:r>
        <w:t xml:space="preserve"> </w:t>
      </w:r>
      <w:r>
        <w:t xml:space="preserve">midline 300–600 ms,</w:t>
      </w:r>
      <w:r>
        <w:t xml:space="preserve"> </w:t>
      </w:r>
      <m:oMath>
        <m:r>
          <m:t>b</m:t>
        </m:r>
        <m:r>
          <m:rPr>
            <m:sty m:val="p"/>
          </m:rPr>
          <m:t>=</m:t>
        </m:r>
        <m:r>
          <m:t>0.036</m:t>
        </m:r>
      </m:oMath>
      <w:r>
        <w:t xml:space="preserve">, 95% CrI</w:t>
      </w:r>
      <w:r>
        <w:t xml:space="preserve"> </w:t>
      </w:r>
      <m:oMath>
        <m:r>
          <m:rPr>
            <m:sty m:val="p"/>
          </m:rPr>
          <m:t>[</m:t>
        </m:r>
        <m:r>
          <m:t>0.013</m:t>
        </m:r>
        <m:r>
          <m:rPr>
            <m:sty m:val="p"/>
          </m:rPr>
          <m:t>,</m:t>
        </m:r>
        <m:r>
          <m:t>0.058</m:t>
        </m:r>
        <m:r>
          <m:rPr>
            <m:sty m:val="p"/>
          </m:rPr>
          <m:t>]</m:t>
        </m:r>
      </m:oMath>
      <w:r>
        <w:t xml:space="preserve">,</w:t>
      </w:r>
      <w:r>
        <w:t xml:space="preserve"> </w:t>
      </w:r>
      <m:oMath>
        <m:sSub>
          <m:e>
            <m:r>
              <m:t>p</m:t>
            </m:r>
          </m:e>
          <m:sub>
            <m:r>
              <m:t>d</m:t>
            </m:r>
          </m:sub>
        </m:sSub>
        <m:r>
          <m:rPr>
            <m:sty m:val="p"/>
          </m:rPr>
          <m:t>=</m:t>
        </m:r>
        <m:r>
          <m:t>.998</m:t>
        </m:r>
      </m:oMath>
      <w:r>
        <w:t xml:space="preserve">).</w:t>
      </w:r>
      <w:r>
        <w:t xml:space="preserve"> </w:t>
      </w:r>
      <w:r>
        <w:t xml:space="preserve">Averaged over sessions, the effect was weaker in the late window (midline 400–900 ms,</w:t>
      </w:r>
      <w:r>
        <w:t xml:space="preserve"> </w:t>
      </w:r>
      <m:oMath>
        <m:r>
          <m:t>b</m:t>
        </m:r>
        <m:r>
          <m:rPr>
            <m:sty m:val="p"/>
          </m:rPr>
          <m:t>=</m:t>
        </m:r>
        <m:r>
          <m:t>0.020</m:t>
        </m:r>
      </m:oMath>
      <w:r>
        <w:t xml:space="preserve">, 95% CrI</w:t>
      </w:r>
      <w:r>
        <w:t xml:space="preserve"> </w:t>
      </w:r>
      <m:oMath>
        <m:r>
          <m:rPr>
            <m:sty m:val="p"/>
          </m:rPr>
          <m:t>[</m:t>
        </m:r>
        <m:r>
          <m:rPr>
            <m:sty m:val="p"/>
          </m:rPr>
          <m:t>−</m:t>
        </m:r>
        <m:r>
          <m:t>0.004</m:t>
        </m:r>
        <m:r>
          <m:rPr>
            <m:sty m:val="p"/>
          </m:rPr>
          <m:t>,</m:t>
        </m:r>
        <m:r>
          <m:t>0.043</m:t>
        </m:r>
        <m:r>
          <m:rPr>
            <m:sty m:val="p"/>
          </m:rPr>
          <m:t>]</m:t>
        </m:r>
      </m:oMath>
      <w:r>
        <w:t xml:space="preserve">,</w:t>
      </w:r>
      <w:r>
        <w:t xml:space="preserve"> </w:t>
      </w:r>
      <m:oMath>
        <m:sSub>
          <m:e>
            <m:r>
              <m:t>p</m:t>
            </m:r>
          </m:e>
          <m:sub>
            <m:r>
              <m:t>d</m:t>
            </m:r>
          </m:sub>
        </m:sSub>
        <m:r>
          <m:rPr>
            <m:sty m:val="p"/>
          </m:rPr>
          <m:t>=</m:t>
        </m:r>
        <m:r>
          <m:t>.95</m:t>
        </m:r>
      </m:oMath>
      <w:r>
        <w:t xml:space="preserve">), but</w:t>
      </w:r>
      <w:r>
        <w:t xml:space="preserve"> </w:t>
      </w:r>
      <w:r>
        <w:t xml:space="preserve">that is where it grew. The grammaticality</w:t>
      </w:r>
      <w:r>
        <w:t xml:space="preserve"> </w:t>
      </w:r>
      <m:oMath>
        <m:r>
          <m:rPr>
            <m:sty m:val="p"/>
          </m:rPr>
          <m:t>×</m:t>
        </m:r>
      </m:oMath>
      <w:r>
        <w:t xml:space="preserve"> </w:t>
      </w:r>
      <w:r>
        <w:t xml:space="preserve">session interaction was credible in the</w:t>
      </w:r>
      <w:r>
        <w:t xml:space="preserve"> </w:t>
      </w:r>
      <w:r>
        <w:t xml:space="preserve">late window in both macroregions (lateral,</w:t>
      </w:r>
      <w:r>
        <w:t xml:space="preserve"> </w:t>
      </w:r>
      <m:oMath>
        <m:r>
          <m:t>b</m:t>
        </m:r>
        <m:r>
          <m:rPr>
            <m:sty m:val="p"/>
          </m:rPr>
          <m:t>=</m:t>
        </m:r>
        <m:r>
          <m:t>0.024</m:t>
        </m:r>
      </m:oMath>
      <w:r>
        <w:t xml:space="preserve">, 95% CrI</w:t>
      </w:r>
      <w:r>
        <w:t xml:space="preserve"> </w:t>
      </w:r>
      <m:oMath>
        <m:r>
          <m:rPr>
            <m:sty m:val="p"/>
          </m:rPr>
          <m:t>[</m:t>
        </m:r>
        <m:r>
          <m:t>0.006</m:t>
        </m:r>
        <m:r>
          <m:rPr>
            <m:sty m:val="p"/>
          </m:rPr>
          <m:t>,</m:t>
        </m:r>
        <m:r>
          <m:t>0.042</m:t>
        </m:r>
        <m:r>
          <m:rPr>
            <m:sty m:val="p"/>
          </m:rPr>
          <m:t>]</m:t>
        </m:r>
      </m:oMath>
      <w:r>
        <w:t xml:space="preserve">,</w:t>
      </w:r>
      <w:r>
        <w:t xml:space="preserve"> </w:t>
      </w:r>
      <m:oMath>
        <m:sSub>
          <m:e>
            <m:r>
              <m:t>p</m:t>
            </m:r>
          </m:e>
          <m:sub>
            <m:r>
              <m:t>d</m:t>
            </m:r>
          </m:sub>
        </m:sSub>
        <m:r>
          <m:rPr>
            <m:sty m:val="p"/>
          </m:rPr>
          <m:t>=</m:t>
        </m:r>
        <m:r>
          <m:t>.995</m:t>
        </m:r>
      </m:oMath>
      <w:r>
        <w:t xml:space="preserve">;</w:t>
      </w:r>
      <w:r>
        <w:t xml:space="preserve"> </w:t>
      </w:r>
      <w:r>
        <w:t xml:space="preserve">midline,</w:t>
      </w:r>
      <w:r>
        <w:t xml:space="preserve"> </w:t>
      </w:r>
      <m:oMath>
        <m:r>
          <m:t>b</m:t>
        </m:r>
        <m:r>
          <m:rPr>
            <m:sty m:val="p"/>
          </m:rPr>
          <m:t>=</m:t>
        </m:r>
        <m:r>
          <m:t>0.021</m:t>
        </m:r>
      </m:oMath>
      <w:r>
        <w:t xml:space="preserve">, 95% CrI</w:t>
      </w:r>
      <w:r>
        <w:t xml:space="preserve"> </w:t>
      </w:r>
      <m:oMath>
        <m:r>
          <m:rPr>
            <m:sty m:val="p"/>
          </m:rPr>
          <m:t>[</m:t>
        </m:r>
        <m:r>
          <m:t>0.002</m:t>
        </m:r>
        <m:r>
          <m:rPr>
            <m:sty m:val="p"/>
          </m:rPr>
          <m:t>,</m:t>
        </m:r>
        <m:r>
          <m:t>0.041</m:t>
        </m:r>
        <m:r>
          <m:rPr>
            <m:sty m:val="p"/>
          </m:rPr>
          <m:t>]</m:t>
        </m:r>
      </m:oMath>
      <w:r>
        <w:t xml:space="preserve">,</w:t>
      </w:r>
      <w:r>
        <w:t xml:space="preserve"> </w:t>
      </w:r>
      <m:oMath>
        <m:sSub>
          <m:e>
            <m:r>
              <m:t>p</m:t>
            </m:r>
          </m:e>
          <m:sub>
            <m:r>
              <m:t>d</m:t>
            </m:r>
          </m:sub>
        </m:sSub>
        <m:r>
          <m:rPr>
            <m:sty m:val="p"/>
          </m:rPr>
          <m:t>=</m:t>
        </m:r>
        <m:r>
          <m:t>.98</m:t>
        </m:r>
      </m:oMath>
      <w:r>
        <w:t xml:space="preserve">)</w:t>
      </w:r>
      <w:r>
        <w:t xml:space="preserve"> </w:t>
      </w:r>
      <w:r>
        <w:t xml:space="preserve">and in neither earlier window (lateral 300–600 ms,</w:t>
      </w:r>
      <w:r>
        <w:t xml:space="preserve"> </w:t>
      </w:r>
      <m:oMath>
        <m:r>
          <m:t>b</m:t>
        </m:r>
        <m:r>
          <m:rPr>
            <m:sty m:val="p"/>
          </m:rPr>
          <m:t>=</m:t>
        </m:r>
        <m:r>
          <m:t>0.011</m:t>
        </m:r>
      </m:oMath>
      <w:r>
        <w:t xml:space="preserve">, 95% CrI</w:t>
      </w:r>
      <w:r>
        <w:t xml:space="preserve"> </w:t>
      </w:r>
      <m:oMath>
        <m:r>
          <m:rPr>
            <m:sty m:val="p"/>
          </m:rPr>
          <m:t>[</m:t>
        </m:r>
        <m:r>
          <m:rPr>
            <m:sty m:val="p"/>
          </m:rPr>
          <m:t>−</m:t>
        </m:r>
        <m:r>
          <m:t>0.005</m:t>
        </m:r>
        <m:r>
          <m:rPr>
            <m:sty m:val="p"/>
          </m:rPr>
          <m:t>,</m:t>
        </m:r>
        <m:r>
          <m:t>0.028</m:t>
        </m:r>
        <m:r>
          <m:rPr>
            <m:sty m:val="p"/>
          </m:rPr>
          <m:t>]</m:t>
        </m:r>
      </m:oMath>
      <w:r>
        <w:t xml:space="preserve">,</w:t>
      </w:r>
      <w:r>
        <w:t xml:space="preserve"> </w:t>
      </w:r>
      <m:oMath>
        <m:sSub>
          <m:e>
            <m:r>
              <m:t>p</m:t>
            </m:r>
          </m:e>
          <m:sub>
            <m:r>
              <m:t>d</m:t>
            </m:r>
          </m:sub>
        </m:sSub>
        <m:r>
          <m:rPr>
            <m:sty m:val="p"/>
          </m:rPr>
          <m:t>=</m:t>
        </m:r>
        <m:r>
          <m:t>.91</m:t>
        </m:r>
      </m:oMath>
      <w:r>
        <w:t xml:space="preserve">).</w:t>
      </w:r>
      <w:r>
        <w:t xml:space="preserve"> </w:t>
      </w:r>
      <w:r>
        <w:t xml:space="preserve">Language modulated neither the effect nor its development. The grammaticality</w:t>
      </w:r>
      <w:r>
        <w:t xml:space="preserve"> </w:t>
      </w:r>
      <m:oMath>
        <m:r>
          <m:rPr>
            <m:sty m:val="p"/>
          </m:rPr>
          <m:t>×</m:t>
        </m:r>
      </m:oMath>
      <w:r>
        <w:t xml:space="preserve"> </w:t>
      </w:r>
      <w:r>
        <w:t xml:space="preserve">language interaction was credible in</w:t>
      </w:r>
      <w:r>
        <w:t xml:space="preserve"> </w:t>
      </w:r>
      <w:r>
        <w:t xml:space="preserve">0 of 6</w:t>
      </w:r>
      <w:r>
        <w:t xml:space="preserve"> </w:t>
      </w:r>
      <w:r>
        <w:t xml:space="preserve">gender-agreement cells and the 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w:t>
      </w:r>
      <w:r>
        <w:t xml:space="preserve"> </w:t>
      </w:r>
      <w:r>
        <w:t xml:space="preserve">interaction in</w:t>
      </w:r>
      <w:r>
        <w:t xml:space="preserve"> </w:t>
      </w:r>
      <w:r>
        <w:t xml:space="preserve">0 of 6,</w:t>
      </w:r>
      <w:r>
        <w:t xml:space="preserve"> </w:t>
      </w:r>
      <w:r>
        <w:t xml:space="preserve">and in the late window, where the effect developed, the latter sat near zero (midline,</w:t>
      </w:r>
      <w:r>
        <w:t xml:space="preserve"> </w:t>
      </w:r>
      <m:oMath>
        <m:r>
          <m:t>b</m:t>
        </m:r>
        <m:r>
          <m:rPr>
            <m:sty m:val="p"/>
          </m:rPr>
          <m:t>=</m:t>
        </m:r>
        <m:r>
          <m:rPr>
            <m:sty m:val="p"/>
          </m:rPr>
          <m:t>−</m:t>
        </m:r>
        <m:r>
          <m:t>0.005</m:t>
        </m:r>
      </m:oMath>
      <w:r>
        <w:t xml:space="preserve">, 95% CrI</w:t>
      </w:r>
      <w:r>
        <w:t xml:space="preserve"> </w:t>
      </w:r>
      <m:oMath>
        <m:r>
          <m:rPr>
            <m:sty m:val="p"/>
          </m:rPr>
          <m:t>[</m:t>
        </m:r>
        <m:r>
          <m:rPr>
            <m:sty m:val="p"/>
          </m:rPr>
          <m:t>−</m:t>
        </m:r>
        <m:r>
          <m:t>0.025</m:t>
        </m:r>
        <m:r>
          <m:rPr>
            <m:sty m:val="p"/>
          </m:rPr>
          <m:t>,</m:t>
        </m:r>
        <m:r>
          <m:t>0.014</m:t>
        </m:r>
        <m:r>
          <m:rPr>
            <m:sty m:val="p"/>
          </m:rPr>
          <m:t>]</m:t>
        </m:r>
      </m:oMath>
      <w:r>
        <w:t xml:space="preserve">,</w:t>
      </w:r>
      <w:r>
        <w:t xml:space="preserve"> </w:t>
      </w:r>
      <m:oMath>
        <m:sSub>
          <m:e>
            <m:r>
              <m:t>p</m:t>
            </m:r>
          </m:e>
          <m:sub>
            <m:r>
              <m:t>d</m:t>
            </m:r>
          </m:sub>
        </m:sSub>
        <m:r>
          <m:rPr>
            <m:sty m:val="p"/>
          </m:rPr>
          <m:t>=</m:t>
        </m:r>
        <m:r>
          <m:t>.70</m:t>
        </m:r>
      </m:oMath>
      <w:r>
        <w:t xml:space="preserve">).</w:t>
      </w:r>
    </w:p>
    <w:bookmarkEnd w:id="106"/>
    <w:bookmarkStart w:id="107" w:name="differential-object-marking"/>
    <w:p>
      <w:pPr>
        <w:pStyle w:val="Heading3"/>
      </w:pPr>
      <w:r>
        <w:t xml:space="preserve">Differential object marking</w:t>
      </w:r>
    </w:p>
    <w:p>
      <w:pPr>
        <w:pStyle w:val="FirstParagraph"/>
      </w:pPr>
      <w:r>
        <w:t xml:space="preserve">Differential object marking showed an early, transient grammaticality effect (grammatical</w:t>
      </w:r>
      <w:r>
        <w:t xml:space="preserve"> </w:t>
      </w:r>
      <w:r>
        <w:t xml:space="preserve">trials more positive, a relative violation negativity), and no developing late</w:t>
      </w:r>
      <w:r>
        <w:t xml:space="preserve"> </w:t>
      </w:r>
      <w:r>
        <w:t xml:space="preserve">effect. The effect was credible in the early window in both macroregions</w:t>
      </w:r>
      <w:r>
        <w:t xml:space="preserve"> </w:t>
      </w:r>
      <w:r>
        <w:t xml:space="preserve">(</w:t>
      </w:r>
      <w:hyperlink w:anchor="fig-erp-forest">
        <w:r>
          <w:rPr>
            <w:rStyle w:val="Hyperlink"/>
          </w:rPr>
          <w:t xml:space="preserve">Figure 7</w:t>
        </w:r>
      </w:hyperlink>
      <w:r>
        <w:t xml:space="preserve">; lateral 200–500 ms,</w:t>
      </w:r>
      <w:r>
        <w:t xml:space="preserve"> </w:t>
      </w:r>
      <m:oMath>
        <m:r>
          <m:t>b</m:t>
        </m:r>
        <m:r>
          <m:rPr>
            <m:sty m:val="p"/>
          </m:rPr>
          <m:t>=</m:t>
        </m:r>
        <m:r>
          <m:t>0.042</m:t>
        </m:r>
      </m:oMath>
      <w:r>
        <w:t xml:space="preserve">, 95% CrI</w:t>
      </w:r>
      <w:r>
        <w:t xml:space="preserve"> </w:t>
      </w:r>
      <m:oMath>
        <m:r>
          <m:rPr>
            <m:sty m:val="p"/>
          </m:rPr>
          <m:t>[</m:t>
        </m:r>
        <m:r>
          <m:t>0.015</m:t>
        </m:r>
        <m:r>
          <m:rPr>
            <m:sty m:val="p"/>
          </m:rPr>
          <m:t>,</m:t>
        </m:r>
        <m:r>
          <m:t>0.070</m:t>
        </m:r>
        <m:r>
          <m:rPr>
            <m:sty m:val="p"/>
          </m:rPr>
          <m:t>]</m:t>
        </m:r>
      </m:oMath>
      <w:r>
        <w:t xml:space="preserve">,</w:t>
      </w:r>
      <w:r>
        <w:t xml:space="preserve"> </w:t>
      </w:r>
      <m:oMath>
        <m:sSub>
          <m:e>
            <m:r>
              <m:t>p</m:t>
            </m:r>
          </m:e>
          <m:sub>
            <m:r>
              <m:t>d</m:t>
            </m:r>
          </m:sub>
        </m:sSub>
        <m:r>
          <m:rPr>
            <m:sty m:val="p"/>
          </m:rPr>
          <m:t>=</m:t>
        </m:r>
        <m:r>
          <m:t>.998</m:t>
        </m:r>
      </m:oMath>
      <w:r>
        <w:t xml:space="preserve">;</w:t>
      </w:r>
      <w:r>
        <w:t xml:space="preserve"> </w:t>
      </w:r>
      <w:r>
        <w:t xml:space="preserve">midline,</w:t>
      </w:r>
      <w:r>
        <w:t xml:space="preserve"> </w:t>
      </w:r>
      <m:oMath>
        <m:r>
          <m:t>b</m:t>
        </m:r>
        <m:r>
          <m:rPr>
            <m:sty m:val="p"/>
          </m:rPr>
          <m:t>=</m:t>
        </m:r>
        <m:r>
          <m:t>0.043</m:t>
        </m:r>
      </m:oMath>
      <w:r>
        <w:t xml:space="preserve">, 95% CrI</w:t>
      </w:r>
      <w:r>
        <w:t xml:space="preserve"> </w:t>
      </w:r>
      <m:oMath>
        <m:r>
          <m:rPr>
            <m:sty m:val="p"/>
          </m:rPr>
          <m:t>[</m:t>
        </m:r>
        <m:r>
          <m:t>0.016</m:t>
        </m:r>
        <m:r>
          <m:rPr>
            <m:sty m:val="p"/>
          </m:rPr>
          <m:t>,</m:t>
        </m:r>
        <m:r>
          <m:t>0.071</m:t>
        </m:r>
        <m:r>
          <m:rPr>
            <m:sty m:val="p"/>
          </m:rPr>
          <m:t>]</m:t>
        </m:r>
      </m:oMath>
      <w:r>
        <w:t xml:space="preserve">,</w:t>
      </w:r>
      <w:r>
        <w:t xml:space="preserve"> </w:t>
      </w:r>
      <m:oMath>
        <m:sSub>
          <m:e>
            <m:r>
              <m:t>p</m:t>
            </m:r>
          </m:e>
          <m:sub>
            <m:r>
              <m:t>d</m:t>
            </m:r>
          </m:sub>
        </m:sSub>
        <m:r>
          <m:rPr>
            <m:sty m:val="p"/>
          </m:rPr>
          <m:t>=</m:t>
        </m:r>
        <m:r>
          <m:t>.999</m:t>
        </m:r>
      </m:oMath>
      <w:r>
        <w:t xml:space="preserve">),</w:t>
      </w:r>
      <w:r>
        <w:t xml:space="preserve"> </w:t>
      </w:r>
      <w:r>
        <w:t xml:space="preserve">positive but not credible in the middle window (midline 300–600 ms,</w:t>
      </w:r>
      <w:r>
        <w:t xml:space="preserve"> </w:t>
      </w:r>
      <m:oMath>
        <m:r>
          <m:t>b</m:t>
        </m:r>
        <m:r>
          <m:rPr>
            <m:sty m:val="p"/>
          </m:rPr>
          <m:t>=</m:t>
        </m:r>
        <m:r>
          <m:t>0.022</m:t>
        </m:r>
      </m:oMath>
      <w:r>
        <w:t xml:space="preserve">, 95% CrI</w:t>
      </w:r>
      <w:r>
        <w:t xml:space="preserve"> </w:t>
      </w:r>
      <m:oMath>
        <m:r>
          <m:rPr>
            <m:sty m:val="p"/>
          </m:rPr>
          <m:t>[</m:t>
        </m:r>
        <m:r>
          <m:rPr>
            <m:sty m:val="p"/>
          </m:rPr>
          <m:t>−</m:t>
        </m:r>
        <m:r>
          <m:t>0.005</m:t>
        </m:r>
        <m:r>
          <m:rPr>
            <m:sty m:val="p"/>
          </m:rPr>
          <m:t>,</m:t>
        </m:r>
        <m:r>
          <m:t>0.050</m:t>
        </m:r>
        <m:r>
          <m:rPr>
            <m:sty m:val="p"/>
          </m:rPr>
          <m:t>]</m:t>
        </m:r>
      </m:oMath>
      <w:r>
        <w:t xml:space="preserve">,</w:t>
      </w:r>
      <w:r>
        <w:t xml:space="preserve"> </w:t>
      </w:r>
      <m:oMath>
        <m:sSub>
          <m:e>
            <m:r>
              <m:t>p</m:t>
            </m:r>
          </m:e>
          <m:sub>
            <m:r>
              <m:t>d</m:t>
            </m:r>
          </m:sub>
        </m:sSub>
        <m:r>
          <m:rPr>
            <m:sty m:val="p"/>
          </m:rPr>
          <m:t>=</m:t>
        </m:r>
        <m:r>
          <m:t>.95</m:t>
        </m:r>
      </m:oMath>
      <w:r>
        <w:t xml:space="preserve">),</w:t>
      </w:r>
      <w:r>
        <w:t xml:space="preserve"> </w:t>
      </w:r>
      <w:r>
        <w:t xml:space="preserve">and, if anything, slightly negative by the late window</w:t>
      </w:r>
      <w:r>
        <w:t xml:space="preserve"> </w:t>
      </w:r>
      <w:r>
        <w:t xml:space="preserve">(midline 400–900 ms,</w:t>
      </w:r>
      <w:r>
        <w:t xml:space="preserve"> </w:t>
      </w:r>
      <m:oMath>
        <m:r>
          <m:t>b</m:t>
        </m:r>
        <m:r>
          <m:rPr>
            <m:sty m:val="p"/>
          </m:rPr>
          <m:t>=</m:t>
        </m:r>
        <m:r>
          <m:rPr>
            <m:sty m:val="p"/>
          </m:rPr>
          <m:t>−</m:t>
        </m:r>
        <m:r>
          <m:t>0.022</m:t>
        </m:r>
      </m:oMath>
      <w:r>
        <w:t xml:space="preserve">, 95% CrI</w:t>
      </w:r>
      <w:r>
        <w:t xml:space="preserve"> </w:t>
      </w:r>
      <m:oMath>
        <m:r>
          <m:rPr>
            <m:sty m:val="p"/>
          </m:rPr>
          <m:t>[</m:t>
        </m:r>
        <m:r>
          <m:rPr>
            <m:sty m:val="p"/>
          </m:rPr>
          <m:t>−</m:t>
        </m:r>
        <m:r>
          <m:t>0.050</m:t>
        </m:r>
        <m:r>
          <m:rPr>
            <m:sty m:val="p"/>
          </m:rPr>
          <m:t>,</m:t>
        </m:r>
        <m:r>
          <m:t>0.007</m:t>
        </m:r>
        <m:r>
          <m:rPr>
            <m:sty m:val="p"/>
          </m:rPr>
          <m:t>]</m:t>
        </m:r>
      </m:oMath>
      <w:r>
        <w:t xml:space="preserve">,</w:t>
      </w:r>
      <w:r>
        <w:t xml:space="preserve"> </w:t>
      </w:r>
      <m:oMath>
        <m:sSub>
          <m:e>
            <m:r>
              <m:t>p</m:t>
            </m:r>
          </m:e>
          <m:sub>
            <m:r>
              <m:t>d</m:t>
            </m:r>
          </m:sub>
        </m:sSub>
        <m:r>
          <m:rPr>
            <m:sty m:val="p"/>
          </m:rPr>
          <m:t>=</m:t>
        </m:r>
        <m:r>
          <m:t>.93</m:t>
        </m:r>
      </m:oMath>
      <w:r>
        <w:t xml:space="preserve">). One caveat</w:t>
      </w:r>
      <w:r>
        <w:t xml:space="preserve"> </w:t>
      </w:r>
      <w:r>
        <w:t xml:space="preserve">attaches to this early effect specifically. Because the violation omits the particle</w:t>
      </w:r>
      <w:r>
        <w:t xml:space="preserve"> </w:t>
      </w:r>
      <w:r>
        <w:rPr>
          <w:i/>
          <w:iCs/>
        </w:rPr>
        <w:t xml:space="preserve">fi</w:t>
      </w:r>
      <w:r>
        <w:t xml:space="preserve">, the two conditions differ physically in the region preceding the critical word. At</w:t>
      </w:r>
      <w:r>
        <w:t xml:space="preserve"> </w:t>
      </w:r>
      <w:r>
        <w:t xml:space="preserve">the roughly 505 ms word-onset asynchrony, the response to that region overlaps the</w:t>
      </w:r>
      <w:r>
        <w:t xml:space="preserve"> </w:t>
      </w:r>
      <w:r>
        <w:t xml:space="preserve">200–500 ms window of the critical epoch. The same low-level difference that renders the</w:t>
      </w:r>
      <w:r>
        <w:t xml:space="preserve"> </w:t>
      </w:r>
      <w:r>
        <w:t xml:space="preserve">pre-stimulus decoding baseline non-chance (see below) could therefore contribute here, so</w:t>
      </w:r>
      <w:r>
        <w:t xml:space="preserve"> </w:t>
      </w:r>
      <w:r>
        <w:t xml:space="preserve">we read the early effect as a violation-related response with a possible stimulus-driven</w:t>
      </w:r>
      <w:r>
        <w:t xml:space="preserve"> </w:t>
      </w:r>
      <w:r>
        <w:t xml:space="preserve">component. The effect did not change credibly across sessions (the grammaticality</w:t>
      </w:r>
      <w:r>
        <w:t xml:space="preserve"> </w:t>
      </w:r>
      <m:oMath>
        <m:r>
          <m:rPr>
            <m:sty m:val="p"/>
          </m:rPr>
          <m:t>×</m:t>
        </m:r>
      </m:oMath>
      <w:r>
        <w:t xml:space="preserve"> </w:t>
      </w:r>
      <w:r>
        <w:t xml:space="preserve">session interaction was credible in</w:t>
      </w:r>
      <w:r>
        <w:t xml:space="preserve"> </w:t>
      </w:r>
      <w:r>
        <w:t xml:space="preserve">0 of 6</w:t>
      </w:r>
      <w:r>
        <w:t xml:space="preserve"> </w:t>
      </w:r>
      <w:r>
        <w:t xml:space="preserve">cells), and no term involving language was credible (grammaticality</w:t>
      </w:r>
      <w:r>
        <w:t xml:space="preserve"> </w:t>
      </w:r>
      <m:oMath>
        <m:r>
          <m:rPr>
            <m:sty m:val="p"/>
          </m:rPr>
          <m:t>×</m:t>
        </m:r>
      </m:oMath>
      <w:r>
        <w:t xml:space="preserve"> </w:t>
      </w:r>
      <w:r>
        <w:t xml:space="preserve">language,</w:t>
      </w:r>
      <w:r>
        <w:t xml:space="preserve"> </w:t>
      </w:r>
      <w:r>
        <w:t xml:space="preserve">0 of 6;</w:t>
      </w:r>
      <w:r>
        <w:t xml:space="preserve"> </w:t>
      </w:r>
      <w:r>
        <w:t xml:space="preserve">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w:t>
      </w:r>
      <w:r>
        <w:t xml:space="preserve"> </w:t>
      </w:r>
      <w:r>
        <w:t xml:space="preserve">0 of 6).</w:t>
      </w:r>
      <w:r>
        <w:t xml:space="preserve"> </w:t>
      </w:r>
      <w:r>
        <w:t xml:space="preserve">The grammaticality</w:t>
      </w:r>
      <w:r>
        <w:t xml:space="preserve"> </w:t>
      </w:r>
      <m:oMath>
        <m:r>
          <m:rPr>
            <m:sty m:val="p"/>
          </m:rPr>
          <m:t>×</m:t>
        </m:r>
      </m:oMath>
      <w:r>
        <w:t xml:space="preserve"> </w:t>
      </w:r>
      <w:r>
        <w:t xml:space="preserve">language interaction came closest in the early lateral window</w:t>
      </w:r>
      <w:r>
        <w:t xml:space="preserve"> </w:t>
      </w:r>
      <w:r>
        <w:t xml:space="preserve">(</w:t>
      </w:r>
      <m:oMath>
        <m:r>
          <m:t>b</m:t>
        </m:r>
        <m:r>
          <m:rPr>
            <m:sty m:val="p"/>
          </m:rPr>
          <m:t>=</m:t>
        </m:r>
        <m:r>
          <m:t>0.0269</m:t>
        </m:r>
      </m:oMath>
      <w:r>
        <w:t xml:space="preserve">, 95% CrI</w:t>
      </w:r>
      <w:r>
        <w:t xml:space="preserve"> </w:t>
      </w:r>
      <m:oMath>
        <m:r>
          <m:rPr>
            <m:sty m:val="p"/>
          </m:rPr>
          <m:t>[</m:t>
        </m:r>
        <m:r>
          <m:rPr>
            <m:sty m:val="p"/>
          </m:rPr>
          <m:t>−</m:t>
        </m:r>
        <m:r>
          <m:t>0.0002</m:t>
        </m:r>
        <m:r>
          <m:rPr>
            <m:sty m:val="p"/>
          </m:rPr>
          <m:t>,</m:t>
        </m:r>
        <m:r>
          <m:t>0.0543</m:t>
        </m:r>
        <m:r>
          <m:rPr>
            <m:sty m:val="p"/>
          </m:rPr>
          <m:t>]</m:t>
        </m:r>
      </m:oMath>
      <w:r>
        <w:t xml:space="preserve">,</w:t>
      </w:r>
      <w:r>
        <w:t xml:space="preserve"> </w:t>
      </w:r>
      <m:oMath>
        <m:sSub>
          <m:e>
            <m:r>
              <m:t>p</m:t>
            </m:r>
          </m:e>
          <m:sub>
            <m:r>
              <m:t>d</m:t>
            </m:r>
          </m:sub>
        </m:sSub>
        <m:r>
          <m:rPr>
            <m:sty m:val="p"/>
          </m:rPr>
          <m:t>=</m:t>
        </m:r>
        <m:r>
          <m:t>.97</m:t>
        </m:r>
      </m:oMath>
      <w:r>
        <w:t xml:space="preserve">),</w:t>
      </w:r>
      <w:r>
        <w:t xml:space="preserve"> </w:t>
      </w:r>
      <w:r>
        <w:t xml:space="preserve">where it is credible under the simpler random-effect structure (see</w:t>
      </w:r>
      <w:r>
        <w:t xml:space="preserve"> </w:t>
      </w:r>
      <w:r>
        <w:rPr>
          <w:i/>
          <w:iCs/>
        </w:rPr>
        <w:t xml:space="preserve">Dependence on the</w:t>
      </w:r>
      <w:r>
        <w:rPr>
          <w:i/>
          <w:iCs/>
        </w:rPr>
        <w:t xml:space="preserve"> </w:t>
      </w:r>
      <w:r>
        <w:rPr>
          <w:i/>
          <w:iCs/>
        </w:rPr>
        <w:t xml:space="preserve">by-item random-effect structure</w:t>
      </w:r>
      <w:r>
        <w:t xml:space="preserve">).</w:t>
      </w:r>
    </w:p>
    <w:bookmarkEnd w:id="107"/>
    <w:bookmarkStart w:id="108" w:name="verbobject-number-agreement"/>
    <w:p>
      <w:pPr>
        <w:pStyle w:val="Heading3"/>
      </w:pPr>
      <w:r>
        <w:t xml:space="preserve">Verb–object number agreement</w:t>
      </w:r>
    </w:p>
    <w:p>
      <w:pPr>
        <w:pStyle w:val="FirstParagraph"/>
      </w:pPr>
      <w:r>
        <w:t xml:space="preserve">Verb–object number agreement, the latest-introduced property, showed no credible term in</w:t>
      </w:r>
      <w:r>
        <w:t xml:space="preserve"> </w:t>
      </w:r>
      <w:r>
        <w:t xml:space="preserve">any cell (</w:t>
      </w:r>
      <w:hyperlink w:anchor="fig-erp-forest">
        <w:r>
          <w:rPr>
            <w:rStyle w:val="Hyperlink"/>
          </w:rPr>
          <w:t xml:space="preserve">Figure 7</w:t>
        </w:r>
      </w:hyperlink>
      <w:r>
        <w:t xml:space="preserve">). Its grammaticality effect was small and positive in the early</w:t>
      </w:r>
      <w:r>
        <w:t xml:space="preserve"> </w:t>
      </w:r>
      <w:r>
        <w:t xml:space="preserve">window and negative in the late one (midline 400–900 ms,</w:t>
      </w:r>
      <w:r>
        <w:t xml:space="preserve"> </w:t>
      </w:r>
      <m:oMath>
        <m:r>
          <m:t>b</m:t>
        </m:r>
        <m:r>
          <m:rPr>
            <m:sty m:val="p"/>
          </m:rPr>
          <m:t>=</m:t>
        </m:r>
        <m:r>
          <m:rPr>
            <m:sty m:val="p"/>
          </m:rPr>
          <m:t>−</m:t>
        </m:r>
        <m:r>
          <m:t>0.026</m:t>
        </m:r>
      </m:oMath>
      <w:r>
        <w:t xml:space="preserve">, 95% CrI</w:t>
      </w:r>
      <w:r>
        <w:t xml:space="preserve"> </w:t>
      </w:r>
      <m:oMath>
        <m:r>
          <m:rPr>
            <m:sty m:val="p"/>
          </m:rPr>
          <m:t>[</m:t>
        </m:r>
        <m:r>
          <m:rPr>
            <m:sty m:val="p"/>
          </m:rPr>
          <m:t>−</m:t>
        </m:r>
        <m:r>
          <m:t>0.059</m:t>
        </m:r>
        <m:r>
          <m:rPr>
            <m:sty m:val="p"/>
          </m:rPr>
          <m:t>,</m:t>
        </m:r>
        <m:r>
          <m:t>0.008</m:t>
        </m:r>
        <m:r>
          <m:rPr>
            <m:sty m:val="p"/>
          </m:rPr>
          <m:t>]</m:t>
        </m:r>
      </m:oMath>
      <w:r>
        <w:t xml:space="preserve">,</w:t>
      </w:r>
      <w:r>
        <w:t xml:space="preserve"> </w:t>
      </w:r>
      <m:oMath>
        <m:sSub>
          <m:e>
            <m:r>
              <m:t>p</m:t>
            </m:r>
          </m:e>
          <m:sub>
            <m:r>
              <m:t>d</m:t>
            </m:r>
          </m:sub>
        </m:sSub>
        <m:r>
          <m:rPr>
            <m:sty m:val="p"/>
          </m:rPr>
          <m:t>=</m:t>
        </m:r>
        <m:r>
          <m:t>.93</m:t>
        </m:r>
      </m:oMath>
      <w:r>
        <w:t xml:space="preserve">).</w:t>
      </w:r>
      <w:r>
        <w:t xml:space="preserve"> </w:t>
      </w:r>
      <w:r>
        <w:t xml:space="preserve">The terms involving session leaned positive in the late window without reaching</w:t>
      </w:r>
      <w:r>
        <w:t xml:space="preserve"> </w:t>
      </w:r>
      <w:r>
        <w:t xml:space="preserve">credibility, both the grammaticality</w:t>
      </w:r>
      <w:r>
        <w:t xml:space="preserve"> </w:t>
      </w:r>
      <m:oMath>
        <m:r>
          <m:rPr>
            <m:sty m:val="p"/>
          </m:rPr>
          <m:t>×</m:t>
        </m:r>
      </m:oMath>
      <w:r>
        <w:t xml:space="preserve"> </w:t>
      </w:r>
      <w:r>
        <w:t xml:space="preserve">session interaction (midline,</w:t>
      </w:r>
      <w:r>
        <w:t xml:space="preserve"> </w:t>
      </w:r>
      <m:oMath>
        <m:r>
          <m:t>b</m:t>
        </m:r>
        <m:r>
          <m:rPr>
            <m:sty m:val="p"/>
          </m:rPr>
          <m:t>=</m:t>
        </m:r>
        <m:r>
          <m:t>0.019</m:t>
        </m:r>
      </m:oMath>
      <w:r>
        <w:t xml:space="preserve">, 95% CrI</w:t>
      </w:r>
      <w:r>
        <w:t xml:space="preserve"> </w:t>
      </w:r>
      <m:oMath>
        <m:r>
          <m:rPr>
            <m:sty m:val="p"/>
          </m:rPr>
          <m:t>[</m:t>
        </m:r>
        <m:r>
          <m:rPr>
            <m:sty m:val="p"/>
          </m:rPr>
          <m:t>−</m:t>
        </m:r>
        <m:r>
          <m:t>0.008</m:t>
        </m:r>
        <m:r>
          <m:rPr>
            <m:sty m:val="p"/>
          </m:rPr>
          <m:t>,</m:t>
        </m:r>
        <m:r>
          <m:t>0.047</m:t>
        </m:r>
        <m:r>
          <m:rPr>
            <m:sty m:val="p"/>
          </m:rPr>
          <m:t>]</m:t>
        </m:r>
      </m:oMath>
      <w:r>
        <w:t xml:space="preserve">,</w:t>
      </w:r>
      <w:r>
        <w:t xml:space="preserve"> </w:t>
      </w:r>
      <m:oMath>
        <m:sSub>
          <m:e>
            <m:r>
              <m:t>p</m:t>
            </m:r>
          </m:e>
          <m:sub>
            <m:r>
              <m:t>d</m:t>
            </m:r>
          </m:sub>
        </m:sSub>
        <m:r>
          <m:rPr>
            <m:sty m:val="p"/>
          </m:rPr>
          <m:t>=</m:t>
        </m:r>
        <m:r>
          <m:t>.91</m:t>
        </m:r>
      </m:oMath>
      <w:r>
        <w:t xml:space="preserve">)</w:t>
      </w:r>
      <w:r>
        <w:t xml:space="preserve"> </w:t>
      </w:r>
      <w:r>
        <w:t xml:space="preserve">and the 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interaction</w:t>
      </w:r>
      <w:r>
        <w:t xml:space="preserve"> </w:t>
      </w:r>
      <w:r>
        <w:t xml:space="preserve">(</w:t>
      </w:r>
      <m:oMath>
        <m:r>
          <m:t>b</m:t>
        </m:r>
        <m:r>
          <m:rPr>
            <m:sty m:val="p"/>
          </m:rPr>
          <m:t>=</m:t>
        </m:r>
        <m:r>
          <m:t>0.016</m:t>
        </m:r>
      </m:oMath>
      <w:r>
        <w:t xml:space="preserve">, 95% CrI</w:t>
      </w:r>
      <w:r>
        <w:t xml:space="preserve"> </w:t>
      </w:r>
      <m:oMath>
        <m:r>
          <m:rPr>
            <m:sty m:val="p"/>
          </m:rPr>
          <m:t>[</m:t>
        </m:r>
        <m:r>
          <m:rPr>
            <m:sty m:val="p"/>
          </m:rPr>
          <m:t>−</m:t>
        </m:r>
        <m:r>
          <m:t>0.012</m:t>
        </m:r>
        <m:r>
          <m:rPr>
            <m:sty m:val="p"/>
          </m:rPr>
          <m:t>,</m:t>
        </m:r>
        <m:r>
          <m:t>0.044</m:t>
        </m:r>
        <m:r>
          <m:rPr>
            <m:sty m:val="p"/>
          </m:rPr>
          <m:t>]</m:t>
        </m:r>
      </m:oMath>
      <w:r>
        <w:t xml:space="preserve">,</w:t>
      </w:r>
      <w:r>
        <w:t xml:space="preserve"> </w:t>
      </w:r>
      <m:oMath>
        <m:sSub>
          <m:e>
            <m:r>
              <m:t>p</m:t>
            </m:r>
          </m:e>
          <m:sub>
            <m:r>
              <m:t>d</m:t>
            </m:r>
          </m:sub>
        </m:sSub>
        <m:r>
          <m:rPr>
            <m:sty m:val="p"/>
          </m:rPr>
          <m:t>=</m:t>
        </m:r>
        <m:r>
          <m:t>.87</m:t>
        </m:r>
      </m:oMath>
      <w:r>
        <w:t xml:space="preserve">).</w:t>
      </w:r>
    </w:p>
    <w:p>
      <w:pPr>
        <w:pStyle w:val="BodyText"/>
      </w:pPr>
      <w:r>
        <w:t xml:space="preserve">One reading caveat applies to this property alone. Verb–object number agreement is</w:t>
      </w:r>
      <w:r>
        <w:t xml:space="preserve"> </w:t>
      </w:r>
      <w:r>
        <w:t xml:space="preserve">measured at Sessions 4 and 6 only, and the interval between them is the unrehearsed</w:t>
      </w:r>
      <w:r>
        <w:t xml:space="preserve"> </w:t>
      </w:r>
      <w:r>
        <w:t xml:space="preserve">retention gap, so for this property the session term is the change across that gap and</w:t>
      </w:r>
      <w:r>
        <w:t xml:space="preserve"> </w:t>
      </w:r>
      <w:r>
        <w:t xml:space="preserve">contains no further exposure. Its grammaticality</w:t>
      </w:r>
      <w:r>
        <w:t xml:space="preserve"> </w:t>
      </w:r>
      <m:oMath>
        <m:r>
          <m:rPr>
            <m:sty m:val="p"/>
          </m:rPr>
          <m:t>×</m:t>
        </m:r>
      </m:oMath>
      <w:r>
        <w:t xml:space="preserve"> </w:t>
      </w:r>
      <w:r>
        <w:t xml:space="preserve">session and three-way terms are</w:t>
      </w:r>
      <w:r>
        <w:t xml:space="preserve"> </w:t>
      </w:r>
      <w:r>
        <w:t xml:space="preserve">therefore offline-interval changes, and the</w:t>
      </w:r>
      <w:r>
        <w:t xml:space="preserve"> </w:t>
      </w:r>
      <w:r>
        <w:rPr>
          <w:i/>
          <w:iCs/>
        </w:rPr>
        <w:t xml:space="preserve">learning</w:t>
      </w:r>
      <w:r>
        <w:t xml:space="preserve"> </w:t>
      </w:r>
      <w:r>
        <w:t xml:space="preserve">and</w:t>
      </w:r>
      <w:r>
        <w:t xml:space="preserve"> </w:t>
      </w:r>
      <w:r>
        <w:rPr>
          <w:i/>
          <w:iCs/>
        </w:rPr>
        <w:t xml:space="preserve">language-conditioned development</w:t>
      </w:r>
      <w:r>
        <w:t xml:space="preserve"> </w:t>
      </w:r>
      <w:r>
        <w:t xml:space="preserve">glosses that the</w:t>
      </w:r>
      <w:r>
        <w:t xml:space="preserve"> </w:t>
      </w:r>
      <w:r>
        <w:t xml:space="preserve">operationalisation gives those terms for the other two properties do not carry over</w:t>
      </w:r>
      <w:r>
        <w:t xml:space="preserve"> </w:t>
      </w:r>
      <w:r>
        <w:t xml:space="preserve">unaltered here. We read them accordingly throughout.</w:t>
      </w:r>
    </w:p>
    <w:bookmarkEnd w:id="108"/>
    <w:bookmarkStart w:id="113" w:name="topography"/>
    <w:p>
      <w:pPr>
        <w:pStyle w:val="Heading3"/>
      </w:pPr>
      <w:r>
        <w:t xml:space="preserve">Topography</w:t>
      </w:r>
    </w:p>
    <w:p>
      <w:pPr>
        <w:pStyle w:val="FirstParagraph"/>
      </w:pPr>
      <w:r>
        <w:t xml:space="preserve">The models average over the clusters of each macroregion and carry no topographic terms,</w:t>
      </w:r>
      <w:r>
        <w:t xml:space="preserve"> </w:t>
      </w:r>
      <w:r>
        <w:t xml:space="preserve">so the scalp distribution of the grammaticality effect is described rather than tested.</w:t>
      </w:r>
      <w:r>
        <w:t xml:space="preserve"> </w:t>
      </w:r>
      <w:hyperlink w:anchor="fig-erp-topography">
        <w:r>
          <w:rPr>
            <w:rStyle w:val="Hyperlink"/>
          </w:rPr>
          <w:t xml:space="preserve">Figure 10</w:t>
        </w:r>
      </w:hyperlink>
      <w:r>
        <w:t xml:space="preserve"> </w:t>
      </w:r>
      <w:r>
        <w:t xml:space="preserve">shows it for each language, property and window.</w:t>
      </w:r>
    </w:p>
    <w:bookmarkStart w:id="112" w:name="fig-erp-topography"/>
    <w:p>
      <w:pPr>
        <w:pStyle w:val="FigureTitle"/>
      </w:pPr>
      <w:r>
        <w:t xml:space="preserve">Figure 10</w:t>
      </w:r>
    </w:p>
    <w:p>
      <w:pPr>
        <w:pStyle w:val="Caption"/>
      </w:pPr>
      <w:r>
        <w:t xml:space="preserve">Scalp Topography of the Grammaticality Effect by Property, Analysis Window and Miniature Language</w:t>
      </w:r>
    </w:p>
    <w:p>
      <w:pPr>
        <w:pStyle w:val="FigureWithNote"/>
      </w:pPr>
      <w:r>
        <w:drawing>
          <wp:inline>
            <wp:extent cx="5943600" cy="2286000"/>
            <wp:effectExtent b="0" l="0" r="0" t="0"/>
            <wp:docPr descr="" title="" id="110" name="Picture"/>
            <a:graphic>
              <a:graphicData uri="http://schemas.openxmlformats.org/drawingml/2006/picture">
                <pic:pic>
                  <pic:nvPicPr>
                    <pic:cNvPr descr="paper_1_morphosyntax_files/figure-docx/fig-erp-topography-1.png" id="111" name="Picture"/>
                    <pic:cNvPicPr>
                      <a:picLocks noChangeArrowheads="1" noChangeAspect="1"/>
                    </pic:cNvPicPr>
                  </pic:nvPicPr>
                  <pic:blipFill>
                    <a:blip r:embed="rId109"/>
                    <a:stretch>
                      <a:fillRect/>
                    </a:stretch>
                  </pic:blipFill>
                  <pic:spPr bwMode="auto">
                    <a:xfrm>
                      <a:off x="0" y="0"/>
                      <a:ext cx="5943600" cy="2286000"/>
                    </a:xfrm>
                    <a:prstGeom prst="rect">
                      <a:avLst/>
                    </a:prstGeom>
                    <a:noFill/>
                    <a:ln w="9525">
                      <a:noFill/>
                      <a:headEnd/>
                      <a:tailEnd/>
                    </a:ln>
                  </pic:spPr>
                </pic:pic>
              </a:graphicData>
            </a:graphic>
          </wp:inline>
        </w:drawing>
      </w:r>
    </w:p>
    <w:bookmarkEnd w:id="112"/>
    <w:p>
      <w:pPr>
        <w:pStyle w:val="FigureNote"/>
      </w:pPr>
      <w:r>
        <w:rPr>
          <w:i/>
          <w:iCs/>
        </w:rPr>
        <w:t xml:space="preserve">Note</w:t>
      </w:r>
      <w:r>
        <w:t xml:space="preserve">. Maps show the participant-paired ungrammatical-minus-grammatical mean amplitude in each a priori analysis window (column headers, in ms from critical-word onset), baseline-corrected within participant and averaged over each participant’s sessions before the group mean. Within each property, the top two rows are the Mini-Norwegian and Mini-English groups and the bottom row, set apart, is their difference (Mini-Norwegian minus Mini-English). Negative values (blue) mark a relative negativity for violations. Each map is a penalised thin-plate spline surface fitted to the 30 electrodes assigned to the analysis regions, at the recorded montage positions (dots; nose at the top), and masked to the head, so no value is shown for scalp the montage did not sample. The two low-temporal sites below the equator, FT9 and FT10 (open circles beside the ears), shape the surface at the rim. The thin dark line is the zero contour. The colour scale is symmetric about zero and shared by every map here and in the session-resolved maps in the appendix on group displays by session. The sample is the one the models are fitted to. The maps are descriptive and are not electrode-wise tests.</w:t>
      </w:r>
    </w:p>
    <w:bookmarkEnd w:id="113"/>
    <w:bookmarkStart w:id="114" w:name="Xe4d5742d97dcf9f59157263b922c3ef33c8672d"/>
    <w:p>
      <w:pPr>
        <w:pStyle w:val="Heading3"/>
      </w:pPr>
      <w:r>
        <w:t xml:space="preserve">Dependence on the by-item random-effect structure</w:t>
      </w:r>
    </w:p>
    <w:p>
      <w:pPr>
        <w:pStyle w:val="FirstParagraph"/>
      </w:pPr>
      <w:r>
        <w:t xml:space="preserve">Everything above comes from the maximal structure, with crossed by-participant and</w:t>
      </w:r>
      <w:r>
        <w:t xml:space="preserve"> </w:t>
      </w:r>
      <w:r>
        <w:t xml:space="preserve">by-item random effects each carrying a grammaticality slope. Refitting the whole grid</w:t>
      </w:r>
      <w:r>
        <w:t xml:space="preserve"> </w:t>
      </w:r>
      <w:r>
        <w:t xml:space="preserve">without the by-item grammaticality slope changes almost nothing. At the median, the</w:t>
      </w:r>
      <w:r>
        <w:t xml:space="preserve"> </w:t>
      </w:r>
      <w:r>
        <w:t xml:space="preserve">grammaticality main effect’s intervals under the maximal structure are</w:t>
      </w:r>
      <w:r>
        <w:t xml:space="preserve"> </w:t>
      </w:r>
      <w:r>
        <w:t xml:space="preserve">1.01 times their width without the slope,</w:t>
      </w:r>
      <w:r>
        <w:t xml:space="preserve"> </w:t>
      </w:r>
      <w:r>
        <w:t xml:space="preserve">and the same cells are credible under both structures for every grammaticality term but</w:t>
      </w:r>
      <w:r>
        <w:t xml:space="preserve"> </w:t>
      </w:r>
      <w:r>
        <w:t xml:space="preserve">one. That one is the grammaticality</w:t>
      </w:r>
      <w:r>
        <w:t xml:space="preserve"> </w:t>
      </w:r>
      <m:oMath>
        <m:r>
          <m:rPr>
            <m:sty m:val="p"/>
          </m:rPr>
          <m:t>×</m:t>
        </m:r>
      </m:oMath>
      <w:r>
        <w:t xml:space="preserve"> </w:t>
      </w:r>
      <w:r>
        <w:t xml:space="preserve">language interaction for differential object</w:t>
      </w:r>
      <w:r>
        <w:t xml:space="preserve"> </w:t>
      </w:r>
      <w:r>
        <w:t xml:space="preserve">marking in the early lateral window, credible without the by-item slope</w:t>
      </w:r>
      <w:r>
        <w:t xml:space="preserve"> </w:t>
      </w:r>
      <w:r>
        <w:t xml:space="preserve">(</w:t>
      </w:r>
      <m:oMath>
        <m:r>
          <m:t>b</m:t>
        </m:r>
        <m:r>
          <m:rPr>
            <m:sty m:val="p"/>
          </m:rPr>
          <m:t>=</m:t>
        </m:r>
        <m:r>
          <m:t>0.0270</m:t>
        </m:r>
      </m:oMath>
      <w:r>
        <w:t xml:space="preserve">, 95% CrI</w:t>
      </w:r>
      <w:r>
        <w:t xml:space="preserve"> </w:t>
      </w:r>
      <m:oMath>
        <m:r>
          <m:rPr>
            <m:sty m:val="p"/>
          </m:rPr>
          <m:t>[</m:t>
        </m:r>
        <m:r>
          <m:t>0.0001</m:t>
        </m:r>
        <m:r>
          <m:rPr>
            <m:sty m:val="p"/>
          </m:rPr>
          <m:t>,</m:t>
        </m:r>
        <m:r>
          <m:t>0.0542</m:t>
        </m:r>
        <m:r>
          <m:rPr>
            <m:sty m:val="p"/>
          </m:rPr>
          <m:t>]</m:t>
        </m:r>
      </m:oMath>
      <w:r>
        <w:t xml:space="preserve">,</w:t>
      </w:r>
      <w:r>
        <w:t xml:space="preserve"> </w:t>
      </w:r>
      <m:oMath>
        <m:sSub>
          <m:e>
            <m:r>
              <m:t>p</m:t>
            </m:r>
          </m:e>
          <m:sub>
            <m:r>
              <m:t>d</m:t>
            </m:r>
          </m:sub>
        </m:sSub>
        <m:r>
          <m:rPr>
            <m:sty m:val="p"/>
          </m:rPr>
          <m:t>=</m:t>
        </m:r>
        <m:r>
          <m:t>.98</m:t>
        </m:r>
      </m:oMath>
      <w:r>
        <w:t xml:space="preserve">)</w:t>
      </w:r>
      <w:r>
        <w:t xml:space="preserve"> </w:t>
      </w:r>
      <w:r>
        <w:t xml:space="preserve">and just short of credibility with it, as reported</w:t>
      </w:r>
      <w:r>
        <w:t xml:space="preserve"> </w:t>
      </w:r>
      <w:r>
        <w:t xml:space="preserve">above.</w:t>
      </w:r>
      <w:r>
        <w:t xml:space="preserve"> </w:t>
      </w:r>
      <w:r>
        <w:t xml:space="preserve">No conclusion here rests on that cell. The comparison is set out in full in</w:t>
      </w:r>
      <w:r>
        <w:t xml:space="preserve"> </w:t>
      </w:r>
      <w:hyperlink w:anchor="apx-analytic-decisions-in-detail">
        <w:r>
          <w:rPr>
            <w:rStyle w:val="Hyperlink"/>
          </w:rPr>
          <w:t xml:space="preserve">Appendix A</w:t>
        </w:r>
      </w:hyperlink>
      <w:r>
        <w:t xml:space="preserve">.</w:t>
      </w:r>
    </w:p>
    <w:bookmarkEnd w:id="114"/>
    <w:bookmarkEnd w:id="115"/>
    <w:bookmarkStart w:id="116" w:name="retention-session-4-to-session-6"/>
    <w:p>
      <w:pPr>
        <w:pStyle w:val="Heading2"/>
      </w:pPr>
      <w:r>
        <w:t xml:space="preserve">Retention (Session 4 to Session 6)</w:t>
      </w:r>
    </w:p>
    <w:p>
      <w:pPr>
        <w:pStyle w:val="FirstParagraph"/>
      </w:pPr>
      <w:r>
        <w:t xml:space="preserve">The retention contrast quantifies the change in the grammaticality effect between Sessions</w:t>
      </w:r>
      <w:r>
        <w:t xml:space="preserve"> </w:t>
      </w:r>
      <w:r>
        <w:t xml:space="preserve">4 and 6, positive values indicating an effect that strengthened over the interval and</w:t>
      </w:r>
      <w:r>
        <w:t xml:space="preserve"> </w:t>
      </w:r>
      <w:r>
        <w:t xml:space="preserve">values near zero an effect that held steady. Its derivation bounds what it can show. Session</w:t>
      </w:r>
      <w:r>
        <w:t xml:space="preserve"> </w:t>
      </w:r>
      <w:r>
        <w:t xml:space="preserve">enters the models as a single linear predictor, so the contrast is the per-session change</w:t>
      </w:r>
      <w:r>
        <w:t xml:space="preserve"> </w:t>
      </w:r>
      <w:r>
        <w:t xml:space="preserve">in the grammaticality effect rescaled to the width of the retention step. Every session in</w:t>
      </w:r>
      <w:r>
        <w:t xml:space="preserve"> </w:t>
      </w:r>
      <w:r>
        <w:t xml:space="preserve">the series informs that estimate, including those outside the retention interval. For</w:t>
      </w:r>
      <w:r>
        <w:t xml:space="preserve"> </w:t>
      </w:r>
      <w:r>
        <w:t xml:space="preserve">gender agreement, sampled from Session 2, and for differential object marking, sampled</w:t>
      </w:r>
      <w:r>
        <w:t xml:space="preserve"> </w:t>
      </w:r>
      <w:r>
        <w:t xml:space="preserve">from Session 3, the contrast describes the fitted trajectory evaluated over the retention</w:t>
      </w:r>
      <w:r>
        <w:t xml:space="preserve"> </w:t>
      </w:r>
      <w:r>
        <w:t xml:space="preserve">interval. It cannot by itself separate an offline gain specific to that interval</w:t>
      </w:r>
      <w:r>
        <w:t xml:space="preserve"> </w:t>
      </w:r>
      <w:r>
        <w:t xml:space="preserve">from continued improvement at the rate the training sessions established. Verb–object</w:t>
      </w:r>
      <w:r>
        <w:t xml:space="preserve"> </w:t>
      </w:r>
      <w:r>
        <w:t xml:space="preserve">number agreement is the exception, being present at Sessions 4 and 6 only, so for that</w:t>
      </w:r>
      <w:r>
        <w:t xml:space="preserve"> </w:t>
      </w:r>
      <w:r>
        <w:t xml:space="preserve">property the linear session term is precisely the change across those two sessions and the</w:t>
      </w:r>
      <w:r>
        <w:t xml:space="preserve"> </w:t>
      </w:r>
      <w:r>
        <w:t xml:space="preserve">contrast is estimated directly from them.</w:t>
      </w:r>
      <w:r>
        <w:t xml:space="preserve"> </w:t>
      </w:r>
      <w:hyperlink w:anchor="tbl-retention">
        <w:r>
          <w:rPr>
            <w:rStyle w:val="Hyperlink"/>
          </w:rPr>
          <w:t xml:space="preserve">Table B1</w:t>
        </w:r>
      </w:hyperlink>
      <w:r>
        <w:t xml:space="preserve">, in</w:t>
      </w:r>
      <w:r>
        <w:t xml:space="preserve"> </w:t>
      </w:r>
      <w:hyperlink w:anchor="apx-retention-tables">
        <w:r>
          <w:rPr>
            <w:rStyle w:val="Hyperlink"/>
          </w:rPr>
          <w:t xml:space="preserve">Appendix B</w:t>
        </w:r>
      </w:hyperlink>
      <w:r>
        <w:t xml:space="preserve">,</w:t>
      </w:r>
      <w:r>
        <w:t xml:space="preserve"> </w:t>
      </w:r>
      <w:r>
        <w:t xml:space="preserve">reports every contrast overall, within each language and, where derived, as the</w:t>
      </w:r>
      <w:r>
        <w:t xml:space="preserve"> </w:t>
      </w:r>
      <w:r>
        <w:t xml:space="preserve">between-language difference; the text below reports the ones that carry the argument.</w:t>
      </w:r>
    </w:p>
    <w:p>
      <w:pPr>
        <w:pStyle w:val="BodyText"/>
      </w:pPr>
      <w:r>
        <w:t xml:space="preserve">For gender agreement and differential object marking, that limitation is addressed</w:t>
      </w:r>
      <w:r>
        <w:t xml:space="preserve"> </w:t>
      </w:r>
      <w:r>
        <w:t xml:space="preserve">directly. Both properties were refitted with an indicator for the retention session,</w:t>
      </w:r>
      <w:r>
        <w:t xml:space="preserve"> </w:t>
      </w:r>
      <w:r>
        <w:t xml:space="preserve">interacted with grammaticality and language, so that the linear term carries the training</w:t>
      </w:r>
      <w:r>
        <w:t xml:space="preserve"> </w:t>
      </w:r>
      <w:r>
        <w:t xml:space="preserve">trend and the indicator the deviation at Session 6.</w:t>
      </w:r>
      <w:r>
        <w:t xml:space="preserve"> </w:t>
      </w:r>
      <w:hyperlink w:anchor="tbl-retention-free">
        <w:r>
          <w:rPr>
            <w:rStyle w:val="Hyperlink"/>
          </w:rPr>
          <w:t xml:space="preserve">Table B2</w:t>
        </w:r>
      </w:hyperlink>
      <w:r>
        <w:t xml:space="preserve">, in the same</w:t>
      </w:r>
      <w:r>
        <w:t xml:space="preserve"> </w:t>
      </w:r>
      <w:r>
        <w:t xml:space="preserve">appendix, reports those freed contrasts. They answer a different question from</w:t>
      </w:r>
      <w:r>
        <w:t xml:space="preserve"> </w:t>
      </w:r>
      <w:hyperlink w:anchor="tbl-retention">
        <w:r>
          <w:rPr>
            <w:rStyle w:val="Hyperlink"/>
          </w:rPr>
          <w:t xml:space="preserve">Table B1</w:t>
        </w:r>
      </w:hyperlink>
      <w:r>
        <w:t xml:space="preserve">, and where the two</w:t>
      </w:r>
      <w:r>
        <w:t xml:space="preserve"> </w:t>
      </w:r>
      <w:r>
        <w:t xml:space="preserve">disagree, the freed estimate is the one that bears on consolidation. Verb–object number</w:t>
      </w:r>
      <w:r>
        <w:t xml:space="preserve"> </w:t>
      </w:r>
      <w:r>
        <w:t xml:space="preserve">agreement admits no such refit, for the reason given under</w:t>
      </w:r>
      <w:r>
        <w:t xml:space="preserve"> </w:t>
      </w:r>
      <w:r>
        <w:rPr>
          <w:i/>
          <w:iCs/>
        </w:rPr>
        <w:t xml:space="preserve">Model structure</w:t>
      </w:r>
      <w:r>
        <w:t xml:space="preserve">.</w:t>
      </w:r>
    </w:p>
    <w:p>
      <w:pPr>
        <w:pStyle w:val="BodyText"/>
      </w:pPr>
      <w:r>
        <w:t xml:space="preserve">A retention contrast was credible for gender agreement alone, in the late window where its</w:t>
      </w:r>
      <w:r>
        <w:t xml:space="preserve"> </w:t>
      </w:r>
      <w:r>
        <w:t xml:space="preserve">development across sessions was also credible. There the grammaticality effect strengthened</w:t>
      </w:r>
      <w:r>
        <w:t xml:space="preserve"> </w:t>
      </w:r>
      <w:r>
        <w:t xml:space="preserve">across the interval in both macroregions (lateral 400–900 ms,</w:t>
      </w:r>
      <w:r>
        <w:t xml:space="preserve"> </w:t>
      </w:r>
      <m:oMath>
        <m:r>
          <m:rPr>
            <m:sty m:val="p"/>
          </m:rPr>
          <m:t>Δ</m:t>
        </m:r>
        <m:r>
          <m:rPr>
            <m:sty m:val="p"/>
          </m:rPr>
          <m:t>=</m:t>
        </m:r>
        <m:r>
          <m:t>0.022</m:t>
        </m:r>
      </m:oMath>
      <w:r>
        <w:t xml:space="preserve">, 95% CrI</w:t>
      </w:r>
      <w:r>
        <w:t xml:space="preserve"> </w:t>
      </w:r>
      <m:oMath>
        <m:r>
          <m:rPr>
            <m:sty m:val="p"/>
          </m:rPr>
          <m:t>[</m:t>
        </m:r>
        <m:r>
          <m:t>0.006</m:t>
        </m:r>
        <m:r>
          <m:rPr>
            <m:sty m:val="p"/>
          </m:rPr>
          <m:t>,</m:t>
        </m:r>
        <m:r>
          <m:t>0.039</m:t>
        </m:r>
        <m:r>
          <m:rPr>
            <m:sty m:val="p"/>
          </m:rPr>
          <m:t>]</m:t>
        </m:r>
      </m:oMath>
      <w:r>
        <w:t xml:space="preserve">,</w:t>
      </w:r>
      <w:r>
        <w:t xml:space="preserve"> </w:t>
      </w:r>
      <m:oMath>
        <m:sSub>
          <m:e>
            <m:r>
              <m:t>p</m:t>
            </m:r>
          </m:e>
          <m:sub>
            <m:r>
              <m:t>d</m:t>
            </m:r>
          </m:sub>
        </m:sSub>
        <m:r>
          <m:rPr>
            <m:sty m:val="p"/>
          </m:rPr>
          <m:t>=</m:t>
        </m:r>
        <m:r>
          <m:t>.995</m:t>
        </m:r>
      </m:oMath>
      <w:r>
        <w:t xml:space="preserve">; midline,</w:t>
      </w:r>
      <w:r>
        <w:t xml:space="preserve"> </w:t>
      </w:r>
      <m:oMath>
        <m:r>
          <m:rPr>
            <m:sty m:val="p"/>
          </m:rPr>
          <m:t>Δ</m:t>
        </m:r>
        <m:r>
          <m:rPr>
            <m:sty m:val="p"/>
          </m:rPr>
          <m:t>=</m:t>
        </m:r>
        <m:r>
          <m:t>0.020</m:t>
        </m:r>
      </m:oMath>
      <w:r>
        <w:t xml:space="preserve">, 95% CrI</w:t>
      </w:r>
      <w:r>
        <w:t xml:space="preserve"> </w:t>
      </w:r>
      <m:oMath>
        <m:r>
          <m:rPr>
            <m:sty m:val="p"/>
          </m:rPr>
          <m:t>[</m:t>
        </m:r>
        <m:r>
          <m:t>0.002</m:t>
        </m:r>
        <m:r>
          <m:rPr>
            <m:sty m:val="p"/>
          </m:rPr>
          <m:t>,</m:t>
        </m:r>
        <m:r>
          <m:t>0.038</m:t>
        </m:r>
        <m:r>
          <m:rPr>
            <m:sty m:val="p"/>
          </m:rPr>
          <m:t>]</m:t>
        </m:r>
      </m:oMath>
      <w:r>
        <w:t xml:space="preserve">,</w:t>
      </w:r>
      <w:r>
        <w:t xml:space="preserve"> </w:t>
      </w:r>
      <m:oMath>
        <m:sSub>
          <m:e>
            <m:r>
              <m:t>p</m:t>
            </m:r>
          </m:e>
          <m:sub>
            <m:r>
              <m:t>d</m:t>
            </m:r>
          </m:sub>
        </m:sSub>
        <m:r>
          <m:rPr>
            <m:sty m:val="p"/>
          </m:rPr>
          <m:t>=</m:t>
        </m:r>
        <m:r>
          <m:t>.98</m:t>
        </m:r>
      </m:oMath>
      <w:r>
        <w:t xml:space="preserve">).</w:t>
      </w:r>
      <w:r>
        <w:t xml:space="preserve"> </w:t>
      </w:r>
      <w:r>
        <w:t xml:space="preserve">Within the groups, the strengthening was credible for Mini-English in the lateral cell</w:t>
      </w:r>
      <w:r>
        <w:t xml:space="preserve"> </w:t>
      </w:r>
      <w:r>
        <w:t xml:space="preserve">(</w:t>
      </w:r>
      <m:oMath>
        <m:r>
          <m:rPr>
            <m:sty m:val="p"/>
          </m:rPr>
          <m:t>Δ</m:t>
        </m:r>
        <m:r>
          <m:rPr>
            <m:sty m:val="p"/>
          </m:rPr>
          <m:t>=</m:t>
        </m:r>
        <m:r>
          <m:t>0.025</m:t>
        </m:r>
      </m:oMath>
      <w:r>
        <w:t xml:space="preserve">, 95% CrI</w:t>
      </w:r>
      <w:r>
        <w:t xml:space="preserve"> </w:t>
      </w:r>
      <m:oMath>
        <m:r>
          <m:rPr>
            <m:sty m:val="p"/>
          </m:rPr>
          <m:t>[</m:t>
        </m:r>
        <m:r>
          <m:t>0.002</m:t>
        </m:r>
        <m:r>
          <m:rPr>
            <m:sty m:val="p"/>
          </m:rPr>
          <m:t>,</m:t>
        </m:r>
        <m:r>
          <m:t>0.048</m:t>
        </m:r>
        <m:r>
          <m:rPr>
            <m:sty m:val="p"/>
          </m:rPr>
          <m:t>]</m:t>
        </m:r>
      </m:oMath>
      <w:r>
        <w:t xml:space="preserve">,</w:t>
      </w:r>
      <w:r>
        <w:t xml:space="preserve"> </w:t>
      </w:r>
      <m:oMath>
        <m:sSub>
          <m:e>
            <m:r>
              <m:t>p</m:t>
            </m:r>
          </m:e>
          <m:sub>
            <m:r>
              <m:t>d</m:t>
            </m:r>
          </m:sub>
        </m:sSub>
        <m:r>
          <m:rPr>
            <m:sty m:val="p"/>
          </m:rPr>
          <m:t>=</m:t>
        </m:r>
        <m:r>
          <m:t>.99</m:t>
        </m:r>
      </m:oMath>
      <w:r>
        <w:t xml:space="preserve">) and for</w:t>
      </w:r>
      <w:r>
        <w:t xml:space="preserve"> </w:t>
      </w:r>
      <w:r>
        <w:t xml:space="preserve">neither group elsewhere,</w:t>
      </w:r>
      <w:r>
        <w:t xml:space="preserve"> </w:t>
      </w:r>
      <w:r>
        <w:t xml:space="preserve">and the difference between the groups was not credible in any cell (lateral,</w:t>
      </w:r>
      <w:r>
        <w:t xml:space="preserve"> </w:t>
      </w:r>
      <m:oMath>
        <m:r>
          <m:rPr>
            <m:sty m:val="p"/>
          </m:rPr>
          <m:t>Δ</m:t>
        </m:r>
        <m:r>
          <m:rPr>
            <m:sty m:val="p"/>
          </m:rPr>
          <m:t>=</m:t>
        </m:r>
        <m:r>
          <m:rPr>
            <m:sty m:val="p"/>
          </m:rPr>
          <m:t>−</m:t>
        </m:r>
        <m:r>
          <m:t>0.006</m:t>
        </m:r>
      </m:oMath>
      <w:r>
        <w:t xml:space="preserve">, 95% CrI</w:t>
      </w:r>
      <w:r>
        <w:t xml:space="preserve"> </w:t>
      </w:r>
      <m:oMath>
        <m:r>
          <m:rPr>
            <m:sty m:val="p"/>
          </m:rPr>
          <m:t>[</m:t>
        </m:r>
        <m:r>
          <m:rPr>
            <m:sty m:val="p"/>
          </m:rPr>
          <m:t>−</m:t>
        </m:r>
        <m:r>
          <m:t>0.041</m:t>
        </m:r>
        <m:r>
          <m:rPr>
            <m:sty m:val="p"/>
          </m:rPr>
          <m:t>,</m:t>
        </m:r>
        <m:r>
          <m:t>0.027</m:t>
        </m:r>
        <m:r>
          <m:rPr>
            <m:sty m:val="p"/>
          </m:rPr>
          <m:t>]</m:t>
        </m:r>
      </m:oMath>
      <w:r>
        <w:t xml:space="preserve">,</w:t>
      </w:r>
      <w:r>
        <w:t xml:space="preserve"> </w:t>
      </w:r>
      <m:oMath>
        <m:sSub>
          <m:e>
            <m:r>
              <m:t>p</m:t>
            </m:r>
          </m:e>
          <m:sub>
            <m:r>
              <m:t>d</m:t>
            </m:r>
          </m:sub>
        </m:sSub>
        <m:r>
          <m:rPr>
            <m:sty m:val="p"/>
          </m:rPr>
          <m:t>=</m:t>
        </m:r>
        <m:r>
          <m:t>.64</m:t>
        </m:r>
      </m:oMath>
      <w:r>
        <w:t xml:space="preserve">).</w:t>
      </w:r>
      <w:r>
        <w:t xml:space="preserve"> </w:t>
      </w:r>
      <w:r>
        <w:t xml:space="preserve">A credible change in one group and not in the other is not evidence that the groups differ</w:t>
      </w:r>
      <w:r>
        <w:t xml:space="preserve"> </w:t>
      </w:r>
      <w:r>
        <w:t xml:space="preserve">(</w:t>
      </w:r>
      <w:hyperlink w:anchor="ref-gelmanstern2006">
        <w:r>
          <w:rPr>
            <w:rStyle w:val="Hyperlink"/>
          </w:rPr>
          <w:t xml:space="preserve">Gelman &amp; Stern, 2006</w:t>
        </w:r>
      </w:hyperlink>
      <w:r>
        <w:t xml:space="preserve">;</w:t>
      </w:r>
      <w:r>
        <w:t xml:space="preserve"> </w:t>
      </w:r>
      <w:hyperlink w:anchor="ref-nieuwenhuis2011">
        <w:r>
          <w:rPr>
            <w:rStyle w:val="Hyperlink"/>
          </w:rPr>
          <w:t xml:space="preserve">Nieuwenhuis et al., 2011</w:t>
        </w:r>
      </w:hyperlink>
      <w:r>
        <w:t xml:space="preserve">)</w:t>
      </w:r>
      <w:r>
        <w:t xml:space="preserve">, so we read the gender-agreement result as a</w:t>
      </w:r>
      <w:r>
        <w:t xml:space="preserve"> </w:t>
      </w:r>
      <w:r>
        <w:t xml:space="preserve">strengthening common to both. No retention contrast was credible for differential object</w:t>
      </w:r>
      <w:r>
        <w:t xml:space="preserve"> </w:t>
      </w:r>
      <w:r>
        <w:t xml:space="preserve">marking or for verb–object number agreement (</w:t>
      </w:r>
      <w:hyperlink w:anchor="tbl-retention">
        <w:r>
          <w:rPr>
            <w:rStyle w:val="Hyperlink"/>
          </w:rPr>
          <w:t xml:space="preserve">Table B1</w:t>
        </w:r>
      </w:hyperlink>
      <w:r>
        <w:t xml:space="preserve">). For verb–object number</w:t>
      </w:r>
      <w:r>
        <w:t xml:space="preserve"> </w:t>
      </w:r>
      <w:r>
        <w:t xml:space="preserve">agreement, whose session term is itself the change across the interval, the late-window</w:t>
      </w:r>
      <w:r>
        <w:t xml:space="preserve"> </w:t>
      </w:r>
      <w:r>
        <w:t xml:space="preserve">contrast leaned positive in the Mini-Norwegian group without reaching credibility (midline</w:t>
      </w:r>
      <w:r>
        <w:t xml:space="preserve"> </w:t>
      </w:r>
      <w:r>
        <w:t xml:space="preserve">400–900 ms,</w:t>
      </w:r>
      <w:r>
        <w:t xml:space="preserve"> </w:t>
      </w:r>
      <m:oMath>
        <m:r>
          <m:rPr>
            <m:sty m:val="p"/>
          </m:rPr>
          <m:t>Δ</m:t>
        </m:r>
        <m:r>
          <m:rPr>
            <m:sty m:val="p"/>
          </m:rPr>
          <m:t>=</m:t>
        </m:r>
        <m:r>
          <m:t>0.07</m:t>
        </m:r>
      </m:oMath>
      <w:r>
        <w:t xml:space="preserve">, 95% CrI</w:t>
      </w:r>
      <w:r>
        <w:t xml:space="preserve"> </w:t>
      </w:r>
      <m:oMath>
        <m:r>
          <m:rPr>
            <m:sty m:val="p"/>
          </m:rPr>
          <m:t>[</m:t>
        </m:r>
        <m:r>
          <m:rPr>
            <m:sty m:val="p"/>
          </m:rPr>
          <m:t>−</m:t>
        </m:r>
        <m:r>
          <m:t>0.01</m:t>
        </m:r>
        <m:r>
          <m:rPr>
            <m:sty m:val="p"/>
          </m:rPr>
          <m:t>,</m:t>
        </m:r>
        <m:r>
          <m:t>0.15</m:t>
        </m:r>
        <m:r>
          <m:rPr>
            <m:sty m:val="p"/>
          </m:rPr>
          <m:t>]</m:t>
        </m:r>
      </m:oMath>
      <w:r>
        <w:t xml:space="preserve">,</w:t>
      </w:r>
      <w:r>
        <w:t xml:space="preserve"> </w:t>
      </w:r>
      <m:oMath>
        <m:sSub>
          <m:e>
            <m:r>
              <m:t>p</m:t>
            </m:r>
          </m:e>
          <m:sub>
            <m:r>
              <m:t>d</m:t>
            </m:r>
          </m:sub>
        </m:sSub>
        <m:r>
          <m:rPr>
            <m:sty m:val="p"/>
          </m:rPr>
          <m:t>=</m:t>
        </m:r>
        <m:r>
          <m:t>.96</m:t>
        </m:r>
      </m:oMath>
      <w:r>
        <w:t xml:space="preserve">).</w:t>
      </w:r>
    </w:p>
    <w:p>
      <w:pPr>
        <w:pStyle w:val="BodyText"/>
      </w:pPr>
      <w:r>
        <w:t xml:space="preserve">The refits that free the Session 6 step qualify the gender-agreement result. In them, the</w:t>
      </w:r>
      <w:r>
        <w:t xml:space="preserve"> </w:t>
      </w:r>
      <w:r>
        <w:t xml:space="preserve">deviation of the Session 6 effect from the training trend was credible in</w:t>
      </w:r>
      <w:r>
        <w:t xml:space="preserve"> </w:t>
      </w:r>
      <w:r>
        <w:t xml:space="preserve">none of the six gender-agreement cells, and the</w:t>
      </w:r>
      <w:r>
        <w:t xml:space="preserve"> </w:t>
      </w:r>
      <w:r>
        <w:t xml:space="preserve">difference between the groups in that deviation in</w:t>
      </w:r>
      <w:r>
        <w:t xml:space="preserve"> </w:t>
      </w:r>
      <w:r>
        <w:t xml:space="preserve">none of the six (midline</w:t>
      </w:r>
      <w:r>
        <w:t xml:space="preserve"> </w:t>
      </w:r>
      <w:r>
        <w:t xml:space="preserve">400–900 ms,</w:t>
      </w:r>
      <w:r>
        <w:t xml:space="preserve"> </w:t>
      </w:r>
      <m:oMath>
        <m:r>
          <m:rPr>
            <m:sty m:val="p"/>
          </m:rPr>
          <m:t>Δ</m:t>
        </m:r>
        <m:r>
          <m:rPr>
            <m:sty m:val="p"/>
          </m:rPr>
          <m:t>=</m:t>
        </m:r>
        <m:r>
          <m:rPr>
            <m:sty m:val="p"/>
          </m:rPr>
          <m:t>−</m:t>
        </m:r>
        <m:r>
          <m:t>0.019</m:t>
        </m:r>
      </m:oMath>
      <w:r>
        <w:t xml:space="preserve">, 95% CrI</w:t>
      </w:r>
      <w:r>
        <w:t xml:space="preserve"> </w:t>
      </w:r>
      <m:oMath>
        <m:r>
          <m:rPr>
            <m:sty m:val="p"/>
          </m:rPr>
          <m:t>[</m:t>
        </m:r>
        <m:r>
          <m:rPr>
            <m:sty m:val="p"/>
          </m:rPr>
          <m:t>−</m:t>
        </m:r>
        <m:r>
          <m:t>0.081</m:t>
        </m:r>
        <m:r>
          <m:rPr>
            <m:sty m:val="p"/>
          </m:rPr>
          <m:t>,</m:t>
        </m:r>
        <m:r>
          <m:t>0.042</m:t>
        </m:r>
        <m:r>
          <m:rPr>
            <m:sty m:val="p"/>
          </m:rPr>
          <m:t>]</m:t>
        </m:r>
      </m:oMath>
      <w:r>
        <w:t xml:space="preserve">,</w:t>
      </w:r>
      <w:r>
        <w:t xml:space="preserve"> </w:t>
      </w:r>
      <m:oMath>
        <m:sSub>
          <m:e>
            <m:r>
              <m:t>p</m:t>
            </m:r>
          </m:e>
          <m:sub>
            <m:r>
              <m:t>d</m:t>
            </m:r>
          </m:sub>
        </m:sSub>
        <m:r>
          <m:rPr>
            <m:sty m:val="p"/>
          </m:rPr>
          <m:t>=</m:t>
        </m:r>
        <m:r>
          <m:t>.73</m:t>
        </m:r>
      </m:oMath>
      <w:r>
        <w:t xml:space="preserve">;</w:t>
      </w:r>
      <w:r>
        <w:t xml:space="preserve"> </w:t>
      </w:r>
      <w:r>
        <w:t xml:space="preserve">Mini-Norwegian minus Mini-English</w:t>
      </w:r>
      <w:r>
        <w:t xml:space="preserve"> </w:t>
      </w:r>
      <m:oMath>
        <m:r>
          <m:rPr>
            <m:sty m:val="p"/>
          </m:rPr>
          <m:t>Δ</m:t>
        </m:r>
        <m:r>
          <m:rPr>
            <m:sty m:val="p"/>
          </m:rPr>
          <m:t>=</m:t>
        </m:r>
        <m:r>
          <m:t>0.07</m:t>
        </m:r>
      </m:oMath>
      <w:r>
        <w:t xml:space="preserve">, 95% CrI</w:t>
      </w:r>
      <w:r>
        <w:t xml:space="preserve"> </w:t>
      </w:r>
      <m:oMath>
        <m:r>
          <m:rPr>
            <m:sty m:val="p"/>
          </m:rPr>
          <m:t>[</m:t>
        </m:r>
        <m:r>
          <m:rPr>
            <m:sty m:val="p"/>
          </m:rPr>
          <m:t>−</m:t>
        </m:r>
        <m:r>
          <m:t>0.05</m:t>
        </m:r>
        <m:r>
          <m:rPr>
            <m:sty m:val="p"/>
          </m:rPr>
          <m:t>,</m:t>
        </m:r>
        <m:r>
          <m:t>0.20</m:t>
        </m:r>
        <m:r>
          <m:rPr>
            <m:sty m:val="p"/>
          </m:rPr>
          <m:t>]</m:t>
        </m:r>
      </m:oMath>
      <w:r>
        <w:t xml:space="preserve">,</w:t>
      </w:r>
      <w:r>
        <w:t xml:space="preserve"> </w:t>
      </w:r>
      <m:oMath>
        <m:sSub>
          <m:e>
            <m:r>
              <m:t>p</m:t>
            </m:r>
          </m:e>
          <m:sub>
            <m:r>
              <m:t>d</m:t>
            </m:r>
          </m:sub>
        </m:sSub>
        <m:r>
          <m:rPr>
            <m:sty m:val="p"/>
          </m:rPr>
          <m:t>=</m:t>
        </m:r>
        <m:r>
          <m:t>.88</m:t>
        </m:r>
      </m:oMath>
      <w:r>
        <w:t xml:space="preserve">). The freed deviation is estimated far less precisely than</w:t>
      </w:r>
      <w:r>
        <w:t xml:space="preserve"> </w:t>
      </w:r>
      <w:r>
        <w:t xml:space="preserve">the linear contrast, so it cannot tell whether the late-window effect went on growing over</w:t>
      </w:r>
      <w:r>
        <w:t xml:space="preserve"> </w:t>
      </w:r>
      <w:r>
        <w:t xml:space="preserve">the interval at the training rate, held or fell back somewhat. What it shows is that the</w:t>
      </w:r>
      <w:r>
        <w:t xml:space="preserve"> </w:t>
      </w:r>
      <w:r>
        <w:t xml:space="preserve">Session 6 effect did not depart credibly from the trend the training sessions set. For</w:t>
      </w:r>
      <w:r>
        <w:t xml:space="preserve"> </w:t>
      </w:r>
      <w:r>
        <w:t xml:space="preserve">differential object marking, the freed deviation was credible overall in</w:t>
      </w:r>
      <w:r>
        <w:t xml:space="preserve"> </w:t>
      </w:r>
      <w:r>
        <w:t xml:space="preserve">none of the six cells, but in the</w:t>
      </w:r>
      <w:r>
        <w:t xml:space="preserve"> </w:t>
      </w:r>
      <w:r>
        <w:t xml:space="preserve">Mini-Norwegian group the Session 6 effect fell credibly below its training trend in the two</w:t>
      </w:r>
      <w:r>
        <w:t xml:space="preserve"> </w:t>
      </w:r>
      <w:r>
        <w:t xml:space="preserve">early midline cells (200–500 ms,</w:t>
      </w:r>
      <w:r>
        <w:t xml:space="preserve"> </w:t>
      </w:r>
      <m:oMath>
        <m:r>
          <m:rPr>
            <m:sty m:val="p"/>
          </m:rPr>
          <m:t>Δ</m:t>
        </m:r>
        <m:r>
          <m:rPr>
            <m:sty m:val="p"/>
          </m:rPr>
          <m:t>=</m:t>
        </m:r>
        <m:r>
          <m:rPr>
            <m:sty m:val="p"/>
          </m:rPr>
          <m:t>−</m:t>
        </m:r>
        <m:r>
          <m:t>0.13</m:t>
        </m:r>
      </m:oMath>
      <w:r>
        <w:t xml:space="preserve">, 95% CrI</w:t>
      </w:r>
      <w:r>
        <w:t xml:space="preserve"> </w:t>
      </w:r>
      <m:oMath>
        <m:r>
          <m:rPr>
            <m:sty m:val="p"/>
          </m:rPr>
          <m:t>[</m:t>
        </m:r>
        <m:r>
          <m:rPr>
            <m:sty m:val="p"/>
          </m:rPr>
          <m:t>−</m:t>
        </m:r>
        <m:r>
          <m:t>0.23</m:t>
        </m:r>
        <m:r>
          <m:rPr>
            <m:sty m:val="p"/>
          </m:rPr>
          <m:t>,</m:t>
        </m:r>
        <m:r>
          <m:rPr>
            <m:sty m:val="p"/>
          </m:rPr>
          <m:t>−</m:t>
        </m:r>
        <m:r>
          <m:t>0.02</m:t>
        </m:r>
        <m:r>
          <m:rPr>
            <m:sty m:val="p"/>
          </m:rPr>
          <m:t>]</m:t>
        </m:r>
      </m:oMath>
      <w:r>
        <w:t xml:space="preserve">,</w:t>
      </w:r>
      <w:r>
        <w:t xml:space="preserve"> </w:t>
      </w:r>
      <m:oMath>
        <m:sSub>
          <m:e>
            <m:r>
              <m:t>p</m:t>
            </m:r>
          </m:e>
          <m:sub>
            <m:r>
              <m:t>d</m:t>
            </m:r>
          </m:sub>
        </m:sSub>
        <m:r>
          <m:rPr>
            <m:sty m:val="p"/>
          </m:rPr>
          <m:t>=</m:t>
        </m:r>
        <m:r>
          <m:t>.99</m:t>
        </m:r>
      </m:oMath>
      <w:r>
        <w:t xml:space="preserve">;</w:t>
      </w:r>
      <w:r>
        <w:t xml:space="preserve"> </w:t>
      </w:r>
      <w:r>
        <w:t xml:space="preserve">300–600 ms,</w:t>
      </w:r>
      <w:r>
        <w:t xml:space="preserve"> </w:t>
      </w:r>
      <m:oMath>
        <m:r>
          <m:rPr>
            <m:sty m:val="p"/>
          </m:rPr>
          <m:t>Δ</m:t>
        </m:r>
        <m:r>
          <m:rPr>
            <m:sty m:val="p"/>
          </m:rPr>
          <m:t>=</m:t>
        </m:r>
        <m:r>
          <m:rPr>
            <m:sty m:val="p"/>
          </m:rPr>
          <m:t>−</m:t>
        </m:r>
        <m:r>
          <m:t>0.14</m:t>
        </m:r>
      </m:oMath>
      <w:r>
        <w:t xml:space="preserve">, 95% CrI</w:t>
      </w:r>
      <w:r>
        <w:t xml:space="preserve"> </w:t>
      </w:r>
      <m:oMath>
        <m:r>
          <m:rPr>
            <m:sty m:val="p"/>
          </m:rPr>
          <m:t>[</m:t>
        </m:r>
        <m:r>
          <m:rPr>
            <m:sty m:val="p"/>
          </m:rPr>
          <m:t>−</m:t>
        </m:r>
        <m:r>
          <m:t>0.25</m:t>
        </m:r>
        <m:r>
          <m:rPr>
            <m:sty m:val="p"/>
          </m:rPr>
          <m:t>,</m:t>
        </m:r>
        <m:r>
          <m:rPr>
            <m:sty m:val="p"/>
          </m:rPr>
          <m:t>−</m:t>
        </m:r>
        <m:r>
          <m:t>0.03</m:t>
        </m:r>
        <m:r>
          <m:rPr>
            <m:sty m:val="p"/>
          </m:rPr>
          <m:t>]</m:t>
        </m:r>
      </m:oMath>
      <w:r>
        <w:t xml:space="preserve">,</w:t>
      </w:r>
      <w:r>
        <w:t xml:space="preserve"> </w:t>
      </w:r>
      <m:oMath>
        <m:sSub>
          <m:e>
            <m:r>
              <m:t>p</m:t>
            </m:r>
          </m:e>
          <m:sub>
            <m:r>
              <m:t>d</m:t>
            </m:r>
          </m:sub>
        </m:sSub>
        <m:r>
          <m:rPr>
            <m:sty m:val="p"/>
          </m:rPr>
          <m:t>=</m:t>
        </m:r>
        <m:r>
          <m:t>.99</m:t>
        </m:r>
      </m:oMath>
      <w:r>
        <w:t xml:space="preserve">),</w:t>
      </w:r>
      <w:r>
        <w:t xml:space="preserve"> </w:t>
      </w:r>
      <w:r>
        <w:t xml:space="preserve">and the difference between the groups was credible in the same</w:t>
      </w:r>
      <w:r>
        <w:t xml:space="preserve"> </w:t>
      </w:r>
      <w:r>
        <w:t xml:space="preserve">cells (</w:t>
      </w:r>
      <m:oMath>
        <m:r>
          <m:rPr>
            <m:sty m:val="p"/>
          </m:rPr>
          <m:t>Δ</m:t>
        </m:r>
        <m:r>
          <m:rPr>
            <m:sty m:val="p"/>
          </m:rPr>
          <m:t>=</m:t>
        </m:r>
        <m:r>
          <m:rPr>
            <m:sty m:val="p"/>
          </m:rPr>
          <m:t>−</m:t>
        </m:r>
        <m:r>
          <m:t>0.19</m:t>
        </m:r>
      </m:oMath>
      <w:r>
        <w:t xml:space="preserve">, 95% CrI</w:t>
      </w:r>
      <w:r>
        <w:t xml:space="preserve"> </w:t>
      </w:r>
      <m:oMath>
        <m:r>
          <m:rPr>
            <m:sty m:val="p"/>
          </m:rPr>
          <m:t>[</m:t>
        </m:r>
        <m:r>
          <m:rPr>
            <m:sty m:val="p"/>
          </m:rPr>
          <m:t>−</m:t>
        </m:r>
        <m:r>
          <m:t>0.34</m:t>
        </m:r>
        <m:r>
          <m:rPr>
            <m:sty m:val="p"/>
          </m:rPr>
          <m:t>,</m:t>
        </m:r>
        <m:r>
          <m:rPr>
            <m:sty m:val="p"/>
          </m:rPr>
          <m:t>−</m:t>
        </m:r>
        <m:r>
          <m:t>0.03</m:t>
        </m:r>
        <m:r>
          <m:rPr>
            <m:sty m:val="p"/>
          </m:rPr>
          <m:t>]</m:t>
        </m:r>
      </m:oMath>
      <w:r>
        <w:t xml:space="preserve">,</w:t>
      </w:r>
      <w:r>
        <w:t xml:space="preserve"> </w:t>
      </w:r>
      <m:oMath>
        <m:sSub>
          <m:e>
            <m:r>
              <m:t>p</m:t>
            </m:r>
          </m:e>
          <m:sub>
            <m:r>
              <m:t>d</m:t>
            </m:r>
          </m:sub>
        </m:sSub>
        <m:r>
          <m:rPr>
            <m:sty m:val="p"/>
          </m:rPr>
          <m:t>=</m:t>
        </m:r>
        <m:r>
          <m:t>.99</m:t>
        </m:r>
      </m:oMath>
      <w:r>
        <w:t xml:space="preserve">;</w:t>
      </w:r>
      <w:r>
        <w:t xml:space="preserve"> </w:t>
      </w:r>
      <m:oMath>
        <m:r>
          <m:rPr>
            <m:sty m:val="p"/>
          </m:rPr>
          <m:t>Δ</m:t>
        </m:r>
        <m:r>
          <m:rPr>
            <m:sty m:val="p"/>
          </m:rPr>
          <m:t>=</m:t>
        </m:r>
        <m:r>
          <m:rPr>
            <m:sty m:val="p"/>
          </m:rPr>
          <m:t>−</m:t>
        </m:r>
        <m:r>
          <m:t>0.18</m:t>
        </m:r>
      </m:oMath>
      <w:r>
        <w:t xml:space="preserve">, 95% CrI</w:t>
      </w:r>
      <w:r>
        <w:t xml:space="preserve"> </w:t>
      </w:r>
      <m:oMath>
        <m:r>
          <m:rPr>
            <m:sty m:val="p"/>
          </m:rPr>
          <m:t>[</m:t>
        </m:r>
        <m:r>
          <m:rPr>
            <m:sty m:val="p"/>
          </m:rPr>
          <m:t>−</m:t>
        </m:r>
        <m:r>
          <m:t>0.34</m:t>
        </m:r>
        <m:r>
          <m:rPr>
            <m:sty m:val="p"/>
          </m:rPr>
          <m:t>,</m:t>
        </m:r>
        <m:r>
          <m:rPr>
            <m:sty m:val="p"/>
          </m:rPr>
          <m:t>−</m:t>
        </m:r>
        <m:r>
          <m:t>0.03</m:t>
        </m:r>
        <m:r>
          <m:rPr>
            <m:sty m:val="p"/>
          </m:rPr>
          <m:t>]</m:t>
        </m:r>
      </m:oMath>
      <w:r>
        <w:t xml:space="preserve">,</w:t>
      </w:r>
      <w:r>
        <w:t xml:space="preserve"> </w:t>
      </w:r>
      <m:oMath>
        <m:sSub>
          <m:e>
            <m:r>
              <m:t>p</m:t>
            </m:r>
          </m:e>
          <m:sub>
            <m:r>
              <m:t>d</m:t>
            </m:r>
          </m:sub>
        </m:sSub>
        <m:r>
          <m:rPr>
            <m:sty m:val="p"/>
          </m:rPr>
          <m:t>=</m:t>
        </m:r>
        <m:r>
          <m:t>.99</m:t>
        </m:r>
      </m:oMath>
      <w:r>
        <w:t xml:space="preserve">).</w:t>
      </w:r>
      <w:r>
        <w:t xml:space="preserve"> </w:t>
      </w:r>
      <w:r>
        <w:t xml:space="preserve">For this property, the training trend rests on two sessions a week apart, so the projection</w:t>
      </w:r>
      <w:r>
        <w:t xml:space="preserve"> </w:t>
      </w:r>
      <w:r>
        <w:t xml:space="preserve">the deviation is measured from is itself uncertain, and the early window carries the possible</w:t>
      </w:r>
      <w:r>
        <w:t xml:space="preserve"> </w:t>
      </w:r>
      <w:r>
        <w:t xml:space="preserve">stimulus-driven component described above. Without the reprocessed and recovered records,</w:t>
      </w:r>
      <w:r>
        <w:t xml:space="preserve"> </w:t>
      </w:r>
      <w:r>
        <w:t xml:space="preserve">every contrast credible in the primary analysis remains credible with the same sign, and one</w:t>
      </w:r>
      <w:r>
        <w:t xml:space="preserve"> </w:t>
      </w:r>
      <w:r>
        <w:t xml:space="preserve">further contrast becomes credible, the late midline gender-agreement strengthening within</w:t>
      </w:r>
      <w:r>
        <w:t xml:space="preserve"> </w:t>
      </w:r>
      <w:r>
        <w:t xml:space="preserve">Mini-English, which under the protocol cannot become a claim</w:t>
      </w:r>
      <w:r>
        <w:t xml:space="preserve"> </w:t>
      </w:r>
      <w:r>
        <w:t xml:space="preserve">(</w:t>
      </w:r>
      <w:hyperlink w:anchor="tbl-retention-robustness">
        <w:r>
          <w:rPr>
            <w:rStyle w:val="Hyperlink"/>
          </w:rPr>
          <w:t xml:space="preserve">Table A2</w:t>
        </w:r>
      </w:hyperlink>
      <w:r>
        <w:t xml:space="preserve">).</w:t>
      </w:r>
    </w:p>
    <w:bookmarkEnd w:id="116"/>
    <w:bookmarkStart w:id="121" w:name="grammaticality-judgements"/>
    <w:p>
      <w:pPr>
        <w:pStyle w:val="Heading2"/>
      </w:pPr>
      <w:r>
        <w:t xml:space="preserve">Grammaticality judgements</w:t>
      </w:r>
    </w:p>
    <w:p>
      <w:pPr>
        <w:pStyle w:val="FirstParagraph"/>
      </w:pPr>
      <w:r>
        <w:t xml:space="preserve">Accuracy on grammatical and on ungrammatical sentences reflects two separable quantities</w:t>
      </w:r>
      <w:r>
        <w:t xml:space="preserve"> </w:t>
      </w:r>
      <w:r>
        <w:t xml:space="preserve">(see</w:t>
      </w:r>
      <w:r>
        <w:t xml:space="preserve"> </w:t>
      </w:r>
      <w:r>
        <w:rPr>
          <w:i/>
          <w:iCs/>
        </w:rPr>
        <w:t xml:space="preserve">Signal-detection reading of the judgement models</w:t>
      </w:r>
      <w:r>
        <w:t xml:space="preserve">). Sensitivity is how well a</w:t>
      </w:r>
      <w:r>
        <w:t xml:space="preserve"> </w:t>
      </w:r>
      <w:r>
        <w:t xml:space="preserve">learner told the two sentence types apart. The criterion is how readily they judged a</w:t>
      </w:r>
      <w:r>
        <w:t xml:space="preserve"> </w:t>
      </w:r>
      <w:r>
        <w:t xml:space="preserve">sentence grammatical, whichever type it was.</w:t>
      </w:r>
      <w:r>
        <w:t xml:space="preserve"> </w:t>
      </w:r>
      <w:hyperlink w:anchor="fig-sdt-by-language">
        <w:r>
          <w:rPr>
            <w:rStyle w:val="Hyperlink"/>
          </w:rPr>
          <w:t xml:space="preserve">Figure 11</w:t>
        </w:r>
      </w:hyperlink>
      <w:r>
        <w:t xml:space="preserve"> </w:t>
      </w:r>
      <w:r>
        <w:t xml:space="preserve">shows both for each</w:t>
      </w:r>
      <w:r>
        <w:t xml:space="preserve"> </w:t>
      </w:r>
      <w:r>
        <w:t xml:space="preserve">group, and the accuracies they are computed from are given in</w:t>
      </w:r>
      <w:r>
        <w:t xml:space="preserve"> </w:t>
      </w:r>
      <w:hyperlink w:anchor="fig-accuracy-by-language">
        <w:r>
          <w:rPr>
            <w:rStyle w:val="Hyperlink"/>
          </w:rPr>
          <w:t xml:space="preserve">Figure E3</w:t>
        </w:r>
      </w:hyperlink>
      <w:r>
        <w:t xml:space="preserve">.</w:t>
      </w:r>
    </w:p>
    <w:bookmarkStart w:id="120" w:name="fig-sdt-by-language"/>
    <w:p>
      <w:pPr>
        <w:pStyle w:val="FigureTitle"/>
      </w:pPr>
      <w:r>
        <w:t xml:space="preserve">Figure 11</w:t>
      </w:r>
    </w:p>
    <w:p>
      <w:pPr>
        <w:pStyle w:val="Caption"/>
      </w:pPr>
      <w:r>
        <w:t xml:space="preserve">Sensitivity and Criterion in the Grammaticality Judgements by Miniature Language, Property and Session</w:t>
      </w:r>
    </w:p>
    <w:p>
      <w:pPr>
        <w:pStyle w:val="FigureWithNote"/>
      </w:pPr>
      <w:r>
        <w:drawing>
          <wp:inline>
            <wp:extent cx="5943600" cy="4206240"/>
            <wp:effectExtent b="0" l="0" r="0" t="0"/>
            <wp:docPr descr="" title="" id="118" name="Picture"/>
            <a:graphic>
              <a:graphicData uri="http://schemas.openxmlformats.org/drawingml/2006/picture">
                <pic:pic>
                  <pic:nvPicPr>
                    <pic:cNvPr descr="paper_1_morphosyntax_files/figure-docx/fig-sdt-by-language-1.png" id="119" name="Picture"/>
                    <pic:cNvPicPr>
                      <a:picLocks noChangeArrowheads="1" noChangeAspect="1"/>
                    </pic:cNvPicPr>
                  </pic:nvPicPr>
                  <pic:blipFill>
                    <a:blip r:embed="rId117"/>
                    <a:stretch>
                      <a:fillRect/>
                    </a:stretch>
                  </pic:blipFill>
                  <pic:spPr bwMode="auto">
                    <a:xfrm>
                      <a:off x="0" y="0"/>
                      <a:ext cx="5943600" cy="4206240"/>
                    </a:xfrm>
                    <a:prstGeom prst="rect">
                      <a:avLst/>
                    </a:prstGeom>
                    <a:noFill/>
                    <a:ln w="9525">
                      <a:noFill/>
                      <a:headEnd/>
                      <a:tailEnd/>
                    </a:ln>
                  </pic:spPr>
                </pic:pic>
              </a:graphicData>
            </a:graphic>
          </wp:inline>
        </w:drawing>
      </w:r>
    </w:p>
    <w:bookmarkEnd w:id="120"/>
    <w:p>
      <w:pPr>
        <w:pStyle w:val="FigureNote"/>
      </w:pPr>
      <w:r>
        <w:rPr>
          <w:i/>
          <w:iCs/>
        </w:rPr>
        <w:t xml:space="preserve">Note</w:t>
      </w:r>
      <w:r>
        <w:t xml:space="preserve">. Points are group means of participant-level</w:t>
      </w:r>
      <w:r>
        <w:t xml:space="preserve"> </w:t>
      </w:r>
      <m:oMath>
        <m:sSup>
          <m:e>
            <m:r>
              <m:t>d</m:t>
            </m:r>
          </m:e>
          <m:sup>
            <m:r>
              <m:rPr>
                <m:sty m:val="p"/>
              </m:rPr>
              <m:t>′</m:t>
            </m:r>
          </m:sup>
        </m:sSup>
      </m:oMath>
      <w:r>
        <w:t xml:space="preserve"> </w:t>
      </w:r>
      <w:r>
        <w:t xml:space="preserve">(upper row) and criterion</w:t>
      </w:r>
      <w:r>
        <w:t xml:space="preserve"> </w:t>
      </w:r>
      <m:oMath>
        <m:r>
          <m:t>c</m:t>
        </m:r>
      </m:oMath>
      <w:r>
        <w:t xml:space="preserve"> </w:t>
      </w:r>
      <w:r>
        <w:t xml:space="preserve">(lower row), computed from each participant’s hit rate (answering grammatical to a grammatical sentence) and false-alarm rate (answering grammatical to an ungrammatical one) at each session, with the log-linear correction for extreme rates. The horizontal line marks zero, which is chance-level sensitivity in the upper row and an unbiased criterion in the lower row, where a negative value is a readiness to judge sentences grammatical. Vertical lines are 95%</w:t>
      </w:r>
      <w:r>
        <w:t xml:space="preserve"> </w:t>
      </w:r>
      <w:r>
        <w:rPr>
          <w:i/>
          <w:iCs/>
        </w:rPr>
        <w:t xml:space="preserve">t</w:t>
      </w:r>
      <w:r>
        <w:t xml:space="preserve"> </w:t>
      </w:r>
      <w:r>
        <w:t xml:space="preserve">intervals over participants, and every participant receives equal weight. Each property is plotted from the session at which it entered the design: gender agreement at Session 2, differential object marking at Session 3 and verb–object number agreement at Session 4. These are descriptive, probit-scale summaries; the inferential estimates in the text come from the trial-level models, whose logit-scale sensitivity is about 1.7 times</w:t>
      </w:r>
      <w:r>
        <w:t xml:space="preserve"> </w:t>
      </w:r>
      <m:oMath>
        <m:sSup>
          <m:e>
            <m:r>
              <m:t>d</m:t>
            </m:r>
          </m:e>
          <m:sup>
            <m:r>
              <m:rPr>
                <m:sty m:val="p"/>
              </m:rPr>
              <m:t>′</m:t>
            </m:r>
          </m:sup>
        </m:sSup>
      </m:oMath>
      <w:r>
        <w:t xml:space="preserve">. Sessions are equally spaced, as in the models, although Sessions 2 to 4 are a week apart and Session 6 follows about four months without exposure.</w:t>
      </w:r>
    </w:p>
    <w:p>
      <w:pPr>
        <w:pStyle w:val="BodyText"/>
      </w:pPr>
      <w:r>
        <w:t xml:space="preserve">Sensitivity was high at each property’s first session and declined from there in both</w:t>
      </w:r>
      <w:r>
        <w:t xml:space="preserve"> </w:t>
      </w:r>
      <w:r>
        <w:t xml:space="preserve">groups (</w:t>
      </w:r>
      <w:hyperlink w:anchor="tbl-sdt-contrasts">
        <w:r>
          <w:rPr>
            <w:rStyle w:val="Hyperlink"/>
          </w:rPr>
          <w:t xml:space="preserve">Table B3</w:t>
        </w:r>
      </w:hyperlink>
      <w:r>
        <w:t xml:space="preserve">). Between Sessions 2 and 6, sensitivity to gender agreement fell</w:t>
      </w:r>
      <w:r>
        <w:t xml:space="preserve"> </w:t>
      </w:r>
      <w:r>
        <w:t xml:space="preserve">in the Mini-Norwegian group</w:t>
      </w:r>
      <w:r>
        <w:t xml:space="preserve"> </w:t>
      </w:r>
      <w:r>
        <w:t xml:space="preserve">(</w:t>
      </w:r>
      <m:oMath>
        <m:r>
          <m:rPr>
            <m:sty m:val="p"/>
          </m:rPr>
          <m:t>Δ</m:t>
        </m:r>
        <m:r>
          <m:rPr>
            <m:sty m:val="p"/>
          </m:rPr>
          <m:t>=</m:t>
        </m:r>
        <m:r>
          <m:rPr>
            <m:sty m:val="p"/>
          </m:rPr>
          <m:t>−</m:t>
        </m:r>
        <m:r>
          <m:t>3.48</m:t>
        </m:r>
      </m:oMath>
      <w:r>
        <w:t xml:space="preserve">, 95% CrI</w:t>
      </w:r>
      <w:r>
        <w:t xml:space="preserve"> </w:t>
      </w:r>
      <m:oMath>
        <m:r>
          <m:rPr>
            <m:sty m:val="p"/>
          </m:rPr>
          <m:t>[</m:t>
        </m:r>
        <m:r>
          <m:rPr>
            <m:sty m:val="p"/>
          </m:rPr>
          <m:t>−</m:t>
        </m:r>
        <m:r>
          <m:t>4.81</m:t>
        </m:r>
        <m:r>
          <m:rPr>
            <m:sty m:val="p"/>
          </m:rPr>
          <m:t>,</m:t>
        </m:r>
        <m:r>
          <m:rPr>
            <m:sty m:val="p"/>
          </m:rPr>
          <m:t>−</m:t>
        </m:r>
        <m:r>
          <m:t>2.15</m:t>
        </m:r>
        <m:r>
          <m:rPr>
            <m:sty m:val="p"/>
          </m:rPr>
          <m:t>]</m:t>
        </m:r>
      </m:oMath>
      <w:r>
        <w:t xml:space="preserve">,</w:t>
      </w:r>
      <w:r>
        <w:t xml:space="preserve"> </w:t>
      </w:r>
      <m:oMath>
        <m:sSub>
          <m:e>
            <m:r>
              <m:t>p</m:t>
            </m:r>
          </m:e>
          <m:sub>
            <m:r>
              <m:t>d</m:t>
            </m:r>
          </m:sub>
        </m:sSub>
        <m:r>
          <m:rPr>
            <m:sty m:val="p"/>
          </m:rPr>
          <m:t>&gt;</m:t>
        </m:r>
        <m:r>
          <m:t>.999</m:t>
        </m:r>
      </m:oMath>
      <w:r>
        <w:t xml:space="preserve">)</w:t>
      </w:r>
      <w:r>
        <w:t xml:space="preserve"> </w:t>
      </w:r>
      <w:r>
        <w:t xml:space="preserve">and in the Mini-English group</w:t>
      </w:r>
      <w:r>
        <w:t xml:space="preserve"> </w:t>
      </w:r>
      <w:r>
        <w:t xml:space="preserve">(</w:t>
      </w:r>
      <m:oMath>
        <m:r>
          <m:rPr>
            <m:sty m:val="p"/>
          </m:rPr>
          <m:t>Δ</m:t>
        </m:r>
        <m:r>
          <m:rPr>
            <m:sty m:val="p"/>
          </m:rPr>
          <m:t>=</m:t>
        </m:r>
        <m:r>
          <m:rPr>
            <m:sty m:val="p"/>
          </m:rPr>
          <m:t>−</m:t>
        </m:r>
        <m:r>
          <m:t>1.67</m:t>
        </m:r>
      </m:oMath>
      <w:r>
        <w:t xml:space="preserve">, 95% CrI</w:t>
      </w:r>
      <w:r>
        <w:t xml:space="preserve"> </w:t>
      </w:r>
      <m:oMath>
        <m:r>
          <m:rPr>
            <m:sty m:val="p"/>
          </m:rPr>
          <m:t>[</m:t>
        </m:r>
        <m:r>
          <m:rPr>
            <m:sty m:val="p"/>
          </m:rPr>
          <m:t>−</m:t>
        </m:r>
        <m:r>
          <m:t>2.95</m:t>
        </m:r>
        <m:r>
          <m:rPr>
            <m:sty m:val="p"/>
          </m:rPr>
          <m:t>,</m:t>
        </m:r>
        <m:r>
          <m:rPr>
            <m:sty m:val="p"/>
          </m:rPr>
          <m:t>−</m:t>
        </m:r>
        <m:r>
          <m:t>0.31</m:t>
        </m:r>
        <m:r>
          <m:rPr>
            <m:sty m:val="p"/>
          </m:rPr>
          <m:t>]</m:t>
        </m:r>
      </m:oMath>
      <w:r>
        <w:t xml:space="preserve">,</w:t>
      </w:r>
      <w:r>
        <w:t xml:space="preserve"> </w:t>
      </w:r>
      <m:oMath>
        <m:sSub>
          <m:e>
            <m:r>
              <m:t>p</m:t>
            </m:r>
          </m:e>
          <m:sub>
            <m:r>
              <m:t>d</m:t>
            </m:r>
          </m:sub>
        </m:sSub>
        <m:r>
          <m:rPr>
            <m:sty m:val="p"/>
          </m:rPr>
          <m:t>=</m:t>
        </m:r>
        <m:r>
          <m:t>.99</m:t>
        </m:r>
      </m:oMath>
      <w:r>
        <w:t xml:space="preserve">).</w:t>
      </w:r>
      <w:r>
        <w:t xml:space="preserve"> </w:t>
      </w:r>
      <w:r>
        <w:t xml:space="preserve">The declines for differential object marking were larger, and the one change that was not</w:t>
      </w:r>
      <w:r>
        <w:t xml:space="preserve"> </w:t>
      </w:r>
      <w:r>
        <w:t xml:space="preserve">credible was that of the Mini-English group for verb–object number agreement</w:t>
      </w:r>
      <w:r>
        <w:t xml:space="preserve"> </w:t>
      </w:r>
      <w:r>
        <w:t xml:space="preserve">(</w:t>
      </w:r>
      <m:oMath>
        <m:r>
          <m:rPr>
            <m:sty m:val="p"/>
          </m:rPr>
          <m:t>Δ</m:t>
        </m:r>
        <m:r>
          <m:rPr>
            <m:sty m:val="p"/>
          </m:rPr>
          <m:t>=</m:t>
        </m:r>
        <m:r>
          <m:rPr>
            <m:sty m:val="p"/>
          </m:rPr>
          <m:t>−</m:t>
        </m:r>
        <m:r>
          <m:t>1.42</m:t>
        </m:r>
      </m:oMath>
      <w:r>
        <w:t xml:space="preserve">, 95% CrI</w:t>
      </w:r>
      <w:r>
        <w:t xml:space="preserve"> </w:t>
      </w:r>
      <m:oMath>
        <m:r>
          <m:rPr>
            <m:sty m:val="p"/>
          </m:rPr>
          <m:t>[</m:t>
        </m:r>
        <m:r>
          <m:rPr>
            <m:sty m:val="p"/>
          </m:rPr>
          <m:t>−</m:t>
        </m:r>
        <m:r>
          <m:t>3.20</m:t>
        </m:r>
        <m:r>
          <m:rPr>
            <m:sty m:val="p"/>
          </m:rPr>
          <m:t>,</m:t>
        </m:r>
        <m:r>
          <m:t>0.39</m:t>
        </m:r>
        <m:r>
          <m:rPr>
            <m:sty m:val="p"/>
          </m:rPr>
          <m:t>]</m:t>
        </m:r>
      </m:oMath>
      <w:r>
        <w:t xml:space="preserve">,</w:t>
      </w:r>
      <w:r>
        <w:t xml:space="preserve"> </w:t>
      </w:r>
      <m:oMath>
        <m:sSub>
          <m:e>
            <m:r>
              <m:t>p</m:t>
            </m:r>
          </m:e>
          <m:sub>
            <m:r>
              <m:t>d</m:t>
            </m:r>
          </m:sub>
        </m:sSub>
        <m:r>
          <m:rPr>
            <m:sty m:val="p"/>
          </m:rPr>
          <m:t>=</m:t>
        </m:r>
        <m:r>
          <m:t>.94</m:t>
        </m:r>
      </m:oMath>
      <w:r>
        <w:t xml:space="preserve">).</w:t>
      </w:r>
      <w:r>
        <w:t xml:space="preserve"> </w:t>
      </w:r>
      <w:r>
        <w:t xml:space="preserve">The decline runs against the improvement that motivated the positive prior on the session</w:t>
      </w:r>
      <w:r>
        <w:t xml:space="preserve"> </w:t>
      </w:r>
      <w:r>
        <w:t xml:space="preserve">term. Two features of the design bear on it. Properties accumulate, so a judgement made at</w:t>
      </w:r>
      <w:r>
        <w:t xml:space="preserve"> </w:t>
      </w:r>
      <w:r>
        <w:t xml:space="preserve">Session 4 is made against a grammar with three manipulated properties instead of one, and</w:t>
      </w:r>
      <w:r>
        <w:t xml:space="preserve"> </w:t>
      </w:r>
      <w:r>
        <w:t xml:space="preserve">Session 6 follows about four months without exposure. The design has no condition that holds</w:t>
      </w:r>
      <w:r>
        <w:t xml:space="preserve"> </w:t>
      </w:r>
      <w:r>
        <w:t xml:space="preserve">task demands constant while sessions advance, so we do not separate these two sources of</w:t>
      </w:r>
      <w:r>
        <w:t xml:space="preserve"> </w:t>
      </w:r>
      <w:r>
        <w:t xml:space="preserve">decline.</w:t>
      </w:r>
    </w:p>
    <w:p>
      <w:pPr>
        <w:pStyle w:val="BodyText"/>
      </w:pPr>
      <w:r>
        <w:t xml:space="preserve">A group difference in sensitivity was credible for gender agreement at Session 6. For</w:t>
      </w:r>
      <w:r>
        <w:t xml:space="preserve"> </w:t>
      </w:r>
      <w:r>
        <w:t xml:space="preserve">gender agreement, the only property with a Norwegian analogue, the difference between the</w:t>
      </w:r>
      <w:r>
        <w:t xml:space="preserve"> </w:t>
      </w:r>
      <w:r>
        <w:t xml:space="preserve">groups averaged over sessions was</w:t>
      </w:r>
      <w:r>
        <w:t xml:space="preserve"> </w:t>
      </w:r>
      <m:oMath>
        <m:r>
          <m:rPr>
            <m:sty m:val="p"/>
          </m:rPr>
          <m:t>Δ</m:t>
        </m:r>
        <m:r>
          <m:rPr>
            <m:sty m:val="p"/>
          </m:rPr>
          <m:t>=</m:t>
        </m:r>
        <m:r>
          <m:rPr>
            <m:sty m:val="p"/>
          </m:rPr>
          <m:t>−</m:t>
        </m:r>
        <m:r>
          <m:t>0.97</m:t>
        </m:r>
      </m:oMath>
      <w:r>
        <w:t xml:space="preserve">, 95% CrI</w:t>
      </w:r>
      <w:r>
        <w:t xml:space="preserve"> </w:t>
      </w:r>
      <m:oMath>
        <m:r>
          <m:rPr>
            <m:sty m:val="p"/>
          </m:rPr>
          <m:t>[</m:t>
        </m:r>
        <m:r>
          <m:rPr>
            <m:sty m:val="p"/>
          </m:rPr>
          <m:t>−</m:t>
        </m:r>
        <m:r>
          <m:t>2.52</m:t>
        </m:r>
        <m:r>
          <m:rPr>
            <m:sty m:val="p"/>
          </m:rPr>
          <m:t>,</m:t>
        </m:r>
        <m:r>
          <m:t>0.59</m:t>
        </m:r>
        <m:r>
          <m:rPr>
            <m:sty m:val="p"/>
          </m:rPr>
          <m:t>]</m:t>
        </m:r>
      </m:oMath>
      <w:r>
        <w:t xml:space="preserve">,</w:t>
      </w:r>
      <w:r>
        <w:t xml:space="preserve"> </w:t>
      </w:r>
      <m:oMath>
        <m:sSub>
          <m:e>
            <m:r>
              <m:t>p</m:t>
            </m:r>
          </m:e>
          <m:sub>
            <m:r>
              <m:t>d</m:t>
            </m:r>
          </m:sub>
        </m:sSub>
        <m:r>
          <m:rPr>
            <m:sty m:val="p"/>
          </m:rPr>
          <m:t>=</m:t>
        </m:r>
        <m:r>
          <m:t>.89</m:t>
        </m:r>
      </m:oMath>
      <w:r>
        <w:t xml:space="preserve"> </w:t>
      </w:r>
      <w:r>
        <w:t xml:space="preserve">(Mini-Norwegian minus Mini-English), and at the retention session it was</w:t>
      </w:r>
      <w:r>
        <w:t xml:space="preserve"> </w:t>
      </w:r>
      <m:oMath>
        <m:r>
          <m:rPr>
            <m:sty m:val="p"/>
          </m:rPr>
          <m:t>Δ</m:t>
        </m:r>
        <m:r>
          <m:rPr>
            <m:sty m:val="p"/>
          </m:rPr>
          <m:t>=</m:t>
        </m:r>
        <m:r>
          <m:rPr>
            <m:sty m:val="p"/>
          </m:rPr>
          <m:t>−</m:t>
        </m:r>
        <m:r>
          <m:t>2.01</m:t>
        </m:r>
      </m:oMath>
      <w:r>
        <w:t xml:space="preserve">, 95% CrI</w:t>
      </w:r>
      <w:r>
        <w:t xml:space="preserve"> </w:t>
      </w:r>
      <m:oMath>
        <m:r>
          <m:rPr>
            <m:sty m:val="p"/>
          </m:rPr>
          <m:t>[</m:t>
        </m:r>
        <m:r>
          <m:rPr>
            <m:sty m:val="p"/>
          </m:rPr>
          <m:t>−</m:t>
        </m:r>
        <m:r>
          <m:t>3.93</m:t>
        </m:r>
        <m:r>
          <m:rPr>
            <m:sty m:val="p"/>
          </m:rPr>
          <m:t>,</m:t>
        </m:r>
        <m:r>
          <m:rPr>
            <m:sty m:val="p"/>
          </m:rPr>
          <m:t>−</m:t>
        </m:r>
        <m:r>
          <m:t>0.11</m:t>
        </m:r>
        <m:r>
          <m:rPr>
            <m:sty m:val="p"/>
          </m:rPr>
          <m:t>]</m:t>
        </m:r>
      </m:oMath>
      <w:r>
        <w:t xml:space="preserve">,</w:t>
      </w:r>
      <w:r>
        <w:t xml:space="preserve"> </w:t>
      </w:r>
      <m:oMath>
        <m:sSub>
          <m:e>
            <m:r>
              <m:t>p</m:t>
            </m:r>
          </m:e>
          <m:sub>
            <m:r>
              <m:t>d</m:t>
            </m:r>
          </m:sub>
        </m:sSub>
        <m:r>
          <m:rPr>
            <m:sty m:val="p"/>
          </m:rPr>
          <m:t>=</m:t>
        </m:r>
        <m:r>
          <m:t>.98</m:t>
        </m:r>
      </m:oMath>
      <w:r>
        <w:t xml:space="preserve">. The</w:t>
      </w:r>
      <w:r>
        <w:t xml:space="preserve"> </w:t>
      </w:r>
      <w:r>
        <w:t xml:space="preserve">Mini-Norwegian estimate was the lower of the two at every session.</w:t>
      </w:r>
    </w:p>
    <w:p>
      <w:pPr>
        <w:pStyle w:val="BodyText"/>
      </w:pPr>
      <w:r>
        <w:t xml:space="preserve">In the reported models, the groups diverged more clearly in their criterion. The difference</w:t>
      </w:r>
      <w:r>
        <w:t xml:space="preserve"> </w:t>
      </w:r>
      <w:r>
        <w:t xml:space="preserve">between the groups’ criteria was credible for gender agreement at Sessions 4 and 6. For gender agreement, the Mini-Norwegian</w:t>
      </w:r>
      <w:r>
        <w:t xml:space="preserve"> </w:t>
      </w:r>
      <w:r>
        <w:t xml:space="preserve">group’s criterion became more liberal between Sessions 2 and 6</w:t>
      </w:r>
      <w:r>
        <w:t xml:space="preserve"> </w:t>
      </w:r>
      <w:r>
        <w:t xml:space="preserve">(</w:t>
      </w:r>
      <m:oMath>
        <m:r>
          <m:rPr>
            <m:sty m:val="p"/>
          </m:rPr>
          <m:t>Δ</m:t>
        </m:r>
        <m:r>
          <m:rPr>
            <m:sty m:val="p"/>
          </m:rPr>
          <m:t>=</m:t>
        </m:r>
        <m:r>
          <m:rPr>
            <m:sty m:val="p"/>
          </m:rPr>
          <m:t>−</m:t>
        </m:r>
        <m:r>
          <m:t>1.04</m:t>
        </m:r>
      </m:oMath>
      <w:r>
        <w:t xml:space="preserve">, 95% CrI</w:t>
      </w:r>
      <w:r>
        <w:t xml:space="preserve"> </w:t>
      </w:r>
      <m:oMath>
        <m:r>
          <m:rPr>
            <m:sty m:val="p"/>
          </m:rPr>
          <m:t>[</m:t>
        </m:r>
        <m:r>
          <m:rPr>
            <m:sty m:val="p"/>
          </m:rPr>
          <m:t>−</m:t>
        </m:r>
        <m:r>
          <m:t>1.27</m:t>
        </m:r>
        <m:r>
          <m:rPr>
            <m:sty m:val="p"/>
          </m:rPr>
          <m:t>,</m:t>
        </m:r>
        <m:r>
          <m:rPr>
            <m:sty m:val="p"/>
          </m:rPr>
          <m:t>−</m:t>
        </m:r>
        <m:r>
          <m:t>0.82</m:t>
        </m:r>
        <m:r>
          <m:rPr>
            <m:sty m:val="p"/>
          </m:rPr>
          <m:t>]</m:t>
        </m:r>
      </m:oMath>
      <w:r>
        <w:t xml:space="preserve">,</w:t>
      </w:r>
      <w:r>
        <w:t xml:space="preserve"> </w:t>
      </w:r>
      <m:oMath>
        <m:sSub>
          <m:e>
            <m:r>
              <m:t>p</m:t>
            </m:r>
          </m:e>
          <m:sub>
            <m:r>
              <m:t>d</m:t>
            </m:r>
          </m:sub>
        </m:sSub>
        <m:r>
          <m:rPr>
            <m:sty m:val="p"/>
          </m:rPr>
          <m:t>&gt;</m:t>
        </m:r>
        <m:r>
          <m:t>.999</m:t>
        </m:r>
      </m:oMath>
      <w:r>
        <w:t xml:space="preserve">),</w:t>
      </w:r>
      <w:r>
        <w:t xml:space="preserve"> </w:t>
      </w:r>
      <w:r>
        <w:t xml:space="preserve">whereas the Mini-English group’s did not change credibly</w:t>
      </w:r>
      <w:r>
        <w:t xml:space="preserve"> </w:t>
      </w:r>
      <w:r>
        <w:t xml:space="preserve">(</w:t>
      </w:r>
      <m:oMath>
        <m:r>
          <m:rPr>
            <m:sty m:val="p"/>
          </m:rPr>
          <m:t>Δ</m:t>
        </m:r>
        <m:r>
          <m:rPr>
            <m:sty m:val="p"/>
          </m:rPr>
          <m:t>=</m:t>
        </m:r>
        <m:r>
          <m:rPr>
            <m:sty m:val="p"/>
          </m:rPr>
          <m:t>−</m:t>
        </m:r>
        <m:r>
          <m:t>0.06</m:t>
        </m:r>
      </m:oMath>
      <w:r>
        <w:t xml:space="preserve">, 95% CrI</w:t>
      </w:r>
      <w:r>
        <w:t xml:space="preserve"> </w:t>
      </w:r>
      <m:oMath>
        <m:r>
          <m:rPr>
            <m:sty m:val="p"/>
          </m:rPr>
          <m:t>[</m:t>
        </m:r>
        <m:r>
          <m:rPr>
            <m:sty m:val="p"/>
          </m:rPr>
          <m:t>−</m:t>
        </m:r>
        <m:r>
          <m:t>0.33</m:t>
        </m:r>
        <m:r>
          <m:rPr>
            <m:sty m:val="p"/>
          </m:rPr>
          <m:t>,</m:t>
        </m:r>
        <m:r>
          <m:t>0.20</m:t>
        </m:r>
        <m:r>
          <m:rPr>
            <m:sty m:val="p"/>
          </m:rPr>
          <m:t>]</m:t>
        </m:r>
      </m:oMath>
      <w:r>
        <w:t xml:space="preserve">,</w:t>
      </w:r>
      <w:r>
        <w:t xml:space="preserve"> </w:t>
      </w:r>
      <m:oMath>
        <m:sSub>
          <m:e>
            <m:r>
              <m:t>p</m:t>
            </m:r>
          </m:e>
          <m:sub>
            <m:r>
              <m:t>d</m:t>
            </m:r>
          </m:sub>
        </m:sSub>
        <m:r>
          <m:rPr>
            <m:sty m:val="p"/>
          </m:rPr>
          <m:t>=</m:t>
        </m:r>
        <m:r>
          <m:t>.68</m:t>
        </m:r>
      </m:oMath>
      <w:r>
        <w:t xml:space="preserve">).</w:t>
      </w:r>
      <w:r>
        <w:t xml:space="preserve"> </w:t>
      </w:r>
      <w:r>
        <w:t xml:space="preserve">At retention, the difference between the groups was</w:t>
      </w:r>
      <w:r>
        <w:t xml:space="preserve"> </w:t>
      </w:r>
      <m:oMath>
        <m:r>
          <m:rPr>
            <m:sty m:val="p"/>
          </m:rPr>
          <m:t>Δ</m:t>
        </m:r>
        <m:r>
          <m:rPr>
            <m:sty m:val="p"/>
          </m:rPr>
          <m:t>=</m:t>
        </m:r>
        <m:r>
          <m:rPr>
            <m:sty m:val="p"/>
          </m:rPr>
          <m:t>−</m:t>
        </m:r>
        <m:r>
          <m:t>1.11</m:t>
        </m:r>
      </m:oMath>
      <w:r>
        <w:t xml:space="preserve">, 95% CrI</w:t>
      </w:r>
      <w:r>
        <w:t xml:space="preserve"> </w:t>
      </w:r>
      <m:oMath>
        <m:r>
          <m:rPr>
            <m:sty m:val="p"/>
          </m:rPr>
          <m:t>[</m:t>
        </m:r>
        <m:r>
          <m:rPr>
            <m:sty m:val="p"/>
          </m:rPr>
          <m:t>−</m:t>
        </m:r>
        <m:r>
          <m:t>1.66</m:t>
        </m:r>
        <m:r>
          <m:rPr>
            <m:sty m:val="p"/>
          </m:rPr>
          <m:t>,</m:t>
        </m:r>
        <m:r>
          <m:rPr>
            <m:sty m:val="p"/>
          </m:rPr>
          <m:t>−</m:t>
        </m:r>
        <m:r>
          <m:t>0.57</m:t>
        </m:r>
        <m:r>
          <m:rPr>
            <m:sty m:val="p"/>
          </m:rPr>
          <m:t>]</m:t>
        </m:r>
      </m:oMath>
      <w:r>
        <w:t xml:space="preserve">,</w:t>
      </w:r>
      <w:r>
        <w:t xml:space="preserve"> </w:t>
      </w:r>
      <m:oMath>
        <m:sSub>
          <m:e>
            <m:r>
              <m:t>p</m:t>
            </m:r>
          </m:e>
          <m:sub>
            <m:r>
              <m:t>d</m:t>
            </m:r>
          </m:sub>
        </m:sSub>
        <m:r>
          <m:rPr>
            <m:sty m:val="p"/>
          </m:rPr>
          <m:t>&gt;</m:t>
        </m:r>
        <m:r>
          <m:t>.999</m:t>
        </m:r>
      </m:oMath>
      <w:r>
        <w:t xml:space="preserve">, and the difference</w:t>
      </w:r>
      <w:r>
        <w:t xml:space="preserve"> </w:t>
      </w:r>
      <w:r>
        <w:t xml:space="preserve">in how far the criterion moved between the first and last sessions was</w:t>
      </w:r>
      <w:r>
        <w:t xml:space="preserve"> </w:t>
      </w:r>
      <m:oMath>
        <m:r>
          <m:rPr>
            <m:sty m:val="p"/>
          </m:rPr>
          <m:t>Δ</m:t>
        </m:r>
        <m:r>
          <m:rPr>
            <m:sty m:val="p"/>
          </m:rPr>
          <m:t>=</m:t>
        </m:r>
        <m:r>
          <m:rPr>
            <m:sty m:val="p"/>
          </m:rPr>
          <m:t>−</m:t>
        </m:r>
        <m:r>
          <m:t>0.98</m:t>
        </m:r>
      </m:oMath>
      <w:r>
        <w:t xml:space="preserve">, 95% CrI</w:t>
      </w:r>
      <w:r>
        <w:t xml:space="preserve"> </w:t>
      </w:r>
      <m:oMath>
        <m:r>
          <m:rPr>
            <m:sty m:val="p"/>
          </m:rPr>
          <m:t>[</m:t>
        </m:r>
        <m:r>
          <m:rPr>
            <m:sty m:val="p"/>
          </m:rPr>
          <m:t>−</m:t>
        </m:r>
        <m:r>
          <m:t>1.32</m:t>
        </m:r>
        <m:r>
          <m:rPr>
            <m:sty m:val="p"/>
          </m:rPr>
          <m:t>,</m:t>
        </m:r>
        <m:r>
          <m:rPr>
            <m:sty m:val="p"/>
          </m:rPr>
          <m:t>−</m:t>
        </m:r>
        <m:r>
          <m:t>0.64</m:t>
        </m:r>
        <m:r>
          <m:rPr>
            <m:sty m:val="p"/>
          </m:rPr>
          <m:t>]</m:t>
        </m:r>
      </m:oMath>
      <w:r>
        <w:t xml:space="preserve">,</w:t>
      </w:r>
      <w:r>
        <w:t xml:space="preserve"> </w:t>
      </w:r>
      <m:oMath>
        <m:sSub>
          <m:e>
            <m:r>
              <m:t>p</m:t>
            </m:r>
          </m:e>
          <m:sub>
            <m:r>
              <m:t>d</m:t>
            </m:r>
          </m:sub>
        </m:sSub>
        <m:r>
          <m:rPr>
            <m:sty m:val="p"/>
          </m:rPr>
          <m:t>&gt;</m:t>
        </m:r>
        <m:r>
          <m:t>.999</m:t>
        </m:r>
      </m:oMath>
      <w:r>
        <w:t xml:space="preserve">.</w:t>
      </w:r>
      <w:r>
        <w:t xml:space="preserve"> </w:t>
      </w:r>
      <w:r>
        <w:t xml:space="preserve">At Sessions 4 and 6, then, Mini-Norwegian learners</w:t>
      </w:r>
      <w:r>
        <w:t xml:space="preserve"> </w:t>
      </w:r>
      <w:r>
        <w:t xml:space="preserve">judged gender-agreement sentences grammatical more readily than Mini-English learners did,</w:t>
      </w:r>
      <w:r>
        <w:t xml:space="preserve"> </w:t>
      </w:r>
      <w:r>
        <w:t xml:space="preserve">ungrammatical ones included, without telling the two types apart any better. For differential object marking, the</w:t>
      </w:r>
      <w:r>
        <w:t xml:space="preserve"> </w:t>
      </w:r>
      <w:r>
        <w:t xml:space="preserve">criterion became more conservative in both groups (Mini-Norwegian</w:t>
      </w:r>
      <w:r>
        <w:t xml:space="preserve"> </w:t>
      </w:r>
      <m:oMath>
        <m:r>
          <m:rPr>
            <m:sty m:val="p"/>
          </m:rPr>
          <m:t>Δ</m:t>
        </m:r>
        <m:r>
          <m:rPr>
            <m:sty m:val="p"/>
          </m:rPr>
          <m:t>=</m:t>
        </m:r>
        <m:r>
          <m:t>0.49</m:t>
        </m:r>
      </m:oMath>
      <w:r>
        <w:t xml:space="preserve">, 95% CrI</w:t>
      </w:r>
      <w:r>
        <w:t xml:space="preserve"> </w:t>
      </w:r>
      <m:oMath>
        <m:r>
          <m:rPr>
            <m:sty m:val="p"/>
          </m:rPr>
          <m:t>[</m:t>
        </m:r>
        <m:r>
          <m:t>0.26</m:t>
        </m:r>
        <m:r>
          <m:rPr>
            <m:sty m:val="p"/>
          </m:rPr>
          <m:t>,</m:t>
        </m:r>
        <m:r>
          <m:t>0.72</m:t>
        </m:r>
        <m:r>
          <m:rPr>
            <m:sty m:val="p"/>
          </m:rPr>
          <m:t>]</m:t>
        </m:r>
      </m:oMath>
      <w:r>
        <w:t xml:space="preserve">,</w:t>
      </w:r>
      <w:r>
        <w:t xml:space="preserve"> </w:t>
      </w:r>
      <m:oMath>
        <m:sSub>
          <m:e>
            <m:r>
              <m:t>p</m:t>
            </m:r>
          </m:e>
          <m:sub>
            <m:r>
              <m:t>d</m:t>
            </m:r>
          </m:sub>
        </m:sSub>
        <m:r>
          <m:rPr>
            <m:sty m:val="p"/>
          </m:rPr>
          <m:t>&gt;</m:t>
        </m:r>
        <m:r>
          <m:t>.999</m:t>
        </m:r>
      </m:oMath>
      <w:r>
        <w:t xml:space="preserve">;</w:t>
      </w:r>
      <w:r>
        <w:t xml:space="preserve"> </w:t>
      </w:r>
      <w:r>
        <w:t xml:space="preserve">Mini-English</w:t>
      </w:r>
      <w:r>
        <w:t xml:space="preserve"> </w:t>
      </w:r>
      <m:oMath>
        <m:r>
          <m:rPr>
            <m:sty m:val="p"/>
          </m:rPr>
          <m:t>Δ</m:t>
        </m:r>
        <m:r>
          <m:rPr>
            <m:sty m:val="p"/>
          </m:rPr>
          <m:t>=</m:t>
        </m:r>
        <m:r>
          <m:t>0.60</m:t>
        </m:r>
      </m:oMath>
      <w:r>
        <w:t xml:space="preserve">, 95% CrI</w:t>
      </w:r>
      <w:r>
        <w:t xml:space="preserve"> </w:t>
      </w:r>
      <m:oMath>
        <m:r>
          <m:rPr>
            <m:sty m:val="p"/>
          </m:rPr>
          <m:t>[</m:t>
        </m:r>
        <m:r>
          <m:t>0.34</m:t>
        </m:r>
        <m:r>
          <m:rPr>
            <m:sty m:val="p"/>
          </m:rPr>
          <m:t>,</m:t>
        </m:r>
        <m:r>
          <m:t>0.87</m:t>
        </m:r>
        <m:r>
          <m:rPr>
            <m:sty m:val="p"/>
          </m:rPr>
          <m:t>]</m:t>
        </m:r>
      </m:oMath>
      <w:r>
        <w:t xml:space="preserve">,</w:t>
      </w:r>
      <w:r>
        <w:t xml:space="preserve"> </w:t>
      </w:r>
      <m:oMath>
        <m:sSub>
          <m:e>
            <m:r>
              <m:t>p</m:t>
            </m:r>
          </m:e>
          <m:sub>
            <m:r>
              <m:t>d</m:t>
            </m:r>
          </m:sub>
        </m:sSub>
        <m:r>
          <m:rPr>
            <m:sty m:val="p"/>
          </m:rPr>
          <m:t>&gt;</m:t>
        </m:r>
        <m:r>
          <m:t>.999</m:t>
        </m:r>
      </m:oMath>
      <w:r>
        <w:t xml:space="preserve">),</w:t>
      </w:r>
      <w:r>
        <w:t xml:space="preserve"> </w:t>
      </w:r>
      <w:r>
        <w:t xml:space="preserve">and for verb–object number agreement it did not change credibly in either.</w:t>
      </w:r>
    </w:p>
    <w:p>
      <w:pPr>
        <w:pStyle w:val="BodyText"/>
      </w:pPr>
      <w:r>
        <w:t xml:space="preserve">In the fitted models, the gender-agreement criterion difference is carried by the</w:t>
      </w:r>
      <w:r>
        <w:t xml:space="preserve"> </w:t>
      </w:r>
      <w:r>
        <w:t xml:space="preserve">grammaticality</w:t>
      </w:r>
      <w:r>
        <w:t xml:space="preserve"> </w:t>
      </w:r>
      <m:oMath>
        <m:r>
          <m:rPr>
            <m:sty m:val="p"/>
          </m:rPr>
          <m:t>×</m:t>
        </m:r>
      </m:oMath>
      <w:r>
        <w:t xml:space="preserve"> </w:t>
      </w:r>
      <w:r>
        <w:t xml:space="preserve">language and 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terms</w:t>
      </w:r>
      <w:r>
        <w:t xml:space="preserve"> </w:t>
      </w:r>
      <w:r>
        <w:t xml:space="preserve">(</w:t>
      </w:r>
      <m:oMath>
        <m:r>
          <m:t>b</m:t>
        </m:r>
        <m:r>
          <m:rPr>
            <m:sty m:val="p"/>
          </m:rPr>
          <m:t>=</m:t>
        </m:r>
        <m:r>
          <m:t>0.27</m:t>
        </m:r>
      </m:oMath>
      <w:r>
        <w:t xml:space="preserve">, 95% CrI</w:t>
      </w:r>
      <w:r>
        <w:t xml:space="preserve"> </w:t>
      </w:r>
      <m:oMath>
        <m:r>
          <m:rPr>
            <m:sty m:val="p"/>
          </m:rPr>
          <m:t>[</m:t>
        </m:r>
        <m:r>
          <m:t>0.02</m:t>
        </m:r>
        <m:r>
          <m:rPr>
            <m:sty m:val="p"/>
          </m:rPr>
          <m:t>,</m:t>
        </m:r>
        <m:r>
          <m:t>0.53</m:t>
        </m:r>
        <m:r>
          <m:rPr>
            <m:sty m:val="p"/>
          </m:rPr>
          <m:t>]</m:t>
        </m:r>
      </m:oMath>
      <w:r>
        <w:t xml:space="preserve">,</w:t>
      </w:r>
      <w:r>
        <w:t xml:space="preserve"> </w:t>
      </w:r>
      <m:oMath>
        <m:sSub>
          <m:e>
            <m:r>
              <m:t>p</m:t>
            </m:r>
          </m:e>
          <m:sub>
            <m:r>
              <m:t>d</m:t>
            </m:r>
          </m:sub>
        </m:sSub>
        <m:r>
          <m:rPr>
            <m:sty m:val="p"/>
          </m:rPr>
          <m:t>=</m:t>
        </m:r>
        <m:r>
          <m:t>.98</m:t>
        </m:r>
      </m:oMath>
      <w:r>
        <w:t xml:space="preserve">;</w:t>
      </w:r>
      <w:r>
        <w:t xml:space="preserve"> </w:t>
      </w:r>
      <m:oMath>
        <m:r>
          <m:t>b</m:t>
        </m:r>
        <m:r>
          <m:rPr>
            <m:sty m:val="p"/>
          </m:rPr>
          <m:t>=</m:t>
        </m:r>
        <m:r>
          <m:t>0.17</m:t>
        </m:r>
      </m:oMath>
      <w:r>
        <w:t xml:space="preserve">, 95% CrI</w:t>
      </w:r>
      <w:r>
        <w:t xml:space="preserve"> </w:t>
      </w:r>
      <m:oMath>
        <m:r>
          <m:rPr>
            <m:sty m:val="p"/>
          </m:rPr>
          <m:t>[</m:t>
        </m:r>
        <m:r>
          <m:t>0.11</m:t>
        </m:r>
        <m:r>
          <m:rPr>
            <m:sty m:val="p"/>
          </m:rPr>
          <m:t>,</m:t>
        </m:r>
        <m:r>
          <m:t>0.24</m:t>
        </m:r>
        <m:r>
          <m:rPr>
            <m:sty m:val="p"/>
          </m:rPr>
          <m:t>]</m:t>
        </m:r>
      </m:oMath>
      <w:r>
        <w:t xml:space="preserve">,</w:t>
      </w:r>
      <w:r>
        <w:t xml:space="preserve"> </w:t>
      </w:r>
      <m:oMath>
        <m:sSub>
          <m:e>
            <m:r>
              <m:t>p</m:t>
            </m:r>
          </m:e>
          <m:sub>
            <m:r>
              <m:t>d</m:t>
            </m:r>
          </m:sub>
        </m:sSub>
        <m:r>
          <m:rPr>
            <m:sty m:val="p"/>
          </m:rPr>
          <m:t>&gt;</m:t>
        </m:r>
        <m:r>
          <m:t>.999</m:t>
        </m:r>
      </m:oMath>
      <w:r>
        <w:t xml:space="preserve">),</w:t>
      </w:r>
      <w:r>
        <w:t xml:space="preserve"> </w:t>
      </w:r>
      <w:r>
        <w:t xml:space="preserve">and the sensitivity difference by the language and session</w:t>
      </w:r>
      <w:r>
        <w:t xml:space="preserve"> </w:t>
      </w:r>
      <m:oMath>
        <m:r>
          <m:rPr>
            <m:sty m:val="p"/>
          </m:rPr>
          <m:t>×</m:t>
        </m:r>
      </m:oMath>
      <w:r>
        <w:t xml:space="preserve"> </w:t>
      </w:r>
      <w:r>
        <w:t xml:space="preserve">language terms</w:t>
      </w:r>
      <w:r>
        <w:t xml:space="preserve"> </w:t>
      </w:r>
      <w:r>
        <w:t xml:space="preserve">(</w:t>
      </w:r>
      <m:oMath>
        <m:r>
          <m:t>b</m:t>
        </m:r>
        <m:r>
          <m:rPr>
            <m:sty m:val="p"/>
          </m:rPr>
          <m:t>=</m:t>
        </m:r>
        <m:r>
          <m:rPr>
            <m:sty m:val="p"/>
          </m:rPr>
          <m:t>−</m:t>
        </m:r>
        <m:r>
          <m:t>0.24</m:t>
        </m:r>
      </m:oMath>
      <w:r>
        <w:t xml:space="preserve">, 95% CrI</w:t>
      </w:r>
      <w:r>
        <w:t xml:space="preserve"> </w:t>
      </w:r>
      <m:oMath>
        <m:r>
          <m:rPr>
            <m:sty m:val="p"/>
          </m:rPr>
          <m:t>[</m:t>
        </m:r>
        <m:r>
          <m:rPr>
            <m:sty m:val="p"/>
          </m:rPr>
          <m:t>−</m:t>
        </m:r>
        <m:r>
          <m:t>0.63</m:t>
        </m:r>
        <m:r>
          <m:rPr>
            <m:sty m:val="p"/>
          </m:rPr>
          <m:t>,</m:t>
        </m:r>
        <m:r>
          <m:t>0.15</m:t>
        </m:r>
        <m:r>
          <m:rPr>
            <m:sty m:val="p"/>
          </m:rPr>
          <m:t>]</m:t>
        </m:r>
      </m:oMath>
      <w:r>
        <w:t xml:space="preserve">,</w:t>
      </w:r>
      <w:r>
        <w:t xml:space="preserve"> </w:t>
      </w:r>
      <m:oMath>
        <m:sSub>
          <m:e>
            <m:r>
              <m:t>p</m:t>
            </m:r>
          </m:e>
          <m:sub>
            <m:r>
              <m:t>d</m:t>
            </m:r>
          </m:sub>
        </m:sSub>
        <m:r>
          <m:rPr>
            <m:sty m:val="p"/>
          </m:rPr>
          <m:t>=</m:t>
        </m:r>
        <m:r>
          <m:t>.89</m:t>
        </m:r>
      </m:oMath>
      <w:r>
        <w:t xml:space="preserve">;</w:t>
      </w:r>
      <w:r>
        <w:t xml:space="preserve"> </w:t>
      </w:r>
      <m:oMath>
        <m:r>
          <m:t>b</m:t>
        </m:r>
        <m:r>
          <m:rPr>
            <m:sty m:val="p"/>
          </m:rPr>
          <m:t>=</m:t>
        </m:r>
        <m:r>
          <m:rPr>
            <m:sty m:val="p"/>
          </m:rPr>
          <m:t>−</m:t>
        </m:r>
        <m:r>
          <m:t>0.1624</m:t>
        </m:r>
      </m:oMath>
      <w:r>
        <w:t xml:space="preserve">, 95% CrI</w:t>
      </w:r>
      <w:r>
        <w:t xml:space="preserve"> </w:t>
      </w:r>
      <m:oMath>
        <m:r>
          <m:rPr>
            <m:sty m:val="p"/>
          </m:rPr>
          <m:t>[</m:t>
        </m:r>
        <m:r>
          <m:rPr>
            <m:sty m:val="p"/>
          </m:rPr>
          <m:t>−</m:t>
        </m:r>
        <m:r>
          <m:t>0.3309</m:t>
        </m:r>
        <m:r>
          <m:rPr>
            <m:sty m:val="p"/>
          </m:rPr>
          <m:t>,</m:t>
        </m:r>
        <m:r>
          <m:t>0.0000</m:t>
        </m:r>
        <m:r>
          <m:rPr>
            <m:sty m:val="p"/>
          </m:rPr>
          <m:t>]</m:t>
        </m:r>
      </m:oMath>
      <w:r>
        <w:t xml:space="preserve">,</w:t>
      </w:r>
      <w:r>
        <w:t xml:space="preserve"> </w:t>
      </w:r>
      <m:oMath>
        <m:sSub>
          <m:e>
            <m:r>
              <m:t>p</m:t>
            </m:r>
          </m:e>
          <m:sub>
            <m:r>
              <m:t>d</m:t>
            </m:r>
          </m:sub>
        </m:sSub>
        <m:r>
          <m:rPr>
            <m:sty m:val="p"/>
          </m:rPr>
          <m:t>=</m:t>
        </m:r>
        <m:r>
          <m:t>.97</m:t>
        </m:r>
      </m:oMath>
      <w:r>
        <w:t xml:space="preserve">).</w:t>
      </w:r>
      <w:r>
        <w:t xml:space="preserve"> </w:t>
      </w:r>
      <w:r>
        <w:t xml:space="preserve">The reported models carry by-participant slopes for grammaticality and for session but not</w:t>
      </w:r>
      <w:r>
        <w:t xml:space="preserve"> </w:t>
      </w:r>
      <w:r>
        <w:t xml:space="preserve">for their interaction, which is the within-participant change in criterion. Refitted with</w:t>
      </w:r>
      <w:r>
        <w:t xml:space="preserve"> </w:t>
      </w:r>
      <w:r>
        <w:t xml:space="preserve">that slope, the estimates of the difference between the gender-agreement groups’ criteria</w:t>
      </w:r>
      <w:r>
        <w:t xml:space="preserve"> </w:t>
      </w:r>
      <w:r>
        <w:t xml:space="preserve">moved by no more than 0.06 on the logit scale, but their intervals</w:t>
      </w:r>
      <w:r>
        <w:t xml:space="preserve"> </w:t>
      </w:r>
      <w:r>
        <w:t xml:space="preserve">widened, and the difference was credible</w:t>
      </w:r>
      <w:r>
        <w:t xml:space="preserve"> </w:t>
      </w:r>
      <w:r>
        <w:t xml:space="preserve">at no session. At retention it was</w:t>
      </w:r>
      <w:r>
        <w:t xml:space="preserve"> </w:t>
      </w:r>
      <m:oMath>
        <m:r>
          <m:rPr>
            <m:sty m:val="p"/>
          </m:rPr>
          <m:t>Δ</m:t>
        </m:r>
        <m:r>
          <m:rPr>
            <m:sty m:val="p"/>
          </m:rPr>
          <m:t>=</m:t>
        </m:r>
        <m:r>
          <m:rPr>
            <m:sty m:val="p"/>
          </m:rPr>
          <m:t>−</m:t>
        </m:r>
        <m:r>
          <m:t>1.05</m:t>
        </m:r>
      </m:oMath>
      <w:r>
        <w:t xml:space="preserve">, 95% CrI</w:t>
      </w:r>
      <w:r>
        <w:t xml:space="preserve"> </w:t>
      </w:r>
      <m:oMath>
        <m:r>
          <m:rPr>
            <m:sty m:val="p"/>
          </m:rPr>
          <m:t>[</m:t>
        </m:r>
        <m:r>
          <m:rPr>
            <m:sty m:val="p"/>
          </m:rPr>
          <m:t>−</m:t>
        </m:r>
        <m:r>
          <m:t>2.18</m:t>
        </m:r>
        <m:r>
          <m:rPr>
            <m:sty m:val="p"/>
          </m:rPr>
          <m:t>,</m:t>
        </m:r>
        <m:r>
          <m:t>0.11</m:t>
        </m:r>
        <m:r>
          <m:rPr>
            <m:sty m:val="p"/>
          </m:rPr>
          <m:t>]</m:t>
        </m:r>
      </m:oMath>
      <w:r>
        <w:t xml:space="preserve">,</w:t>
      </w:r>
      <w:r>
        <w:t xml:space="preserve"> </w:t>
      </w:r>
      <m:oMath>
        <m:sSub>
          <m:e>
            <m:r>
              <m:t>p</m:t>
            </m:r>
          </m:e>
          <m:sub>
            <m:r>
              <m:t>d</m:t>
            </m:r>
          </m:sub>
        </m:sSub>
        <m:r>
          <m:rPr>
            <m:sty m:val="p"/>
          </m:rPr>
          <m:t>=</m:t>
        </m:r>
        <m:r>
          <m:t>.96</m:t>
        </m:r>
      </m:oMath>
      <w:r>
        <w:t xml:space="preserve">,</w:t>
      </w:r>
      <w:r>
        <w:t xml:space="preserve"> </w:t>
      </w:r>
      <w:r>
        <w:t xml:space="preserve">and averaged over sessions it was</w:t>
      </w:r>
      <w:r>
        <w:t xml:space="preserve"> </w:t>
      </w:r>
      <m:oMath>
        <m:r>
          <m:rPr>
            <m:sty m:val="p"/>
          </m:rPr>
          <m:t>Δ</m:t>
        </m:r>
        <m:r>
          <m:rPr>
            <m:sty m:val="p"/>
          </m:rPr>
          <m:t>=</m:t>
        </m:r>
        <m:r>
          <m:rPr>
            <m:sty m:val="p"/>
          </m:rPr>
          <m:t>−</m:t>
        </m:r>
        <m:r>
          <m:t>0.55</m:t>
        </m:r>
      </m:oMath>
      <w:r>
        <w:t xml:space="preserve">, 95% CrI</w:t>
      </w:r>
      <w:r>
        <w:t xml:space="preserve"> </w:t>
      </w:r>
      <m:oMath>
        <m:r>
          <m:rPr>
            <m:sty m:val="p"/>
          </m:rPr>
          <m:t>[</m:t>
        </m:r>
        <m:r>
          <m:rPr>
            <m:sty m:val="p"/>
          </m:rPr>
          <m:t>−</m:t>
        </m:r>
        <m:r>
          <m:t>1.13</m:t>
        </m:r>
        <m:r>
          <m:rPr>
            <m:sty m:val="p"/>
          </m:rPr>
          <m:t>,</m:t>
        </m:r>
        <m:r>
          <m:t>0.03</m:t>
        </m:r>
        <m:r>
          <m:rPr>
            <m:sty m:val="p"/>
          </m:rPr>
          <m:t>]</m:t>
        </m:r>
      </m:oMath>
      <w:r>
        <w:t xml:space="preserve">,</w:t>
      </w:r>
      <w:r>
        <w:t xml:space="preserve"> </w:t>
      </w:r>
      <m:oMath>
        <m:sSub>
          <m:e>
            <m:r>
              <m:t>p</m:t>
            </m:r>
          </m:e>
          <m:sub>
            <m:r>
              <m:t>d</m:t>
            </m:r>
          </m:sub>
        </m:sSub>
        <m:r>
          <m:rPr>
            <m:sty m:val="p"/>
          </m:rPr>
          <m:t>=</m:t>
        </m:r>
        <m:r>
          <m:t>.97</m:t>
        </m:r>
      </m:oMath>
      <w:r>
        <w:t xml:space="preserve">.</w:t>
      </w:r>
      <w:r>
        <w:t xml:space="preserve"> </w:t>
      </w:r>
      <w:r>
        <w:t xml:space="preserve">The difference in how far the criterion moved between Sessions 2 and 6 was not credible in</w:t>
      </w:r>
      <w:r>
        <w:t xml:space="preserve"> </w:t>
      </w:r>
      <w:r>
        <w:t xml:space="preserve">the refit either</w:t>
      </w:r>
      <w:r>
        <w:t xml:space="preserve"> </w:t>
      </w:r>
      <w:r>
        <w:t xml:space="preserve">(</w:t>
      </w:r>
      <m:oMath>
        <m:r>
          <m:rPr>
            <m:sty m:val="p"/>
          </m:rPr>
          <m:t>Δ</m:t>
        </m:r>
        <m:r>
          <m:rPr>
            <m:sty m:val="p"/>
          </m:rPr>
          <m:t>=</m:t>
        </m:r>
        <m:r>
          <m:rPr>
            <m:sty m:val="p"/>
          </m:rPr>
          <m:t>−</m:t>
        </m:r>
        <m:r>
          <m:t>0.87</m:t>
        </m:r>
      </m:oMath>
      <w:r>
        <w:t xml:space="preserve">, 95% CrI</w:t>
      </w:r>
      <w:r>
        <w:t xml:space="preserve"> </w:t>
      </w:r>
      <m:oMath>
        <m:r>
          <m:rPr>
            <m:sty m:val="p"/>
          </m:rPr>
          <m:t>[</m:t>
        </m:r>
        <m:r>
          <m:rPr>
            <m:sty m:val="p"/>
          </m:rPr>
          <m:t>−</m:t>
        </m:r>
        <m:r>
          <m:t>2.04</m:t>
        </m:r>
        <m:r>
          <m:rPr>
            <m:sty m:val="p"/>
          </m:rPr>
          <m:t>,</m:t>
        </m:r>
        <m:r>
          <m:t>0.33</m:t>
        </m:r>
        <m:r>
          <m:rPr>
            <m:sty m:val="p"/>
          </m:rPr>
          <m:t>]</m:t>
        </m:r>
      </m:oMath>
      <w:r>
        <w:t xml:space="preserve">,</w:t>
      </w:r>
      <w:r>
        <w:t xml:space="preserve"> </w:t>
      </w:r>
      <m:oMath>
        <m:sSub>
          <m:e>
            <m:r>
              <m:t>p</m:t>
            </m:r>
          </m:e>
          <m:sub>
            <m:r>
              <m:t>d</m:t>
            </m:r>
          </m:sub>
        </m:sSub>
        <m:r>
          <m:rPr>
            <m:sty m:val="p"/>
          </m:rPr>
          <m:t>=</m:t>
        </m:r>
        <m:r>
          <m:t>.93</m:t>
        </m:r>
      </m:oMath>
      <w:r>
        <w:t xml:space="preserve">).</w:t>
      </w:r>
      <w:r>
        <w:t xml:space="preserve"> </w:t>
      </w:r>
      <w:r>
        <w:t xml:space="preserve">We therefore grade the criterion difference as suggestive (see</w:t>
      </w:r>
      <w:r>
        <w:t xml:space="preserve"> </w:t>
      </w:r>
      <w:r>
        <w:rPr>
          <w:i/>
          <w:iCs/>
        </w:rPr>
        <w:t xml:space="preserve">Strength of</w:t>
      </w:r>
      <w:r>
        <w:rPr>
          <w:i/>
          <w:iCs/>
        </w:rPr>
        <w:t xml:space="preserve"> </w:t>
      </w:r>
      <w:r>
        <w:rPr>
          <w:i/>
          <w:iCs/>
        </w:rPr>
        <w:t xml:space="preserve">evidence</w:t>
      </w:r>
      <w:r>
        <w:t xml:space="preserve">). Refitted with the ERP models’ crossed by-item term as well, the 54 signal-detection contrasts of the three properties, compared under each by-participant structure in turn, kept their credibility in all but six of the 108 comparisons: the difference between the groups’ changes in sensitivity between Sessions 2 and 6 for gender agreement ceased to be credible (with the reported by-participant structure); the difference between the groups’ changes in sensitivity between Sessions 4 and 6 for gender agreement ceased to be credible (with the reported by-participant structure); the Mini-English group’s change in sensitivity between Sessions 2 and 6 for gender agreement became credible (with the added slope); the Mini-English group’s change in sensitivity between Sessions 4 and 6 for gender agreement became credible (with the added slope); the difference between the groups’ sensitivity for gender agreement at Session 6 ceased to be credible (with the added slope); and the Mini-Norwegian group’s change in criterion between Sessions 4 and 6 for verb–object number agreement ceased to be credible (with the added slope). In each, the interval that excluded zero did so by no more than 0.06 on the logit scale. With both terms, the difference between the gender-agreement groups’ criteria averaged over sessions was</w:t>
      </w:r>
      <w:r>
        <w:t xml:space="preserve"> </w:t>
      </w:r>
      <m:oMath>
        <m:r>
          <m:rPr>
            <m:sty m:val="p"/>
          </m:rPr>
          <m:t>Δ</m:t>
        </m:r>
        <m:r>
          <m:rPr>
            <m:sty m:val="p"/>
          </m:rPr>
          <m:t>=</m:t>
        </m:r>
        <m:r>
          <m:rPr>
            <m:sty m:val="p"/>
          </m:rPr>
          <m:t>−</m:t>
        </m:r>
        <m:r>
          <m:t>0.55</m:t>
        </m:r>
      </m:oMath>
      <w:r>
        <w:t xml:space="preserve">, 95% CrI</w:t>
      </w:r>
      <w:r>
        <w:t xml:space="preserve"> </w:t>
      </w:r>
      <m:oMath>
        <m:r>
          <m:rPr>
            <m:sty m:val="p"/>
          </m:rPr>
          <m:t>[</m:t>
        </m:r>
        <m:r>
          <m:rPr>
            <m:sty m:val="p"/>
          </m:rPr>
          <m:t>−</m:t>
        </m:r>
        <m:r>
          <m:t>1.12</m:t>
        </m:r>
        <m:r>
          <m:rPr>
            <m:sty m:val="p"/>
          </m:rPr>
          <m:t>,</m:t>
        </m:r>
        <m:r>
          <m:t>0.03</m:t>
        </m:r>
        <m:r>
          <m:rPr>
            <m:sty m:val="p"/>
          </m:rPr>
          <m:t>]</m:t>
        </m:r>
      </m:oMath>
      <w:r>
        <w:t xml:space="preserve">,</w:t>
      </w:r>
      <w:r>
        <w:t xml:space="preserve"> </w:t>
      </w:r>
      <m:oMath>
        <m:sSub>
          <m:e>
            <m:r>
              <m:t>p</m:t>
            </m:r>
          </m:e>
          <m:sub>
            <m:r>
              <m:t>d</m:t>
            </m:r>
          </m:sub>
        </m:sSub>
        <m:r>
          <m:rPr>
            <m:sty m:val="p"/>
          </m:rPr>
          <m:t>=</m:t>
        </m:r>
        <m:r>
          <m:t>.97</m:t>
        </m:r>
      </m:oMath>
      <w:r>
        <w:t xml:space="preserve">.</w:t>
      </w:r>
    </w:p>
    <w:p>
      <w:pPr>
        <w:pStyle w:val="BodyText"/>
      </w:pPr>
      <w:r>
        <w:t xml:space="preserve">For differential object marking, sensitivity declined less in the Mini-Norwegian group than</w:t>
      </w:r>
      <w:r>
        <w:t xml:space="preserve"> </w:t>
      </w:r>
      <w:r>
        <w:t xml:space="preserve">in the Mini-English group between Sessions 3 and 6</w:t>
      </w:r>
      <w:r>
        <w:t xml:space="preserve"> </w:t>
      </w:r>
      <w:r>
        <w:t xml:space="preserve">(</w:t>
      </w:r>
      <m:oMath>
        <m:r>
          <m:rPr>
            <m:sty m:val="p"/>
          </m:rPr>
          <m:t>Δ</m:t>
        </m:r>
        <m:r>
          <m:rPr>
            <m:sty m:val="p"/>
          </m:rPr>
          <m:t>=</m:t>
        </m:r>
        <m:r>
          <m:t>2.64</m:t>
        </m:r>
      </m:oMath>
      <w:r>
        <w:t xml:space="preserve">, 95% CrI</w:t>
      </w:r>
      <w:r>
        <w:t xml:space="preserve"> </w:t>
      </w:r>
      <m:oMath>
        <m:r>
          <m:rPr>
            <m:sty m:val="p"/>
          </m:rPr>
          <m:t>[</m:t>
        </m:r>
        <m:r>
          <m:rPr>
            <m:sty m:val="p"/>
          </m:rPr>
          <m:t>−</m:t>
        </m:r>
        <m:r>
          <m:t>0.91</m:t>
        </m:r>
        <m:r>
          <m:rPr>
            <m:sty m:val="p"/>
          </m:rPr>
          <m:t>,</m:t>
        </m:r>
        <m:r>
          <m:t>6.19</m:t>
        </m:r>
        <m:r>
          <m:rPr>
            <m:sty m:val="p"/>
          </m:rPr>
          <m:t>]</m:t>
        </m:r>
      </m:oMath>
      <w:r>
        <w:t xml:space="preserve">,</w:t>
      </w:r>
      <w:r>
        <w:t xml:space="preserve"> </w:t>
      </w:r>
      <m:oMath>
        <m:sSub>
          <m:e>
            <m:r>
              <m:t>p</m:t>
            </m:r>
          </m:e>
          <m:sub>
            <m:r>
              <m:t>d</m:t>
            </m:r>
          </m:sub>
        </m:sSub>
        <m:r>
          <m:rPr>
            <m:sty m:val="p"/>
          </m:rPr>
          <m:t>=</m:t>
        </m:r>
        <m:r>
          <m:t>.93</m:t>
        </m:r>
      </m:oMath>
      <w:r>
        <w:t xml:space="preserve">).</w:t>
      </w:r>
      <w:r>
        <w:t xml:space="preserve"> </w:t>
      </w:r>
      <w:r>
        <w:t xml:space="preserve">Its interval included zero, as it did in the refit with the added slope (</w:t>
      </w:r>
      <m:oMath>
        <m:r>
          <m:rPr>
            <m:sty m:val="p"/>
          </m:rPr>
          <m:t>Δ</m:t>
        </m:r>
        <m:r>
          <m:rPr>
            <m:sty m:val="p"/>
          </m:rPr>
          <m:t>=</m:t>
        </m:r>
        <m:r>
          <m:t>2.03</m:t>
        </m:r>
      </m:oMath>
      <w:r>
        <w:t xml:space="preserve">, 95% CrI</w:t>
      </w:r>
      <w:r>
        <w:t xml:space="preserve"> </w:t>
      </w:r>
      <m:oMath>
        <m:r>
          <m:rPr>
            <m:sty m:val="p"/>
          </m:rPr>
          <m:t>[</m:t>
        </m:r>
        <m:r>
          <m:rPr>
            <m:sty m:val="p"/>
          </m:rPr>
          <m:t>−</m:t>
        </m:r>
        <m:r>
          <m:t>0.81</m:t>
        </m:r>
        <m:r>
          <m:rPr>
            <m:sty m:val="p"/>
          </m:rPr>
          <m:t>,</m:t>
        </m:r>
        <m:r>
          <m:t>4.85</m:t>
        </m:r>
        <m:r>
          <m:rPr>
            <m:sty m:val="p"/>
          </m:rPr>
          <m:t>]</m:t>
        </m:r>
      </m:oMath>
      <w:r>
        <w:t xml:space="preserve">,</w:t>
      </w:r>
      <w:r>
        <w:t xml:space="preserve"> </w:t>
      </w:r>
      <m:oMath>
        <m:sSub>
          <m:e>
            <m:r>
              <m:t>p</m:t>
            </m:r>
          </m:e>
          <m:sub>
            <m:r>
              <m:t>d</m:t>
            </m:r>
          </m:sub>
        </m:sSub>
        <m:r>
          <m:rPr>
            <m:sty m:val="p"/>
          </m:rPr>
          <m:t>=</m:t>
        </m:r>
        <m:r>
          <m:t>.92</m:t>
        </m:r>
      </m:oMath>
      <w:r>
        <w:t xml:space="preserve">) and in the refit that adds the by-item term as well (</w:t>
      </w:r>
      <m:oMath>
        <m:r>
          <m:rPr>
            <m:sty m:val="p"/>
          </m:rPr>
          <m:t>Δ</m:t>
        </m:r>
        <m:r>
          <m:rPr>
            <m:sty m:val="p"/>
          </m:rPr>
          <m:t>=</m:t>
        </m:r>
        <m:r>
          <m:t>2.07</m:t>
        </m:r>
      </m:oMath>
      <w:r>
        <w:t xml:space="preserve">, 95% CrI</w:t>
      </w:r>
      <w:r>
        <w:t xml:space="preserve"> </w:t>
      </w:r>
      <m:oMath>
        <m:r>
          <m:rPr>
            <m:sty m:val="p"/>
          </m:rPr>
          <m:t>[</m:t>
        </m:r>
        <m:r>
          <m:rPr>
            <m:sty m:val="p"/>
          </m:rPr>
          <m:t>−</m:t>
        </m:r>
        <m:r>
          <m:t>0.82</m:t>
        </m:r>
        <m:r>
          <m:rPr>
            <m:sty m:val="p"/>
          </m:rPr>
          <m:t>,</m:t>
        </m:r>
        <m:r>
          <m:t>4.90</m:t>
        </m:r>
        <m:r>
          <m:rPr>
            <m:sty m:val="p"/>
          </m:rPr>
          <m:t>]</m:t>
        </m:r>
      </m:oMath>
      <w:r>
        <w:t xml:space="preserve">,</w:t>
      </w:r>
      <w:r>
        <w:t xml:space="preserve"> </w:t>
      </w:r>
      <m:oMath>
        <m:sSub>
          <m:e>
            <m:r>
              <m:t>p</m:t>
            </m:r>
          </m:e>
          <m:sub>
            <m:r>
              <m:t>d</m:t>
            </m:r>
          </m:sub>
        </m:sSub>
        <m:r>
          <m:rPr>
            <m:sty m:val="p"/>
          </m:rPr>
          <m:t>=</m:t>
        </m:r>
        <m:r>
          <m:t>.92</m:t>
        </m:r>
      </m:oMath>
      <w:r>
        <w:t xml:space="preserve">).</w:t>
      </w:r>
      <w:r>
        <w:t xml:space="preserve"> </w:t>
      </w:r>
      <w:r>
        <w:t xml:space="preserve">Differential object marking is absent from both prior languages, so no account predicts</w:t>
      </w:r>
      <w:r>
        <w:t xml:space="preserve"> </w:t>
      </w:r>
      <w:r>
        <w:t xml:space="preserve">this difference, and we treat it with the other unpredicted control-property effects in the</w:t>
      </w:r>
      <w:r>
        <w:t xml:space="preserve"> </w:t>
      </w:r>
      <w:r>
        <w:t xml:space="preserve">Discussion.</w:t>
      </w:r>
    </w:p>
    <w:p>
      <w:pPr>
        <w:pStyle w:val="BodyText"/>
      </w:pPr>
      <w:r>
        <w:t xml:space="preserve">We also fitted the accuracy models with the reaction-time screen of the project’s earlier</w:t>
      </w:r>
      <w:r>
        <w:t xml:space="preserve"> </w:t>
      </w:r>
      <w:r>
        <w:t xml:space="preserve">preprocessing, which we do not apply (see</w:t>
      </w:r>
      <w:r>
        <w:t xml:space="preserve"> </w:t>
      </w:r>
      <w:r>
        <w:rPr>
          <w:i/>
          <w:iCs/>
        </w:rPr>
        <w:t xml:space="preserve">Grammaticality-judgement task</w:t>
      </w:r>
      <w:r>
        <w:t xml:space="preserve">).</w:t>
      </w:r>
      <w:r>
        <w:t xml:space="preserve"> </w:t>
      </w:r>
      <w:r>
        <w:t xml:space="preserve">On the 33,022 judgement trials the screen keeps (8,159 fewer), the 54 signal-detection contrasts of the three properties kept their credibility in all but six: the difference between the groups’ criterion for gender agreement at Session 3 became credible; the difference between the groups’ changes in sensitivity between Sessions 2 and 6 for gender agreement ceased to be credible; the difference between the groups’ changes in sensitivity between Sessions 4 and 6 for gender agreement ceased to be credible; the difference between the groups’ sensitivity for gender agreement at Session 6 ceased to be credible; the difference between the groups’ changes in sensitivity between Sessions 3 and 6 for differential object marking became credible; and the difference between the groups’ changes in sensitivity between Sessions 4 and 6 for differential object marking became credible. In each, the interval that excluded zero did so by no more than 0.11 on the logit scale. Two of the 24 population-level terms of the three models changed its relation to zero. With the screen, the difference between the gender-agreement groups’ criteria averaged over sessions was</w:t>
      </w:r>
      <w:r>
        <w:t xml:space="preserve"> </w:t>
      </w:r>
      <m:oMath>
        <m:r>
          <m:rPr>
            <m:sty m:val="p"/>
          </m:rPr>
          <m:t>Δ</m:t>
        </m:r>
        <m:r>
          <m:rPr>
            <m:sty m:val="p"/>
          </m:rPr>
          <m:t>=</m:t>
        </m:r>
        <m:r>
          <m:rPr>
            <m:sty m:val="p"/>
          </m:rPr>
          <m:t>−</m:t>
        </m:r>
        <m:r>
          <m:t>0.76</m:t>
        </m:r>
      </m:oMath>
      <w:r>
        <w:t xml:space="preserve">, 95% CrI</w:t>
      </w:r>
      <w:r>
        <w:t xml:space="preserve"> </w:t>
      </w:r>
      <m:oMath>
        <m:r>
          <m:rPr>
            <m:sty m:val="p"/>
          </m:rPr>
          <m:t>[</m:t>
        </m:r>
        <m:r>
          <m:rPr>
            <m:sty m:val="p"/>
          </m:rPr>
          <m:t>−</m:t>
        </m:r>
        <m:r>
          <m:t>1.36</m:t>
        </m:r>
        <m:r>
          <m:rPr>
            <m:sty m:val="p"/>
          </m:rPr>
          <m:t>,</m:t>
        </m:r>
        <m:r>
          <m:rPr>
            <m:sty m:val="p"/>
          </m:rPr>
          <m:t>−</m:t>
        </m:r>
        <m:r>
          <m:t>0.17</m:t>
        </m:r>
        <m:r>
          <m:rPr>
            <m:sty m:val="p"/>
          </m:rPr>
          <m:t>]</m:t>
        </m:r>
      </m:oMath>
      <w:r>
        <w:t xml:space="preserve">,</w:t>
      </w:r>
      <w:r>
        <w:t xml:space="preserve"> </w:t>
      </w:r>
      <m:oMath>
        <m:sSub>
          <m:e>
            <m:r>
              <m:t>p</m:t>
            </m:r>
          </m:e>
          <m:sub>
            <m:r>
              <m:t>d</m:t>
            </m:r>
          </m:sub>
        </m:sSub>
        <m:r>
          <m:rPr>
            <m:sty m:val="p"/>
          </m:rPr>
          <m:t>=</m:t>
        </m:r>
        <m:r>
          <m:t>.99</m:t>
        </m:r>
      </m:oMath>
      <w:r>
        <w:t xml:space="preserve">, against</w:t>
      </w:r>
      <w:r>
        <w:t xml:space="preserve"> </w:t>
      </w:r>
      <m:oMath>
        <m:r>
          <m:rPr>
            <m:sty m:val="p"/>
          </m:rPr>
          <m:t>Δ</m:t>
        </m:r>
        <m:r>
          <m:rPr>
            <m:sty m:val="p"/>
          </m:rPr>
          <m:t>=</m:t>
        </m:r>
        <m:r>
          <m:rPr>
            <m:sty m:val="p"/>
          </m:rPr>
          <m:t>−</m:t>
        </m:r>
        <m:r>
          <m:t>0.55</m:t>
        </m:r>
      </m:oMath>
      <w:r>
        <w:t xml:space="preserve"> </w:t>
      </w:r>
      <w:r>
        <w:t xml:space="preserve">without it.</w:t>
      </w:r>
    </w:p>
    <w:bookmarkEnd w:id="121"/>
    <w:bookmarkStart w:id="126" w:name="X73cfc9f61bbd58eea69c4c192b93eda5b8ec668"/>
    <w:p>
      <w:pPr>
        <w:pStyle w:val="Heading2"/>
      </w:pPr>
      <w:r>
        <w:t xml:space="preserve">Multivariate decoding of grammaticality</w:t>
      </w:r>
    </w:p>
    <w:p>
      <w:pPr>
        <w:pStyle w:val="FirstParagraph"/>
      </w:pPr>
      <w:r>
        <w:t xml:space="preserve">We decoded</w:t>
      </w:r>
      <w:r>
        <w:t xml:space="preserve"> </w:t>
      </w:r>
      <w:r>
        <w:t xml:space="preserve">Grammatical from Ungrammatical trials at each time sample (leave-one-participant-out</w:t>
      </w:r>
      <w:r>
        <w:t xml:space="preserve"> </w:t>
      </w:r>
      <w:r>
        <w:t xml:space="preserve">AUC;</w:t>
      </w:r>
      <w:r>
        <w:t xml:space="preserve"> </w:t>
      </w:r>
      <w:hyperlink w:anchor="fig-decoding">
        <w:r>
          <w:rPr>
            <w:rStyle w:val="Hyperlink"/>
          </w:rPr>
          <w:t xml:space="preserve">Figure 12</w:t>
        </w:r>
      </w:hyperlink>
      <w:r>
        <w:t xml:space="preserve">). Error was controlled across time within each analysis by</w:t>
      </w:r>
      <w:r>
        <w:t xml:space="preserve"> </w:t>
      </w:r>
      <w:r>
        <w:t xml:space="preserve">cluster-based permutation and, within each property, across the clusters of its pooled</w:t>
      </w:r>
      <w:r>
        <w:t xml:space="preserve"> </w:t>
      </w:r>
      <w:r>
        <w:t xml:space="preserve">overall time-course by Benjamini–Hochberg FDR (the confirmatory correction family; see</w:t>
      </w:r>
      <w:r>
        <w:t xml:space="preserve"> </w:t>
      </w:r>
      <w:r>
        <w:rPr>
          <w:i/>
          <w:iCs/>
        </w:rPr>
        <w:t xml:space="preserve">Transparency, preregistration and analysis status</w:t>
      </w:r>
      <w:r>
        <w:t xml:space="preserve">). A significant</w:t>
      </w:r>
      <w:r>
        <w:t xml:space="preserve"> </w:t>
      </w:r>
      <w:r>
        <w:t xml:space="preserve">cluster licenses only that the grammaticality time-course as a whole departs from</w:t>
      </w:r>
      <w:r>
        <w:t xml:space="preserve"> </w:t>
      </w:r>
      <w:r>
        <w:t xml:space="preserve">chance. The temporal boundaries of a surviving cluster are not themselves inferential</w:t>
      </w:r>
      <w:r>
        <w:t xml:space="preserve"> </w:t>
      </w:r>
      <w:r>
        <w:t xml:space="preserve">claims about the onset, offset or duration of the effect</w:t>
      </w:r>
      <w:r>
        <w:t xml:space="preserve"> </w:t>
      </w:r>
      <w:r>
        <w:t xml:space="preserve">(</w:t>
      </w:r>
      <w:hyperlink w:anchor="ref-sassenhagen2019cluster">
        <w:r>
          <w:rPr>
            <w:rStyle w:val="Hyperlink"/>
          </w:rPr>
          <w:t xml:space="preserve">Sassenhagen &amp; Draschkow, 2019</w:t>
        </w:r>
      </w:hyperlink>
      <w:r>
        <w:t xml:space="preserve">)</w:t>
      </w:r>
      <w:r>
        <w:t xml:space="preserve">, and</w:t>
      </w:r>
      <w:r>
        <w:t xml:space="preserve"> </w:t>
      </w:r>
      <w:r>
        <w:t xml:space="preserve">we do not read them as such.</w:t>
      </w:r>
      <w:r>
        <w:t xml:space="preserve"> </w:t>
      </w:r>
    </w:p>
    <w:bookmarkStart w:id="125" w:name="fig-decoding"/>
    <w:p>
      <w:pPr>
        <w:pStyle w:val="FigureTitle"/>
      </w:pPr>
      <w:r>
        <w:t xml:space="preserve">Figure 12</w:t>
      </w:r>
    </w:p>
    <w:p>
      <w:pPr>
        <w:pStyle w:val="Caption"/>
      </w:pPr>
      <w:r>
        <w:t xml:space="preserve">Time-Resolved Decoding of Grammaticality for Each Property</w:t>
      </w:r>
    </w:p>
    <w:p>
      <w:pPr>
        <w:pStyle w:val="FigureWithNote"/>
      </w:pPr>
      <w:r>
        <w:drawing>
          <wp:inline>
            <wp:extent cx="5943600" cy="4754879"/>
            <wp:effectExtent b="0" l="0" r="0" t="0"/>
            <wp:docPr descr="" title="" id="123" name="Picture"/>
            <a:graphic>
              <a:graphicData uri="http://schemas.openxmlformats.org/drawingml/2006/picture">
                <pic:pic>
                  <pic:nvPicPr>
                    <pic:cNvPr descr="paper_1_morphosyntax_files/figure-docx/fig-decoding-1.png" id="124" name="Picture"/>
                    <pic:cNvPicPr>
                      <a:picLocks noChangeArrowheads="1" noChangeAspect="1"/>
                    </pic:cNvPicPr>
                  </pic:nvPicPr>
                  <pic:blipFill>
                    <a:blip r:embed="rId122"/>
                    <a:stretch>
                      <a:fillRect/>
                    </a:stretch>
                  </pic:blipFill>
                  <pic:spPr bwMode="auto">
                    <a:xfrm>
                      <a:off x="0" y="0"/>
                      <a:ext cx="5943600" cy="4754879"/>
                    </a:xfrm>
                    <a:prstGeom prst="rect">
                      <a:avLst/>
                    </a:prstGeom>
                    <a:noFill/>
                    <a:ln w="9525">
                      <a:noFill/>
                      <a:headEnd/>
                      <a:tailEnd/>
                    </a:ln>
                  </pic:spPr>
                </pic:pic>
              </a:graphicData>
            </a:graphic>
          </wp:inline>
        </w:drawing>
      </w:r>
    </w:p>
    <w:bookmarkEnd w:id="125"/>
    <w:p>
      <w:pPr>
        <w:pStyle w:val="FigureNote"/>
      </w:pPr>
      <w:r>
        <w:rPr>
          <w:i/>
          <w:iCs/>
        </w:rPr>
        <w:t xml:space="preserve">Note</w:t>
      </w:r>
      <w:r>
        <w:t xml:space="preserve">. Lines are leave-one-participant-out decoding AUC (area under the receiver operating characteristic curve) for grammatical against ungrammatical trials at each 4-ms sample, all sessions pooled (the confirmatory analysis). The solid grey horizontal line marks chance (AUC = 0.5) and the dashed line the cluster-forming threshold, the 95th percentile of the pooled within-participant permutation null. Black bars below each time-course mark the extent of the clusters that survive Benjamini–Hochberg false-discovery-rate (FDR) correction (</w:t>
      </w:r>
      <w:r>
        <w:rPr>
          <w:i/>
          <w:iCs/>
        </w:rPr>
        <w:t xml:space="preserve">q</w:t>
      </w:r>
      <w:r>
        <w:t xml:space="preserve"> </w:t>
      </w:r>
      <w:r>
        <w:t xml:space="preserve">&lt; .05) across the clusters of that property’s time-course, and the text in each panel gives their number and adjusted cluster-level</w:t>
      </w:r>
      <w:r>
        <w:t xml:space="preserve"> </w:t>
      </w:r>
      <w:r>
        <w:rPr>
          <w:i/>
          <w:iCs/>
        </w:rPr>
        <w:t xml:space="preserve">p</w:t>
      </w:r>
      <w:r>
        <w:t xml:space="preserve"> </w:t>
      </w:r>
      <w:r>
        <w:t xml:space="preserve">values (</w:t>
      </w:r>
      <w:r>
        <w:rPr>
          <w:i/>
          <w:iCs/>
        </w:rPr>
        <w:t xml:space="preserve">q</w:t>
      </w:r>
      <w:r>
        <w:t xml:space="preserve">). Grey bars mark clusters that pass the maximum-cluster permutation test (</w:t>
      </w:r>
      <w:r>
        <w:rPr>
          <w:i/>
          <w:iCs/>
        </w:rPr>
        <w:t xml:space="preserve">p</w:t>
      </w:r>
      <w:r>
        <w:t xml:space="preserve"> </w:t>
      </w:r>
      <w:r>
        <w:t xml:space="preserve">&lt; .05), which controls the family-wise error rate across time, but not the second, FDR layer. A bar marks cluster membership, not sample-by-sample significance, and its edges are not estimates of onset or offset. The vertical grey line marks critical-word onset (0 ms), and the shaded interval before it is a negative control, in which decoding should sit at chance. The AUC is a point estimate: the pipeline records no per-fold dispersion, so no uncertainty band is drawn. All panels share one vertical scale.</w:t>
      </w:r>
    </w:p>
    <w:p>
      <w:pPr>
        <w:pStyle w:val="BodyText"/>
      </w:pPr>
      <w:r>
        <w:t xml:space="preserve">The three properties differed here too, though the ordering of their raw separability has</w:t>
      </w:r>
      <w:r>
        <w:t xml:space="preserve"> </w:t>
      </w:r>
      <w:r>
        <w:t xml:space="preserve">to be read against the pre-stimulus baseline.</w:t>
      </w:r>
      <w:r>
        <w:t xml:space="preserve"> </w:t>
      </w:r>
      <w:r>
        <w:t xml:space="preserve">Differential object marking, whose univariate signature was the weakest and</w:t>
      </w:r>
      <w:r>
        <w:t xml:space="preserve"> </w:t>
      </w:r>
      <w:r>
        <w:t xml:space="preserve">shortest-lived, was by far the most separable, though not necessarily by a violation</w:t>
      </w:r>
      <w:r>
        <w:t xml:space="preserve"> </w:t>
      </w:r>
      <w:r>
        <w:t xml:space="preserve">response: its overall time-course carried</w:t>
      </w:r>
      <w:r>
        <w:t xml:space="preserve"> </w:t>
      </w:r>
      <w:r>
        <w:t xml:space="preserve">two clusters surviving FDR correction, peaking post-stimulus at AUC</w:t>
      </w:r>
      <w:r>
        <w:t xml:space="preserve"> </w:t>
      </w:r>
      <w:r>
        <w:t xml:space="preserve">0.58 (at 246 ms;</w:t>
      </w:r>
      <w:r>
        <w:t xml:space="preserve"> </w:t>
      </w:r>
      <w:hyperlink w:anchor="fig-decoding">
        <w:r>
          <w:rPr>
            <w:rStyle w:val="Hyperlink"/>
          </w:rPr>
          <w:t xml:space="preserve">Figure 12</w:t>
        </w:r>
      </w:hyperlink>
      <w:r>
        <w:t xml:space="preserve">). The pre-stimulus baseline should sit at chance. For the other properties,</w:t>
      </w:r>
      <w:r>
        <w:t xml:space="preserve"> </w:t>
      </w:r>
      <w:r>
        <w:t xml:space="preserve">no cluster reaching into it passed the maximum-cluster</w:t>
      </w:r>
      <w:r>
        <w:t xml:space="preserve"> </w:t>
      </w:r>
      <w:r>
        <w:t xml:space="preserve">test,</w:t>
      </w:r>
      <w:r>
        <w:t xml:space="preserve"> </w:t>
      </w:r>
      <w:r>
        <w:t xml:space="preserve">but differential object marking’s pre-stimulus AUC averaged</w:t>
      </w:r>
      <w:r>
        <w:t xml:space="preserve"> </w:t>
      </w:r>
      <w:r>
        <w:t xml:space="preserve">0.55 with</w:t>
      </w:r>
      <w:r>
        <w:t xml:space="preserve"> </w:t>
      </w:r>
      <w:r>
        <w:t xml:space="preserve">21 samples surviving FDR before the critical word. Its</w:t>
      </w:r>
      <w:r>
        <w:t xml:space="preserve"> </w:t>
      </w:r>
      <w:r>
        <w:t xml:space="preserve">highest AUC anywhere in the epoch falls in that baseline</w:t>
      </w:r>
      <w:r>
        <w:t xml:space="preserve"> </w:t>
      </w:r>
      <w:r>
        <w:t xml:space="preserve">(0.60), above its post-stimulus peak.</w:t>
      </w:r>
      <w:r>
        <w:t xml:space="preserve"> </w:t>
      </w:r>
      <w:r>
        <w:t xml:space="preserve">Part of the differential-object-marking separability therefore precedes the stimulus</w:t>
      </w:r>
      <w:r>
        <w:t xml:space="preserve"> </w:t>
      </w:r>
      <w:r>
        <w:t xml:space="preserve">and may reflect a low-level difference between conditions, for instance the physical</w:t>
      </w:r>
      <w:r>
        <w:t xml:space="preserve"> </w:t>
      </w:r>
      <w:r>
        <w:t xml:space="preserve">presence of the object marker in the preceding region, and need not reflect a violation</w:t>
      </w:r>
      <w:r>
        <w:t xml:space="preserve"> </w:t>
      </w:r>
      <w:r>
        <w:t xml:space="preserve">response. Peak AUCs are quoted on the post-stimulus axis for this reason. The extents</w:t>
      </w:r>
      <w:r>
        <w:t xml:space="preserve"> </w:t>
      </w:r>
      <w:r>
        <w:t xml:space="preserve">of the surviving clusters make the limit concrete: one lies wholly before the critical</w:t>
      </w:r>
      <w:r>
        <w:t xml:space="preserve"> </w:t>
      </w:r>
      <w:r>
        <w:t xml:space="preserve">word (</w:t>
      </w:r>
      <m:oMath>
        <m:r>
          <m:rPr>
            <m:sty m:val="p"/>
          </m:rPr>
          <m:t>−</m:t>
        </m:r>
        <m:r>
          <m:t>98</m:t>
        </m:r>
      </m:oMath>
      <w:r>
        <w:t xml:space="preserve"> </w:t>
      </w:r>
      <w:r>
        <w:t xml:space="preserve">to</w:t>
      </w:r>
      <w:r>
        <w:t xml:space="preserve"> </w:t>
      </w:r>
      <m:oMath>
        <m:r>
          <m:rPr>
            <m:sty m:val="p"/>
          </m:rPr>
          <m:t>−</m:t>
        </m:r>
        <m:r>
          <m:t>62</m:t>
        </m:r>
      </m:oMath>
      <w:r>
        <w:t xml:space="preserve"> </w:t>
      </w:r>
      <w:r>
        <w:t xml:space="preserve">ms) and the other begins just before</w:t>
      </w:r>
      <w:r>
        <w:t xml:space="preserve"> </w:t>
      </w:r>
      <w:r>
        <w:t xml:space="preserve">onset and spans the epoch (</w:t>
      </w:r>
      <m:oMath>
        <m:r>
          <m:rPr>
            <m:sty m:val="p"/>
          </m:rPr>
          <m:t>−</m:t>
        </m:r>
        <m:r>
          <m:t>42</m:t>
        </m:r>
      </m:oMath>
      <w:r>
        <w:t xml:space="preserve"> </w:t>
      </w:r>
      <w:r>
        <w:t xml:space="preserve">to 1098 ms). The</w:t>
      </w:r>
      <w:r>
        <w:t xml:space="preserve"> </w:t>
      </w:r>
      <w:r>
        <w:t xml:space="preserve">cluster test cannot attribute any part of the surviving separability specifically to a</w:t>
      </w:r>
      <w:r>
        <w:t xml:space="preserve"> </w:t>
      </w:r>
      <w:r>
        <w:t xml:space="preserve">violation response. What it establishes is that the conditions are separable throughout</w:t>
      </w:r>
      <w:r>
        <w:t xml:space="preserve"> </w:t>
      </w:r>
      <w:r>
        <w:t xml:space="preserve">the trial. Nor does the pre-stimulus level bound how much that difference contributes after</w:t>
      </w:r>
      <w:r>
        <w:t xml:space="preserve"> </w:t>
      </w:r>
      <w:r>
        <w:t xml:space="preserve">onset, because the response to the preceding word continues into the epoch and need not keep</w:t>
      </w:r>
      <w:r>
        <w:t xml:space="preserve"> </w:t>
      </w:r>
      <w:r>
        <w:t xml:space="preserve">its pre-stimulus strength or pattern there. The temporal-generalisation matrix shows how this separability is organised in time. Decoders trained in the first third of the baseline classified its last third at a mean AUC of 0.44, below chance, so the pattern separating the conditions reversed within the baseline. Each trial’s baseline mean is subtracted from the decoder’s input, which makes the conditions’ difference average to zero over that interval, so a difference that changes across it must reverse there. Decoders trained in the last third of the baseline classified the first 100 ms after onset at 0.52, so that pattern carried across onset. From 200 ms to the end of the epoch a different pattern held. Decoders trained there classified the other latencies of that span at 0.54, whereas those trained in the last third of the baseline classified it at 0.50. The response to the differing preceding word overlaps the epoch, and the subtraction carries the conditions’ difference in the baseline mean into every later sample, so the matrix cannot attribute that later pattern to a violation response. No null distribution was computed for the matrix, so these values are descriptive.</w:t>
      </w:r>
      <w:r>
        <w:t xml:space="preserve"> </w:t>
      </w:r>
      <w:r>
        <w:t xml:space="preserve">Gender agreement, whose amplitude effect was credible in the region-averaged models,</w:t>
      </w:r>
      <w:r>
        <w:t xml:space="preserve"> </w:t>
      </w:r>
      <w:r>
        <w:t xml:space="preserve">produced no clusters in its pooled time-course</w:t>
      </w:r>
      <w:r>
        <w:t xml:space="preserve"> </w:t>
      </w:r>
      <w:r>
        <w:t xml:space="preserve">surviving the confirmatory correction (</w:t>
      </w:r>
      <w:hyperlink w:anchor="fig-decoding">
        <w:r>
          <w:rPr>
            <w:rStyle w:val="Hyperlink"/>
          </w:rPr>
          <w:t xml:space="preserve">Figure 12</w:t>
        </w:r>
      </w:hyperlink>
      <w:r>
        <w:t xml:space="preserve">). Of its 17 clusters, four passed the maximum-cluster test on its own (378 to 418 ms, 438 to 474 ms, 534 to 602 ms and 950 to 1062 ms, with cluster-level</w:t>
      </w:r>
      <w:r>
        <w:t xml:space="preserve"> </w:t>
      </w:r>
      <m:oMath>
        <m:r>
          <m:t>p</m:t>
        </m:r>
      </m:oMath>
      <w:r>
        <w:t xml:space="preserve"> </w:t>
      </w:r>
      <w:r>
        <w:t xml:space="preserve">from .003 to .030), but the second layer removed them all, the smallest adjusted value being</w:t>
      </w:r>
      <w:r>
        <w:t xml:space="preserve"> </w:t>
      </w:r>
      <m:oMath>
        <m:r>
          <m:t>q</m:t>
        </m:r>
        <m:r>
          <m:rPr>
            <m:sty m:val="p"/>
          </m:rPr>
          <m:t>=</m:t>
        </m:r>
        <m:r>
          <m:t>.051</m:t>
        </m:r>
      </m:oMath>
      <w:r>
        <w:t xml:space="preserve">.</w:t>
      </w:r>
      <w:r>
        <w:t xml:space="preserve"> </w:t>
      </w:r>
      <w:r>
        <w:t xml:space="preserve">It peaked post-stimulus at AUC 0.53 (at</w:t>
      </w:r>
      <w:r>
        <w:t xml:space="preserve"> </w:t>
      </w:r>
      <w:r>
        <w:t xml:space="preserve">970 ms). Its pre-stimulus baseline sat at</w:t>
      </w:r>
      <w:r>
        <w:t xml:space="preserve"> </w:t>
      </w:r>
      <w:r>
        <w:t xml:space="preserve">chance, so, unlike differential object marking, it</w:t>
      </w:r>
      <w:r>
        <w:t xml:space="preserve"> </w:t>
      </w:r>
      <w:r>
        <w:t xml:space="preserve">carries no separability that precedes the critical word, and none of its clusters can be</w:t>
      </w:r>
      <w:r>
        <w:t xml:space="preserve"> </w:t>
      </w:r>
      <w:r>
        <w:t xml:space="preserve">attributed to a difference in the region before it. Verb–object number agreement produced</w:t>
      </w:r>
      <w:r>
        <w:t xml:space="preserve"> </w:t>
      </w:r>
      <w:r>
        <w:t xml:space="preserve">no clusters surviving correction in its pooled</w:t>
      </w:r>
      <w:r>
        <w:t xml:space="preserve"> </w:t>
      </w:r>
      <w:r>
        <w:t xml:space="preserve">time-course (smallest cluster-level</w:t>
      </w:r>
      <w:r>
        <w:t xml:space="preserve"> </w:t>
      </w:r>
      <m:oMath>
        <m:r>
          <m:t>p</m:t>
        </m:r>
        <m:r>
          <m:rPr>
            <m:sty m:val="p"/>
          </m:rPr>
          <m:t>=</m:t>
        </m:r>
        <m:r>
          <m:t>.085</m:t>
        </m:r>
      </m:oMath>
      <w:r>
        <w:t xml:space="preserve"> </w:t>
      </w:r>
      <w:r>
        <w:t xml:space="preserve">across all its analyses,</w:t>
      </w:r>
      <w:r>
        <w:t xml:space="preserve"> </w:t>
      </w:r>
      <w:r>
        <w:t xml:space="preserve">before or after correction, and peak overall AUC</w:t>
      </w:r>
      <w:r>
        <w:t xml:space="preserve"> </w:t>
      </w:r>
      <w:r>
        <w:t xml:space="preserve">0.53). In the robustness analysis, which leaves out the reprocessed and recovered records, the confirmatory decisions were the same. The numbers of clusters surviving both layers were zero, two and zero for gender agreement, differential object marking and verb–object number agreement, and the numbers passing the maximum-cluster test, whether or not they survived the second layer, were two, two and zero (four, two and zero in the primary analysis). Cross-language generalisation, in which the</w:t>
      </w:r>
      <w:r>
        <w:t xml:space="preserve"> </w:t>
      </w:r>
      <w:r>
        <w:t xml:space="preserve">decoder is trained on one mini-language and tested on the other, peaked post-stimulus at</w:t>
      </w:r>
      <w:r>
        <w:t xml:space="preserve"> </w:t>
      </w:r>
      <w:r>
        <w:t xml:space="preserve">AUC 0.53 for gender agreement,</w:t>
      </w:r>
      <w:r>
        <w:t xml:space="preserve"> </w:t>
      </w:r>
      <w:r>
        <w:t xml:space="preserve">0.58 for differential object marking and</w:t>
      </w:r>
      <w:r>
        <w:t xml:space="preserve"> </w:t>
      </w:r>
      <w:r>
        <w:t xml:space="preserve">0.53 for verb–object number agreement. Those</w:t>
      </w:r>
      <w:r>
        <w:t xml:space="preserve"> </w:t>
      </w:r>
      <w:r>
        <w:t xml:space="preserve">values, and the temporal-generalisation ones, are descriptive. The generalisation AUCs are</w:t>
      </w:r>
      <w:r>
        <w:t xml:space="preserve"> </w:t>
      </w:r>
      <w:r>
        <w:t xml:space="preserve">computed over test trials pooled across participants, so, unlike the time-course AUC, they</w:t>
      </w:r>
      <w:r>
        <w:t xml:space="preserve"> </w:t>
      </w:r>
      <w:r>
        <w:t xml:space="preserve">can be moved by differences between participants in class balance or in their overall</w:t>
      </w:r>
      <w:r>
        <w:t xml:space="preserve"> </w:t>
      </w:r>
      <w:r>
        <w:t xml:space="preserve">classifier scores. No permutation null was</w:t>
      </w:r>
      <w:r>
        <w:t xml:space="preserve"> </w:t>
      </w:r>
      <w:r>
        <w:t xml:space="preserve">computed for them, so we treat them as converging context and do not read the transfer</w:t>
      </w:r>
      <w:r>
        <w:t xml:space="preserve"> </w:t>
      </w:r>
      <w:r>
        <w:t xml:space="preserve">question off them.</w:t>
      </w:r>
      <w:r>
        <w:t xml:space="preserve"> </w:t>
      </w:r>
      <w:r>
        <w:t xml:space="preserve">Cross-property generalisation stayed close to chance (peak post-stimulus AUC</w:t>
      </w:r>
      <w:r>
        <w:t xml:space="preserve"> </w:t>
      </w:r>
      <w:r>
        <w:t xml:space="preserve">0.54 across all six train–test pairs, reached when a decoder trained on</w:t>
      </w:r>
      <w:r>
        <w:t xml:space="preserve"> </w:t>
      </w:r>
      <w:r>
        <w:t xml:space="preserve">gender agreement was tested on differential object marking). This too is descriptive. It has</w:t>
      </w:r>
      <w:r>
        <w:t xml:space="preserve"> </w:t>
      </w:r>
      <w:r>
        <w:t xml:space="preserve">no permutation null, and because every participant contributes trials to all</w:t>
      </w:r>
      <w:r>
        <w:t xml:space="preserve"> </w:t>
      </w:r>
      <w:r>
        <w:t xml:space="preserve">three properties, the train and test sets are not participant-independent. Its</w:t>
      </w:r>
      <w:r>
        <w:t xml:space="preserve"> </w:t>
      </w:r>
      <w:r>
        <w:t xml:space="preserve">theoretical reading is taken up in the Discussion. Because each per-cell decoding</w:t>
      </w:r>
      <w:r>
        <w:t xml:space="preserve"> </w:t>
      </w:r>
      <w:r>
        <w:t xml:space="preserve">score is a mean cross-validated AUC estimated on cells of differing and sometimes</w:t>
      </w:r>
      <w:r>
        <w:t xml:space="preserve"> </w:t>
      </w:r>
      <w:r>
        <w:t xml:space="preserve">small participant numbers, the</w:t>
      </w:r>
      <w:r>
        <w:t xml:space="preserve"> </w:t>
      </w:r>
      <w:r>
        <w:t xml:space="preserve">ordering across properties is provisional, and every cluster-level decision reported here</w:t>
      </w:r>
      <w:r>
        <w:t xml:space="preserve"> </w:t>
      </w:r>
      <w:r>
        <w:t xml:space="preserve">rests on the well-populated pooled time-course</w:t>
      </w:r>
      <w:r>
        <w:t xml:space="preserve"> </w:t>
      </w:r>
      <w:r>
        <w:t xml:space="preserve">(</w:t>
      </w:r>
      <w:hyperlink w:anchor="ref-varoquaux2018">
        <w:r>
          <w:rPr>
            <w:rStyle w:val="Hyperlink"/>
          </w:rPr>
          <w:t xml:space="preserve">Varoquaux, 2018</w:t>
        </w:r>
      </w:hyperlink>
      <w:r>
        <w:t xml:space="preserve">)</w:t>
      </w:r>
      <w:r>
        <w:t xml:space="preserve">.</w:t>
      </w:r>
    </w:p>
    <w:bookmarkEnd w:id="126"/>
    <w:bookmarkEnd w:id="127"/>
    <w:bookmarkStart w:id="136" w:name="discussion"/>
    <w:p>
      <w:pPr>
        <w:pStyle w:val="Heading1"/>
      </w:pPr>
      <w:r>
        <w:t xml:space="preserve">Discussion</w:t>
      </w:r>
    </w:p>
    <w:p>
      <w:pPr>
        <w:pStyle w:val="FirstParagraph"/>
      </w:pPr>
      <w:r>
        <w:t xml:space="preserve">Two groups of Norwegian–English bilinguals learned miniature languages that shared their</w:t>
      </w:r>
      <w:r>
        <w:t xml:space="preserve"> </w:t>
      </w:r>
      <w:r>
        <w:t xml:space="preserve">grammatical morphemes but differed in lexicon and in where gender was marked. For gender</w:t>
      </w:r>
      <w:r>
        <w:t xml:space="preserve"> </w:t>
      </w:r>
      <w:r>
        <w:t xml:space="preserve">agreement, the one property Norwegian has and English lacks, the Mini-Norwegian group was</w:t>
      </w:r>
      <w:r>
        <w:t xml:space="preserve"> </w:t>
      </w:r>
      <w:r>
        <w:t xml:space="preserve">not more sensitive than the Mini-English group. In the judgements, the Mini-Norwegian group was credibly less sensitive to gender agreement only at Session 6.</w:t>
      </w:r>
      <w:r>
        <w:t xml:space="preserve"> </w:t>
      </w:r>
      <w:r>
        <w:t xml:space="preserve">In the ERP response, the grammaticality</w:t>
      </w:r>
      <w:r>
        <w:t xml:space="preserve"> </w:t>
      </w:r>
      <m:oMath>
        <m:r>
          <m:rPr>
            <m:sty m:val="p"/>
          </m:rPr>
          <m:t>×</m:t>
        </m:r>
      </m:oMath>
      <w:r>
        <w:t xml:space="preserve"> </w:t>
      </w:r>
      <w:r>
        <w:t xml:space="preserve">language term was credible</w:t>
      </w:r>
      <w:r>
        <w:t xml:space="preserve"> </w:t>
      </w:r>
      <w:r>
        <w:t xml:space="preserve">in 0 of 6</w:t>
      </w:r>
      <w:r>
        <w:t xml:space="preserve"> </w:t>
      </w:r>
      <w:r>
        <w:t xml:space="preserve">gender-agreement cells (</w:t>
      </w:r>
      <w:hyperlink w:anchor="fig-erp-forest">
        <w:r>
          <w:rPr>
            <w:rStyle w:val="Hyperlink"/>
          </w:rPr>
          <w:t xml:space="preserve">Figure 7</w:t>
        </w:r>
      </w:hyperlink>
      <w:r>
        <w:t xml:space="preserve">, second row), and its development across sessions, the 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term, in</w:t>
      </w:r>
      <w:r>
        <w:t xml:space="preserve"> </w:t>
      </w:r>
      <w:r>
        <w:t xml:space="preserve">0 of 6.</w:t>
      </w:r>
      <w:r>
        <w:t xml:space="preserve"> </w:t>
      </w:r>
      <w:r>
        <w:t xml:space="preserve">In the reported models, the groups differed more clearly in their response criterion. In the</w:t>
      </w:r>
      <w:r>
        <w:t xml:space="preserve"> </w:t>
      </w:r>
      <w:r>
        <w:t xml:space="preserve">later sessions, Mini-Norwegian learners judged gender-agreement sentences grammatical more</w:t>
      </w:r>
      <w:r>
        <w:t xml:space="preserve"> </w:t>
      </w:r>
      <w:r>
        <w:t xml:space="preserve">readily than Mini-English learners did, ungrammatical ones included, although that difference</w:t>
      </w:r>
      <w:r>
        <w:t xml:space="preserve"> </w:t>
      </w:r>
      <w:r>
        <w:t xml:space="preserve">was not credible once each learner’s change in criterion was modelled, and we grade it as</w:t>
      </w:r>
      <w:r>
        <w:t xml:space="preserve"> </w:t>
      </w:r>
      <w:r>
        <w:t xml:space="preserve">suggestive. Neither control property showed a</w:t>
      </w:r>
      <w:r>
        <w:t xml:space="preserve"> </w:t>
      </w:r>
      <w:r>
        <w:t xml:space="preserve">credible group difference in sensitivity, and no ERP grammaticality</w:t>
      </w:r>
      <w:r>
        <w:t xml:space="preserve"> </w:t>
      </w:r>
      <w:r>
        <w:t xml:space="preserve">effect, or change in one across the training sessions, was credibly modulated by language. We</w:t>
      </w:r>
      <w:r>
        <w:t xml:space="preserve"> </w:t>
      </w:r>
      <w:r>
        <w:t xml:space="preserve">take these findings in turn, beginning with what they imply for the transfer accounts.</w:t>
      </w:r>
    </w:p>
    <w:bookmarkStart w:id="128" w:name="X7bf5b2c5d904f0b5049c8ae8e01af54d95b4c99"/>
    <w:p>
      <w:pPr>
        <w:pStyle w:val="Heading2"/>
      </w:pPr>
      <w:r>
        <w:t xml:space="preserve">Gender agreement and the transfer accounts</w:t>
      </w:r>
    </w:p>
    <w:p>
      <w:pPr>
        <w:pStyle w:val="FirstParagraph"/>
      </w:pPr>
      <w:r>
        <w:t xml:space="preserve">The Typological Primacy Model predicted that the Norwegian lexicon would lead Mini-Norwegian</w:t>
      </w:r>
      <w:r>
        <w:t xml:space="preserve"> </w:t>
      </w:r>
      <w:r>
        <w:t xml:space="preserve">learners to Norwegian grammar, gender included, and the English lexicon would lead</w:t>
      </w:r>
      <w:r>
        <w:t xml:space="preserve"> </w:t>
      </w:r>
      <w:r>
        <w:t xml:space="preserve">Mini-English learners to English, with no gender to draw on</w:t>
      </w:r>
      <w:r>
        <w:t xml:space="preserve"> </w:t>
      </w:r>
      <w:r>
        <w:t xml:space="preserve">(</w:t>
      </w:r>
      <w:hyperlink w:anchor="ref-rothman2015">
        <w:r>
          <w:rPr>
            <w:rStyle w:val="Hyperlink"/>
          </w:rPr>
          <w:t xml:space="preserve">Rothman, 2015</w:t>
        </w:r>
      </w:hyperlink>
      <w:r>
        <w:t xml:space="preserve">;</w:t>
      </w:r>
      <w:r>
        <w:t xml:space="preserve"> </w:t>
      </w:r>
      <w:hyperlink w:anchor="ref-rothmanalemanbanon2015">
        <w:r>
          <w:rPr>
            <w:rStyle w:val="Hyperlink"/>
          </w:rPr>
          <w:t xml:space="preserve">Rothman et al., 2015</w:t>
        </w:r>
      </w:hyperlink>
      <w:r>
        <w:t xml:space="preserve">)</w:t>
      </w:r>
      <w:r>
        <w:t xml:space="preserve">. Sensitivity to gender agreement should then have been greater in</w:t>
      </w:r>
      <w:r>
        <w:t xml:space="preserve"> </w:t>
      </w:r>
      <w:r>
        <w:t xml:space="preserve">the Mini-Norwegian group, at least at the earliest sessions. It was not. At Session 2, the</w:t>
      </w:r>
      <w:r>
        <w:t xml:space="preserve"> </w:t>
      </w:r>
      <w:r>
        <w:t xml:space="preserve">first measurement, the difference in sensitivity between the groups was</w:t>
      </w:r>
      <w:r>
        <w:t xml:space="preserve"> </w:t>
      </w:r>
      <m:oMath>
        <m:r>
          <m:rPr>
            <m:sty m:val="p"/>
          </m:rPr>
          <m:t>Δ</m:t>
        </m:r>
        <m:r>
          <m:rPr>
            <m:sty m:val="p"/>
          </m:rPr>
          <m:t>=</m:t>
        </m:r>
        <m:r>
          <m:rPr>
            <m:sty m:val="p"/>
          </m:rPr>
          <m:t>−</m:t>
        </m:r>
        <m:r>
          <m:t>0.19</m:t>
        </m:r>
      </m:oMath>
      <w:r>
        <w:t xml:space="preserve">, 95% CrI</w:t>
      </w:r>
      <w:r>
        <w:t xml:space="preserve"> </w:t>
      </w:r>
      <m:oMath>
        <m:r>
          <m:rPr>
            <m:sty m:val="p"/>
          </m:rPr>
          <m:t>[</m:t>
        </m:r>
        <m:r>
          <m:rPr>
            <m:sty m:val="p"/>
          </m:rPr>
          <m:t>−</m:t>
        </m:r>
        <m:r>
          <m:t>1.93</m:t>
        </m:r>
        <m:r>
          <m:rPr>
            <m:sty m:val="p"/>
          </m:rPr>
          <m:t>,</m:t>
        </m:r>
        <m:r>
          <m:t>1.54</m:t>
        </m:r>
        <m:r>
          <m:rPr>
            <m:sty m:val="p"/>
          </m:rPr>
          <m:t>]</m:t>
        </m:r>
      </m:oMath>
      <w:r>
        <w:t xml:space="preserve">,</w:t>
      </w:r>
      <w:r>
        <w:t xml:space="preserve"> </w:t>
      </w:r>
      <m:oMath>
        <m:sSub>
          <m:e>
            <m:r>
              <m:t>p</m:t>
            </m:r>
          </m:e>
          <m:sub>
            <m:r>
              <m:t>d</m:t>
            </m:r>
          </m:sub>
        </m:sSub>
        <m:r>
          <m:rPr>
            <m:sty m:val="p"/>
          </m:rPr>
          <m:t>=</m:t>
        </m:r>
        <m:r>
          <m:t>.58</m:t>
        </m:r>
      </m:oMath>
      <w:r>
        <w:t xml:space="preserve"> </w:t>
      </w:r>
      <w:r>
        <w:t xml:space="preserve">(Mini-Norwegian</w:t>
      </w:r>
      <w:r>
        <w:t xml:space="preserve"> </w:t>
      </w:r>
      <w:r>
        <w:t xml:space="preserve">minus Mini-English), and the posterior probability that the Mini-Norwegian group was the more</w:t>
      </w:r>
      <w:r>
        <w:t xml:space="preserve"> </w:t>
      </w:r>
      <w:r>
        <w:t xml:space="preserve">sensitive was .42. Averaged over</w:t>
      </w:r>
      <w:r>
        <w:t xml:space="preserve"> </w:t>
      </w:r>
      <w:r>
        <w:t xml:space="preserve">sessions, that probability was</w:t>
      </w:r>
      <w:r>
        <w:t xml:space="preserve"> </w:t>
      </w:r>
      <w:r>
        <w:t xml:space="preserve">.11. The ERP evidence is</w:t>
      </w:r>
      <w:r>
        <w:t xml:space="preserve"> </w:t>
      </w:r>
      <w:r>
        <w:t xml:space="preserve">consistent with this but less informative. The grammaticality</w:t>
      </w:r>
      <w:r>
        <w:t xml:space="preserve"> </w:t>
      </w:r>
      <m:oMath>
        <m:r>
          <m:rPr>
            <m:sty m:val="p"/>
          </m:rPr>
          <m:t>×</m:t>
        </m:r>
      </m:oMath>
      <w:r>
        <w:t xml:space="preserve"> </w:t>
      </w:r>
      <w:r>
        <w:t xml:space="preserve">language term for gender</w:t>
      </w:r>
      <w:r>
        <w:t xml:space="preserve"> </w:t>
      </w:r>
      <w:r>
        <w:t xml:space="preserve">agreement was not credible in any window, but its intervals are wide relative to the</w:t>
      </w:r>
      <w:r>
        <w:t xml:space="preserve"> </w:t>
      </w:r>
      <w:r>
        <w:t xml:space="preserve">grammaticality effect itself, so the ERP data do not exclude a language difference as large</w:t>
      </w:r>
      <w:r>
        <w:t xml:space="preserve"> </w:t>
      </w:r>
      <w:r>
        <w:t xml:space="preserve">as the effect they measure. The grammaticality effect was credible in</w:t>
      </w:r>
      <w:r>
        <w:t xml:space="preserve"> </w:t>
      </w:r>
      <w:r>
        <w:t xml:space="preserve">3 of 6 cells, so the absence of a</w:t>
      </w:r>
      <w:r>
        <w:t xml:space="preserve"> </w:t>
      </w:r>
      <w:r>
        <w:t xml:space="preserve">credible language difference is not an absence of any response to measure, but it is not</w:t>
      </w:r>
      <w:r>
        <w:t xml:space="preserve"> </w:t>
      </w:r>
      <w:r>
        <w:t xml:space="preserve">evidence that the groups responded alike.</w:t>
      </w:r>
    </w:p>
    <w:p>
      <w:pPr>
        <w:pStyle w:val="BodyText"/>
      </w:pPr>
      <w:r>
        <w:t xml:space="preserve">Property-by-property accounts allow exactly this outcome. On those accounts, Norwegian</w:t>
      </w:r>
      <w:r>
        <w:t xml:space="preserve"> </w:t>
      </w:r>
      <w:r>
        <w:t xml:space="preserve">gender is available to every participant, and a learner of either miniature language can</w:t>
      </w:r>
      <w:r>
        <w:t xml:space="preserve"> </w:t>
      </w:r>
      <w:r>
        <w:t xml:space="preserve">recruit it once the input shows the property to be shared</w:t>
      </w:r>
      <w:r>
        <w:t xml:space="preserve"> </w:t>
      </w:r>
      <w:r>
        <w:t xml:space="preserve">(</w:t>
      </w:r>
      <w:hyperlink w:anchor="ref-westergaard2017">
        <w:r>
          <w:rPr>
            <w:rStyle w:val="Hyperlink"/>
          </w:rPr>
          <w:t xml:space="preserve">Westergaard et al., 2017</w:t>
        </w:r>
      </w:hyperlink>
      <w:r>
        <w:t xml:space="preserve">;</w:t>
      </w:r>
      <w:r>
        <w:t xml:space="preserve"> </w:t>
      </w:r>
      <w:hyperlink w:anchor="ref-westergaard2021">
        <w:r>
          <w:rPr>
            <w:rStyle w:val="Hyperlink"/>
          </w:rPr>
          <w:t xml:space="preserve">Westergaard, 2021</w:t>
        </w:r>
      </w:hyperlink>
      <w:r>
        <w:t xml:space="preserve">)</w:t>
      </w:r>
      <w:r>
        <w:t xml:space="preserve">. Their allowance for early lexical influence, and the structural</w:t>
      </w:r>
      <w:r>
        <w:t xml:space="preserve"> </w:t>
      </w:r>
      <w:r>
        <w:t xml:space="preserve">resemblance of the Mini-Norwegian determiner to its Norwegian counterpart, meant that they</w:t>
      </w:r>
      <w:r>
        <w:t xml:space="preserve"> </w:t>
      </w:r>
      <w:r>
        <w:t xml:space="preserve">could also have accommodated a Mini-Norwegian advantage. They did not require one, and none</w:t>
      </w:r>
      <w:r>
        <w:t xml:space="preserve"> </w:t>
      </w:r>
      <w:r>
        <w:t xml:space="preserve">appeared. The data therefore fit property-level availability better than lexically cued</w:t>
      </w:r>
      <w:r>
        <w:t xml:space="preserve"> </w:t>
      </w:r>
      <w:r>
        <w:t xml:space="preserve">selection of a whole grammar, which is the reading of the design’s central contrast that</w:t>
      </w:r>
      <w:r>
        <w:t xml:space="preserve"> </w:t>
      </w:r>
      <w:r>
        <w:t xml:space="preserve">the accounts’ own predictions support.</w:t>
      </w:r>
    </w:p>
    <w:p>
      <w:pPr>
        <w:pStyle w:val="BodyText"/>
      </w:pPr>
      <w:r>
        <w:t xml:space="preserve">Three limits apply to that reading, and they are properties of the design, not of the</w:t>
      </w:r>
      <w:r>
        <w:t xml:space="preserve"> </w:t>
      </w:r>
      <w:r>
        <w:t xml:space="preserve">analysis. The first is that no measurement precedes training. Both groups were already highly</w:t>
      </w:r>
      <w:r>
        <w:t xml:space="preserve"> </w:t>
      </w:r>
      <w:r>
        <w:t xml:space="preserve">sensitive to gender agreement at Session 2, after pretraining, training and a test, so a</w:t>
      </w:r>
      <w:r>
        <w:t xml:space="preserve"> </w:t>
      </w:r>
      <w:r>
        <w:t xml:space="preserve">difference in the initial grammar that a single training session erased would leave no</w:t>
      </w:r>
      <w:r>
        <w:t xml:space="preserve"> </w:t>
      </w:r>
      <w:r>
        <w:t xml:space="preserve">trace here. The Typological Primacy Model expects non-facilitative transfer to be overcome</w:t>
      </w:r>
      <w:r>
        <w:t xml:space="preserve"> </w:t>
      </w:r>
      <w:r>
        <w:t xml:space="preserve">with input, so these data speak against an advantage that persists into learning more than</w:t>
      </w:r>
      <w:r>
        <w:t xml:space="preserve"> </w:t>
      </w:r>
      <w:r>
        <w:t xml:space="preserve">against a difference at the very first encounter</w:t>
      </w:r>
      <w:r>
        <w:t xml:space="preserve"> </w:t>
      </w:r>
      <w:r>
        <w:t xml:space="preserve">(</w:t>
      </w:r>
      <w:hyperlink w:anchor="ref-gonzalezalonso2025">
        <w:r>
          <w:rPr>
            <w:rStyle w:val="Hyperlink"/>
          </w:rPr>
          <w:t xml:space="preserve">González Alonso et al., 2025</w:t>
        </w:r>
      </w:hyperlink>
      <w:r>
        <w:t xml:space="preserve">;</w:t>
      </w:r>
      <w:r>
        <w:t xml:space="preserve"> </w:t>
      </w:r>
      <w:hyperlink w:anchor="ref-gonzalezalonso2017">
        <w:r>
          <w:rPr>
            <w:rStyle w:val="Hyperlink"/>
          </w:rPr>
          <w:t xml:space="preserve">González Alonso &amp; Rothman, 2017</w:t>
        </w:r>
      </w:hyperlink>
      <w:r>
        <w:t xml:space="preserve">)</w:t>
      </w:r>
      <w:r>
        <w:t xml:space="preserve">. The second is that no group lacks gender in its first language. High</w:t>
      </w:r>
      <w:r>
        <w:t xml:space="preserve"> </w:t>
      </w:r>
      <w:r>
        <w:t xml:space="preserve">sensitivity in both groups is what facilitation from Norwegian would produce, but it is also</w:t>
      </w:r>
      <w:r>
        <w:t xml:space="preserve"> </w:t>
      </w:r>
      <w:r>
        <w:t xml:space="preserve">what learning a salient agreement pattern within a session would produce without any</w:t>
      </w:r>
      <w:r>
        <w:t xml:space="preserve"> </w:t>
      </w:r>
      <w:r>
        <w:t xml:space="preserve">transfer, so the design cannot show that Norwegian helped either group. For the same reason,</w:t>
      </w:r>
      <w:r>
        <w:t xml:space="preserve"> </w:t>
      </w:r>
      <w:r>
        <w:t xml:space="preserve">it cannot rule out the L2 Status Factor, which also predicts no Mini-Norwegian advantage. The</w:t>
      </w:r>
      <w:r>
        <w:t xml:space="preserve"> </w:t>
      </w:r>
      <w:r>
        <w:t xml:space="preserve">third is that sensitivity in a judgement and the amplitude of a violation response index</w:t>
      </w:r>
      <w:r>
        <w:t xml:space="preserve"> </w:t>
      </w:r>
      <w:r>
        <w:t xml:space="preserve">processing. Neither establishes the grammar that supports it, and the learners’ responses</w:t>
      </w:r>
      <w:r>
        <w:t xml:space="preserve"> </w:t>
      </w:r>
      <w:r>
        <w:t xml:space="preserve">may rest on more than linguistic computation</w:t>
      </w:r>
      <w:r>
        <w:t xml:space="preserve"> </w:t>
      </w:r>
      <w:r>
        <w:t xml:space="preserve">(</w:t>
      </w:r>
      <w:hyperlink w:anchor="ref-gonzalezalonso2020">
        <w:r>
          <w:rPr>
            <w:rStyle w:val="Hyperlink"/>
          </w:rPr>
          <w:t xml:space="preserve">González Alonso et al., 2020</w:t>
        </w:r>
      </w:hyperlink>
      <w:r>
        <w:t xml:space="preserve">)</w:t>
      </w:r>
      <w:r>
        <w:t xml:space="preserve">. The design was not built</w:t>
      </w:r>
      <w:r>
        <w:t xml:space="preserve"> </w:t>
      </w:r>
      <w:r>
        <w:t xml:space="preserve">to settle the transfer debate, and these findings narrow it only as far as the absence of</w:t>
      </w:r>
      <w:r>
        <w:t xml:space="preserve"> </w:t>
      </w:r>
      <w:r>
        <w:t xml:space="preserve">the predicted group difference allows.</w:t>
      </w:r>
    </w:p>
    <w:bookmarkEnd w:id="128"/>
    <w:bookmarkStart w:id="129" w:name="Xfa67b0fe18adc95da164dc6d77be62af52f4fa3"/>
    <w:p>
      <w:pPr>
        <w:pStyle w:val="Heading2"/>
      </w:pPr>
      <w:r>
        <w:t xml:space="preserve">A possible lexical influence on the response criterion</w:t>
      </w:r>
    </w:p>
    <w:p>
      <w:pPr>
        <w:pStyle w:val="FirstParagraph"/>
      </w:pPr>
      <w:r>
        <w:t xml:space="preserve">Where the lexicon may have left a mark was in how readily learners accepted gender-agreement</w:t>
      </w:r>
      <w:r>
        <w:t xml:space="preserve"> </w:t>
      </w:r>
      <w:r>
        <w:t xml:space="preserve">sentences. The Mini-Norwegian group’s criterion</w:t>
      </w:r>
      <w:r>
        <w:t xml:space="preserve"> </w:t>
      </w:r>
      <w:r>
        <w:t xml:space="preserve">became credibly more liberal (</w:t>
      </w:r>
      <m:oMath>
        <m:r>
          <m:rPr>
            <m:sty m:val="p"/>
          </m:rPr>
          <m:t>Δ</m:t>
        </m:r>
        <m:r>
          <m:rPr>
            <m:sty m:val="p"/>
          </m:rPr>
          <m:t>=</m:t>
        </m:r>
        <m:r>
          <m:rPr>
            <m:sty m:val="p"/>
          </m:rPr>
          <m:t>−</m:t>
        </m:r>
        <m:r>
          <m:t>1.04</m:t>
        </m:r>
      </m:oMath>
      <w:r>
        <w:t xml:space="preserve">, 95% CrI</w:t>
      </w:r>
      <w:r>
        <w:t xml:space="preserve"> </w:t>
      </w:r>
      <m:oMath>
        <m:r>
          <m:rPr>
            <m:sty m:val="p"/>
          </m:rPr>
          <m:t>[</m:t>
        </m:r>
        <m:r>
          <m:rPr>
            <m:sty m:val="p"/>
          </m:rPr>
          <m:t>−</m:t>
        </m:r>
        <m:r>
          <m:t>1.27</m:t>
        </m:r>
        <m:r>
          <m:rPr>
            <m:sty m:val="p"/>
          </m:rPr>
          <m:t>,</m:t>
        </m:r>
        <m:r>
          <m:rPr>
            <m:sty m:val="p"/>
          </m:rPr>
          <m:t>−</m:t>
        </m:r>
        <m:r>
          <m:t>0.82</m:t>
        </m:r>
        <m:r>
          <m:rPr>
            <m:sty m:val="p"/>
          </m:rPr>
          <m:t>]</m:t>
        </m:r>
      </m:oMath>
      <w:r>
        <w:t xml:space="preserve">,</w:t>
      </w:r>
      <w:r>
        <w:t xml:space="preserve"> </w:t>
      </w:r>
      <m:oMath>
        <m:sSub>
          <m:e>
            <m:r>
              <m:t>p</m:t>
            </m:r>
          </m:e>
          <m:sub>
            <m:r>
              <m:t>d</m:t>
            </m:r>
          </m:sub>
        </m:sSub>
        <m:r>
          <m:rPr>
            <m:sty m:val="p"/>
          </m:rPr>
          <m:t>&gt;</m:t>
        </m:r>
        <m:r>
          <m:t>.999</m:t>
        </m:r>
      </m:oMath>
      <w:r>
        <w:t xml:space="preserve">) between Sessions 2</w:t>
      </w:r>
      <w:r>
        <w:t xml:space="preserve"> </w:t>
      </w:r>
      <w:r>
        <w:t xml:space="preserve">and 6, and in the reported models the difference from the Mini-English group was credible</w:t>
      </w:r>
      <w:r>
        <w:t xml:space="preserve"> </w:t>
      </w:r>
      <w:r>
        <w:t xml:space="preserve">for gender agreement at Sessions 4 and 6. Once each learner’s change in criterion was modelled,</w:t>
      </w:r>
      <w:r>
        <w:t xml:space="preserve"> </w:t>
      </w:r>
      <w:r>
        <w:t xml:space="preserve">the difference was credible at no session (see</w:t>
      </w:r>
      <w:r>
        <w:t xml:space="preserve"> </w:t>
      </w:r>
      <w:r>
        <w:rPr>
          <w:i/>
          <w:iCs/>
        </w:rPr>
        <w:t xml:space="preserve">Strength of evidence</w:t>
      </w:r>
      <w:r>
        <w:t xml:space="preserve">), so this section interprets a suggestive result. Read as accuracy,</w:t>
      </w:r>
      <w:r>
        <w:t xml:space="preserve"> </w:t>
      </w:r>
      <w:r>
        <w:t xml:space="preserve">this shift looks like an advantage, because a learner who accepts more sentences is right</w:t>
      </w:r>
      <w:r>
        <w:t xml:space="preserve"> </w:t>
      </w:r>
      <w:r>
        <w:t xml:space="preserve">more often on the grammatical ones. Read as signal detection, it is a change in willingness</w:t>
      </w:r>
      <w:r>
        <w:t xml:space="preserve"> </w:t>
      </w:r>
      <w:r>
        <w:t xml:space="preserve">to accept, unaccompanied by better discrimination. The shift appeared in the judgement and</w:t>
      </w:r>
      <w:r>
        <w:t xml:space="preserve"> </w:t>
      </w:r>
      <w:r>
        <w:t xml:space="preserve">not in the ERP response. If it is genuine, that places the group difference at the decision</w:t>
      </w:r>
      <w:r>
        <w:t xml:space="preserve"> </w:t>
      </w:r>
      <w:r>
        <w:t xml:space="preserve">more clearly than in the online processing of the violation, although the ERP estimates</w:t>
      </w:r>
      <w:r>
        <w:t xml:space="preserve"> </w:t>
      </w:r>
      <w:r>
        <w:t xml:space="preserve">were not precise enough to exclude a group difference in that processing.</w:t>
      </w:r>
    </w:p>
    <w:p>
      <w:pPr>
        <w:pStyle w:val="BodyText"/>
      </w:pPr>
      <w:r>
        <w:t xml:space="preserve">Several mechanisms could produce such a shift, and the design does not separate them. One is</w:t>
      </w:r>
      <w:r>
        <w:t xml:space="preserve"> </w:t>
      </w:r>
      <w:r>
        <w:t xml:space="preserve">familiarity. Sentences that are processed more fluently are more readily endorsed as</w:t>
      </w:r>
      <w:r>
        <w:t xml:space="preserve"> </w:t>
      </w:r>
      <w:r>
        <w:t xml:space="preserve">grammatical in artificial grammar learning, particularly where knowledge is uncertain</w:t>
      </w:r>
      <w:r>
        <w:t xml:space="preserve"> </w:t>
      </w:r>
      <w:r>
        <w:t xml:space="preserve">(</w:t>
      </w:r>
      <w:hyperlink w:anchor="ref-scott2010">
        <w:r>
          <w:rPr>
            <w:rStyle w:val="Hyperlink"/>
          </w:rPr>
          <w:t xml:space="preserve">Scott &amp; Dienes, 2010</w:t>
        </w:r>
      </w:hyperlink>
      <w:r>
        <w:t xml:space="preserve">;</w:t>
      </w:r>
      <w:r>
        <w:t xml:space="preserve"> </w:t>
      </w:r>
      <w:hyperlink w:anchor="ref-topolinski2009">
        <w:r>
          <w:rPr>
            <w:rStyle w:val="Hyperlink"/>
          </w:rPr>
          <w:t xml:space="preserve">Topolinski &amp; Strack, 2009</w:t>
        </w:r>
      </w:hyperlink>
      <w:r>
        <w:t xml:space="preserve">)</w:t>
      </w:r>
      <w:r>
        <w:t xml:space="preserve">. Words built on Norwegian stems may be processed more fluently</w:t>
      </w:r>
      <w:r>
        <w:t xml:space="preserve"> </w:t>
      </w:r>
      <w:r>
        <w:t xml:space="preserve">by Norwegian speakers than words built on English stems, although we know of no study that</w:t>
      </w:r>
      <w:r>
        <w:t xml:space="preserve"> </w:t>
      </w:r>
      <w:r>
        <w:t xml:space="preserve">has shown lexical familiarity to shift the criterion in this way. A second is crosslinguistic</w:t>
      </w:r>
      <w:r>
        <w:t xml:space="preserve"> </w:t>
      </w:r>
      <w:r>
        <w:t xml:space="preserve">influence of a non-facilitative kind. If a Norwegian-like lexicon activates Norwegian</w:t>
      </w:r>
      <w:r>
        <w:t xml:space="preserve"> </w:t>
      </w:r>
      <w:r>
        <w:t xml:space="preserve">agreement patterns that do not match those of the miniature language, some violations would</w:t>
      </w:r>
      <w:r>
        <w:t xml:space="preserve"> </w:t>
      </w:r>
      <w:r>
        <w:t xml:space="preserve">look acceptable by Norwegian standards, raising false alarms and lowering sensitivity</w:t>
      </w:r>
      <w:r>
        <w:t xml:space="preserve"> </w:t>
      </w:r>
      <w:r>
        <w:t xml:space="preserve">together. That is the pattern the Linguistic Proximity Model calls misanalysis</w:t>
      </w:r>
      <w:r>
        <w:t xml:space="preserve"> </w:t>
      </w:r>
      <w:r>
        <w:t xml:space="preserve">(</w:t>
      </w:r>
      <w:hyperlink w:anchor="ref-westergaard2017">
        <w:r>
          <w:rPr>
            <w:rStyle w:val="Hyperlink"/>
          </w:rPr>
          <w:t xml:space="preserve">Westergaard et al., 2017</w:t>
        </w:r>
      </w:hyperlink>
      <w:r>
        <w:t xml:space="preserve">)</w:t>
      </w:r>
      <w:r>
        <w:t xml:space="preserve">, and it is consistent with the direction of the sensitivity difference,</w:t>
      </w:r>
      <w:r>
        <w:t xml:space="preserve"> </w:t>
      </w:r>
      <w:r>
        <w:t xml:space="preserve">which was credible only at Session 6, and not in three of the six refits (with the reaction-time screen, with the diversity covariate and with both the added slope and the by-item term). It could not arise from gender assignment,</w:t>
      </w:r>
      <w:r>
        <w:t xml:space="preserve"> </w:t>
      </w:r>
      <w:r>
        <w:t xml:space="preserve">because every noun takes the gender of its Norwegian equivalent in both languages (see</w:t>
      </w:r>
      <w:r>
        <w:t xml:space="preserve"> </w:t>
      </w:r>
      <w:r>
        <w:rPr>
          <w:i/>
          <w:iCs/>
        </w:rPr>
        <w:t xml:space="preserve">Materials</w:t>
      </w:r>
      <w:r>
        <w:t xml:space="preserve">), so no violation is licensed by a Norwegian assignment. For the same reason, an</w:t>
      </w:r>
      <w:r>
        <w:t xml:space="preserve"> </w:t>
      </w:r>
      <w:r>
        <w:t xml:space="preserve">item-level analysis relating false alarms to the Norwegian gender of each noun is not</w:t>
      </w:r>
      <w:r>
        <w:t xml:space="preserve"> </w:t>
      </w:r>
      <w:r>
        <w:t xml:space="preserve">available here: congruency is constant by construction, and the account can be tested only</w:t>
      </w:r>
      <w:r>
        <w:t xml:space="preserve"> </w:t>
      </w:r>
      <w:r>
        <w:t xml:space="preserve">in materials that cross it. A third is strategy.</w:t>
      </w:r>
      <w:r>
        <w:t xml:space="preserve"> </w:t>
      </w:r>
      <w:r>
        <w:t xml:space="preserve">Mini-English learners, facing gender marking that English lacks, may have scrutinised</w:t>
      </w:r>
      <w:r>
        <w:t xml:space="preserve"> </w:t>
      </w:r>
      <w:r>
        <w:t xml:space="preserve">agreement more cautiously. For differential object marking, the criterion changed between</w:t>
      </w:r>
      <w:r>
        <w:t xml:space="preserve"> </w:t>
      </w:r>
      <w:r>
        <w:t xml:space="preserve">Sessions 3 and 6 in both groups (Mini-Norwegian</w:t>
      </w:r>
      <w:r>
        <w:t xml:space="preserve"> </w:t>
      </w:r>
      <m:oMath>
        <m:r>
          <m:rPr>
            <m:sty m:val="p"/>
          </m:rPr>
          <m:t>Δ</m:t>
        </m:r>
        <m:r>
          <m:rPr>
            <m:sty m:val="p"/>
          </m:rPr>
          <m:t>=</m:t>
        </m:r>
        <m:r>
          <m:t>0.49</m:t>
        </m:r>
      </m:oMath>
      <w:r>
        <w:t xml:space="preserve">, 95% CrI</w:t>
      </w:r>
      <w:r>
        <w:t xml:space="preserve"> </w:t>
      </w:r>
      <m:oMath>
        <m:r>
          <m:rPr>
            <m:sty m:val="p"/>
          </m:rPr>
          <m:t>[</m:t>
        </m:r>
        <m:r>
          <m:t>0.26</m:t>
        </m:r>
        <m:r>
          <m:rPr>
            <m:sty m:val="p"/>
          </m:rPr>
          <m:t>,</m:t>
        </m:r>
        <m:r>
          <m:t>0.72</m:t>
        </m:r>
        <m:r>
          <m:rPr>
            <m:sty m:val="p"/>
          </m:rPr>
          <m:t>]</m:t>
        </m:r>
      </m:oMath>
      <w:r>
        <w:t xml:space="preserve">,</w:t>
      </w:r>
      <w:r>
        <w:t xml:space="preserve"> </w:t>
      </w:r>
      <m:oMath>
        <m:sSub>
          <m:e>
            <m:r>
              <m:t>p</m:t>
            </m:r>
          </m:e>
          <m:sub>
            <m:r>
              <m:t>d</m:t>
            </m:r>
          </m:sub>
        </m:sSub>
        <m:r>
          <m:rPr>
            <m:sty m:val="p"/>
          </m:rPr>
          <m:t>&gt;</m:t>
        </m:r>
        <m:r>
          <m:t>.999</m:t>
        </m:r>
      </m:oMath>
      <w:r>
        <w:t xml:space="preserve">;</w:t>
      </w:r>
      <w:r>
        <w:t xml:space="preserve"> </w:t>
      </w:r>
      <w:r>
        <w:t xml:space="preserve">Mini-English</w:t>
      </w:r>
      <w:r>
        <w:t xml:space="preserve"> </w:t>
      </w:r>
      <m:oMath>
        <m:r>
          <m:rPr>
            <m:sty m:val="p"/>
          </m:rPr>
          <m:t>Δ</m:t>
        </m:r>
        <m:r>
          <m:rPr>
            <m:sty m:val="p"/>
          </m:rPr>
          <m:t>=</m:t>
        </m:r>
        <m:r>
          <m:t>0.60</m:t>
        </m:r>
      </m:oMath>
      <w:r>
        <w:t xml:space="preserve">, 95% CrI</w:t>
      </w:r>
      <w:r>
        <w:t xml:space="preserve"> </w:t>
      </w:r>
      <m:oMath>
        <m:r>
          <m:rPr>
            <m:sty m:val="p"/>
          </m:rPr>
          <m:t>[</m:t>
        </m:r>
        <m:r>
          <m:t>0.34</m:t>
        </m:r>
        <m:r>
          <m:rPr>
            <m:sty m:val="p"/>
          </m:rPr>
          <m:t>,</m:t>
        </m:r>
        <m:r>
          <m:t>0.87</m:t>
        </m:r>
        <m:r>
          <m:rPr>
            <m:sty m:val="p"/>
          </m:rPr>
          <m:t>]</m:t>
        </m:r>
      </m:oMath>
      <w:r>
        <w:t xml:space="preserve">,</w:t>
      </w:r>
      <w:r>
        <w:t xml:space="preserve"> </w:t>
      </w:r>
      <m:oMath>
        <m:sSub>
          <m:e>
            <m:r>
              <m:t>p</m:t>
            </m:r>
          </m:e>
          <m:sub>
            <m:r>
              <m:t>d</m:t>
            </m:r>
          </m:sub>
        </m:sSub>
        <m:r>
          <m:rPr>
            <m:sty m:val="p"/>
          </m:rPr>
          <m:t>&gt;</m:t>
        </m:r>
        <m:r>
          <m:t>.999</m:t>
        </m:r>
      </m:oMath>
      <w:r>
        <w:t xml:space="preserve">),</w:t>
      </w:r>
      <w:r>
        <w:t xml:space="preserve"> </w:t>
      </w:r>
      <w:r>
        <w:t xml:space="preserve">and the between-language difference in that change was</w:t>
      </w:r>
      <w:r>
        <w:t xml:space="preserve"> </w:t>
      </w:r>
      <m:oMath>
        <m:r>
          <m:rPr>
            <m:sty m:val="p"/>
          </m:rPr>
          <m:t>Δ</m:t>
        </m:r>
        <m:r>
          <m:rPr>
            <m:sty m:val="p"/>
          </m:rPr>
          <m:t>=</m:t>
        </m:r>
        <m:r>
          <m:rPr>
            <m:sty m:val="p"/>
          </m:rPr>
          <m:t>−</m:t>
        </m:r>
        <m:r>
          <m:t>0.11</m:t>
        </m:r>
      </m:oMath>
      <w:r>
        <w:t xml:space="preserve">, 95% CrI</w:t>
      </w:r>
      <w:r>
        <w:t xml:space="preserve"> </w:t>
      </w:r>
      <m:oMath>
        <m:r>
          <m:rPr>
            <m:sty m:val="p"/>
          </m:rPr>
          <m:t>[</m:t>
        </m:r>
        <m:r>
          <m:rPr>
            <m:sty m:val="p"/>
          </m:rPr>
          <m:t>−</m:t>
        </m:r>
        <m:r>
          <m:t>0.46</m:t>
        </m:r>
        <m:r>
          <m:rPr>
            <m:sty m:val="p"/>
          </m:rPr>
          <m:t>,</m:t>
        </m:r>
        <m:r>
          <m:t>0.23</m:t>
        </m:r>
        <m:r>
          <m:rPr>
            <m:sty m:val="p"/>
          </m:rPr>
          <m:t>]</m:t>
        </m:r>
      </m:oMath>
      <w:r>
        <w:t xml:space="preserve">,</w:t>
      </w:r>
      <w:r>
        <w:t xml:space="preserve"> </w:t>
      </w:r>
      <m:oMath>
        <m:sSub>
          <m:e>
            <m:r>
              <m:t>p</m:t>
            </m:r>
          </m:e>
          <m:sub>
            <m:r>
              <m:t>d</m:t>
            </m:r>
          </m:sub>
        </m:sSub>
        <m:r>
          <m:rPr>
            <m:sty m:val="p"/>
          </m:rPr>
          <m:t>=</m:t>
        </m:r>
        <m:r>
          <m:t>.74</m:t>
        </m:r>
      </m:oMath>
      <w:r>
        <w:t xml:space="preserve">.</w:t>
      </w:r>
      <w:r>
        <w:t xml:space="preserve"> </w:t>
      </w:r>
      <w:r>
        <w:t xml:space="preserve">A familiarity account that operates on the lexicon as a whole should affect every property,</w:t>
      </w:r>
      <w:r>
        <w:t xml:space="preserve"> </w:t>
      </w:r>
      <w:r>
        <w:t xml:space="preserve">so whether the other properties show the same direction of difference bears on the first</w:t>
      </w:r>
      <w:r>
        <w:t xml:space="preserve"> </w:t>
      </w:r>
      <w:r>
        <w:t xml:space="preserve">mechanism.</w:t>
      </w:r>
    </w:p>
    <w:p>
      <w:pPr>
        <w:pStyle w:val="BodyText"/>
      </w:pPr>
      <w:r>
        <w:t xml:space="preserve">The pattern also clarifies what the closest precedent found.</w:t>
      </w:r>
      <w:r>
        <w:t xml:space="preserve"> </w:t>
      </w:r>
      <w:r>
        <w:t xml:space="preserve">González Alonso et al. (</w:t>
      </w:r>
      <w:hyperlink w:anchor="ref-gonzalezalonso2020">
        <w:r>
          <w:rPr>
            <w:rStyle w:val="Hyperlink"/>
          </w:rPr>
          <w:t xml:space="preserve">2020</w:t>
        </w:r>
      </w:hyperlink>
      <w:r>
        <w:t xml:space="preserve">)</w:t>
      </w:r>
      <w:r>
        <w:t xml:space="preserve"> </w:t>
      </w:r>
      <w:r>
        <w:t xml:space="preserve">observed a</w:t>
      </w:r>
      <w:r>
        <w:t xml:space="preserve"> </w:t>
      </w:r>
      <w:r>
        <w:t xml:space="preserve">group difference at first exposure in the ERP response but not in judgement accuracy, and</w:t>
      </w:r>
      <w:r>
        <w:t xml:space="preserve"> </w:t>
      </w:r>
      <w:r>
        <w:t xml:space="preserve">attributed it to how attention was allocated, a precursor of selecting a source, not to</w:t>
      </w:r>
      <w:r>
        <w:t xml:space="preserve"> </w:t>
      </w:r>
      <w:r>
        <w:t xml:space="preserve">grammatical processing. Their accuracy measure, like ours before we separated sensitivity</w:t>
      </w:r>
      <w:r>
        <w:t xml:space="preserve"> </w:t>
      </w:r>
      <w:r>
        <w:t xml:space="preserve">from criterion, could not have shown a criterion difference as such. Here, after training,</w:t>
      </w:r>
      <w:r>
        <w:t xml:space="preserve"> </w:t>
      </w:r>
      <w:r>
        <w:t xml:space="preserve">the lexical manipulation did not credibly alter the ERP grammaticality effect, and in the</w:t>
      </w:r>
      <w:r>
        <w:t xml:space="preserve"> </w:t>
      </w:r>
      <w:r>
        <w:t xml:space="preserve">reported models it moved the decision criterion. In both studies, then, the lexicon left</w:t>
      </w:r>
      <w:r>
        <w:t xml:space="preserve"> </w:t>
      </w:r>
      <w:r>
        <w:t xml:space="preserve">more trace in how learners engaged with the task than in their sensitivity to the grammar,</w:t>
      </w:r>
      <w:r>
        <w:t xml:space="preserve"> </w:t>
      </w:r>
      <w:r>
        <w:t xml:space="preserve">although here that trace is suggestive.</w:t>
      </w:r>
    </w:p>
    <w:bookmarkEnd w:id="129"/>
    <w:bookmarkStart w:id="130" w:name="X85c70bee77a7b55d5c51c1262c06b9ac3bceb47"/>
    <w:p>
      <w:pPr>
        <w:pStyle w:val="Heading2"/>
      </w:pPr>
      <w:r>
        <w:t xml:space="preserve">Relation to the initial-exposure antecedent</w:t>
      </w:r>
    </w:p>
    <w:p>
      <w:pPr>
        <w:pStyle w:val="FirstParagraph"/>
      </w:pPr>
      <w:r>
        <w:t xml:space="preserve">Against</w:t>
      </w:r>
      <w:r>
        <w:t xml:space="preserve"> </w:t>
      </w:r>
      <w:r>
        <w:t xml:space="preserve">González Alonso et al. (</w:t>
      </w:r>
      <w:hyperlink w:anchor="ref-gonzalezalonso2020">
        <w:r>
          <w:rPr>
            <w:rStyle w:val="Hyperlink"/>
          </w:rPr>
          <w:t xml:space="preserve">2020</w:t>
        </w:r>
      </w:hyperlink>
      <w:r>
        <w:t xml:space="preserve">)</w:t>
      </w:r>
      <w:r>
        <w:t xml:space="preserve">, these data replicate the general profile but not its specifics.</w:t>
      </w:r>
      <w:r>
        <w:t xml:space="preserve"> </w:t>
      </w:r>
      <w:r>
        <w:t xml:space="preserve">Their learners produced no P600 to gender-agreement violations at first exposure, and neither</w:t>
      </w:r>
      <w:r>
        <w:t xml:space="preserve"> </w:t>
      </w:r>
      <w:r>
        <w:t xml:space="preserve">did ours at any session. The dominant signature for gender agreement here was a violation</w:t>
      </w:r>
      <w:r>
        <w:t xml:space="preserve"> </w:t>
      </w:r>
      <w:r>
        <w:t xml:space="preserve">negativity, under a comparable artificial-language paradigm. The measurement occasion was not</w:t>
      </w:r>
      <w:r>
        <w:t xml:space="preserve"> </w:t>
      </w:r>
      <w:r>
        <w:t xml:space="preserve">comparable, since their ERPs come from a single first-exposure session, whereas ours begin</w:t>
      </w:r>
      <w:r>
        <w:t xml:space="preserve"> </w:t>
      </w:r>
      <w:r>
        <w:t xml:space="preserve">after the first training session, whose post-training test was repeated once when a learner</w:t>
      </w:r>
      <w:r>
        <w:t xml:space="preserve"> </w:t>
      </w:r>
      <w:r>
        <w:t xml:space="preserve">scored below 80%, and continue across four sessions. An early negativity to</w:t>
      </w:r>
      <w:r>
        <w:t xml:space="preserve"> </w:t>
      </w:r>
      <w:r>
        <w:t xml:space="preserve">gender-agreement violations was present in both studies. Their negativity was confined to</w:t>
      </w:r>
      <w:r>
        <w:t xml:space="preserve"> </w:t>
      </w:r>
      <w:r>
        <w:t xml:space="preserve">the English-lexicon group and to right-anterior electrodes, whereas ours was not credibly</w:t>
      </w:r>
      <w:r>
        <w:t xml:space="preserve"> </w:t>
      </w:r>
      <w:r>
        <w:t xml:space="preserve">modulated by language in any window. Their Spanish-lexicon group showed a broad positivity to</w:t>
      </w:r>
      <w:r>
        <w:t xml:space="preserve"> </w:t>
      </w:r>
      <w:r>
        <w:t xml:space="preserve">violations at 300–600 ms, whereas in our gender-agreement data the ungrammatical trials were</w:t>
      </w:r>
      <w:r>
        <w:t xml:space="preserve"> </w:t>
      </w:r>
      <w:r>
        <w:t xml:space="preserve">the more negative-going.</w:t>
      </w:r>
    </w:p>
    <w:p>
      <w:pPr>
        <w:pStyle w:val="BodyText"/>
      </w:pPr>
      <w:r>
        <w:t xml:space="preserve">The divergences admit two kinds of explanation, and the literature on replication cautions</w:t>
      </w:r>
      <w:r>
        <w:t xml:space="preserve"> </w:t>
      </w:r>
      <w:r>
        <w:t xml:space="preserve">against reaching for the substantive kind first. Substantively, the designs differ in the</w:t>
      </w:r>
      <w:r>
        <w:t xml:space="preserve"> </w:t>
      </w:r>
      <w:r>
        <w:t xml:space="preserve">first language (Spanish against Norwegian), in the realisation of gender (concord across the</w:t>
      </w:r>
      <w:r>
        <w:t xml:space="preserve"> </w:t>
      </w:r>
      <w:r>
        <w:t xml:space="preserve">noun phrase against a suffixed or free determiner with predicate-adjective agreement), and in</w:t>
      </w:r>
      <w:r>
        <w:t xml:space="preserve"> </w:t>
      </w:r>
      <w:r>
        <w:t xml:space="preserve">the measurement occasion. Statistically, their groups comprised 26 and 24 learners. Effects</w:t>
      </w:r>
      <w:r>
        <w:t xml:space="preserve"> </w:t>
      </w:r>
      <w:r>
        <w:t xml:space="preserve">that reach significance in samples of that size systematically overestimate their true</w:t>
      </w:r>
      <w:r>
        <w:t xml:space="preserve"> </w:t>
      </w:r>
      <w:r>
        <w:t xml:space="preserve">magnitude and can even carry the wrong sign</w:t>
      </w:r>
      <w:r>
        <w:t xml:space="preserve"> </w:t>
      </w:r>
      <w:r>
        <w:t xml:space="preserve">(</w:t>
      </w:r>
      <w:hyperlink w:anchor="ref-gelmancarlin2014">
        <w:r>
          <w:rPr>
            <w:rStyle w:val="Hyperlink"/>
          </w:rPr>
          <w:t xml:space="preserve">Gelman &amp; Carlin, 2014</w:t>
        </w:r>
      </w:hyperlink>
      <w:r>
        <w:t xml:space="preserve">)</w:t>
      </w:r>
      <w:r>
        <w:t xml:space="preserve">, the significance filter</w:t>
      </w:r>
      <w:r>
        <w:t xml:space="preserve"> </w:t>
      </w:r>
      <w:r>
        <w:t xml:space="preserve">makes published effects look more replicable than they are</w:t>
      </w:r>
      <w:r>
        <w:t xml:space="preserve"> </w:t>
      </w:r>
      <w:r>
        <w:t xml:space="preserve">(</w:t>
      </w:r>
      <w:hyperlink w:anchor="ref-vasishth2018">
        <w:r>
          <w:rPr>
            <w:rStyle w:val="Hyperlink"/>
          </w:rPr>
          <w:t xml:space="preserve">Vasishth et al., 2018</w:t>
        </w:r>
      </w:hyperlink>
      <w:r>
        <w:t xml:space="preserve">)</w:t>
      </w:r>
      <w:r>
        <w:t xml:space="preserve">, and trial-level</w:t>
      </w:r>
      <w:r>
        <w:t xml:space="preserve"> </w:t>
      </w:r>
      <w:r>
        <w:t xml:space="preserve">measurement error can inflate as well as attenuate an observed effect in small samples</w:t>
      </w:r>
      <w:r>
        <w:t xml:space="preserve"> </w:t>
      </w:r>
      <w:r>
        <w:t xml:space="preserve">(</w:t>
      </w:r>
      <w:hyperlink w:anchor="ref-loken2017">
        <w:r>
          <w:rPr>
            <w:rStyle w:val="Hyperlink"/>
          </w:rPr>
          <w:t xml:space="preserve">Loken &amp; Gelman, 2017</w:t>
        </w:r>
      </w:hyperlink>
      <w:r>
        <w:t xml:space="preserve">)</w:t>
      </w:r>
      <w:r>
        <w:t xml:space="preserve">. ERP effects compound the problem, since even systematic resampling finds the</w:t>
      </w:r>
      <w:r>
        <w:t xml:space="preserve"> </w:t>
      </w:r>
      <w:r>
        <w:t xml:space="preserve">magnitude, onset and scalp distribution of the P600 to vary widely across samples</w:t>
      </w:r>
      <w:r>
        <w:t xml:space="preserve"> </w:t>
      </w:r>
      <w:r>
        <w:t xml:space="preserve">(</w:t>
      </w:r>
      <w:hyperlink w:anchor="ref-kim2024">
        <w:r>
          <w:rPr>
            <w:rStyle w:val="Hyperlink"/>
          </w:rPr>
          <w:t xml:space="preserve">Kim et al., 2024</w:t>
        </w:r>
      </w:hyperlink>
      <w:r>
        <w:t xml:space="preserve">)</w:t>
      </w:r>
      <w:r>
        <w:t xml:space="preserve">.</w:t>
      </w:r>
      <w:r>
        <w:t xml:space="preserve"> </w:t>
      </w:r>
      <w:r>
        <w:t xml:space="preserve">The level at which replication should be assessed is therefore the qualitative one, where</w:t>
      </w:r>
      <w:r>
        <w:t xml:space="preserve"> </w:t>
      </w:r>
      <w:r>
        <w:t xml:space="preserve">the two studies agree that early-stage learners of a miniature language respond to</w:t>
      </w:r>
      <w:r>
        <w:t xml:space="preserve"> </w:t>
      </w:r>
      <w:r>
        <w:t xml:space="preserve">morphosyntactic violations without a canonical P600, and that the lexical manipulation shows</w:t>
      </w:r>
      <w:r>
        <w:t xml:space="preserve"> </w:t>
      </w:r>
      <w:r>
        <w:t xml:space="preserve">itself in how learners engage with the task more than in their grammatical sensitivity. The</w:t>
      </w:r>
      <w:r>
        <w:t xml:space="preserve"> </w:t>
      </w:r>
      <w:r>
        <w:t xml:space="preserve">same arguments cut against over-reading any group-specific effect in our own data, as the</w:t>
      </w:r>
      <w:r>
        <w:t xml:space="preserve"> </w:t>
      </w:r>
      <w:r>
        <w:rPr>
          <w:i/>
          <w:iCs/>
        </w:rPr>
        <w:t xml:space="preserve">Strength of evidence</w:t>
      </w:r>
      <w:r>
        <w:t xml:space="preserve"> </w:t>
      </w:r>
      <w:r>
        <w:t xml:space="preserve">section below does.</w:t>
      </w:r>
    </w:p>
    <w:bookmarkEnd w:id="130"/>
    <w:bookmarkStart w:id="131" w:name="Xebc7bf1e0b1ea8b803bcafb72c8ca58815729b2"/>
    <w:p>
      <w:pPr>
        <w:pStyle w:val="Heading2"/>
      </w:pPr>
      <w:r>
        <w:t xml:space="preserve">Development, retention and the control properties</w:t>
      </w:r>
    </w:p>
    <w:p>
      <w:pPr>
        <w:pStyle w:val="FirstParagraph"/>
      </w:pPr>
      <w:r>
        <w:t xml:space="preserve">Behavioural sensitivity declined across sessions (</w:t>
      </w:r>
      <w:hyperlink w:anchor="fig-sdt-by-language">
        <w:r>
          <w:rPr>
            <w:rStyle w:val="Hyperlink"/>
          </w:rPr>
          <w:t xml:space="preserve">Figure 11</w:t>
        </w:r>
      </w:hyperlink>
      <w:r>
        <w:t xml:space="preserve">), whereas the</w:t>
      </w:r>
      <w:r>
        <w:t xml:space="preserve"> </w:t>
      </w:r>
      <w:r>
        <w:t xml:space="preserve">gender-agreement ERP grammaticality effect grew in the late window. The two measures are recorded on the same</w:t>
      </w:r>
      <w:r>
        <w:t xml:space="preserve"> </w:t>
      </w:r>
      <w:r>
        <w:t xml:space="preserve">trials, so the dissociation is informative. Each session adds a property, and a judgement</w:t>
      </w:r>
      <w:r>
        <w:t xml:space="preserve"> </w:t>
      </w:r>
      <w:r>
        <w:t xml:space="preserve">made against a larger grammar is harder even when the response to a given violation has</w:t>
      </w:r>
      <w:r>
        <w:t xml:space="preserve"> </w:t>
      </w:r>
      <w:r>
        <w:t xml:space="preserve">strengthened. Session 6 follows about four months without exposure, which would lower</w:t>
      </w:r>
      <w:r>
        <w:t xml:space="preserve"> </w:t>
      </w:r>
      <w:r>
        <w:t xml:space="preserve">sensitivity in the judgements more than a well-consolidated violation response. The design</w:t>
      </w:r>
      <w:r>
        <w:t xml:space="preserve"> </w:t>
      </w:r>
      <w:r>
        <w:t xml:space="preserve">cannot separate these explanations from a drift in how learners approached the task over</w:t>
      </w:r>
      <w:r>
        <w:t xml:space="preserve"> </w:t>
      </w:r>
      <w:r>
        <w:t xml:space="preserve">the sessions.</w:t>
      </w:r>
    </w:p>
    <w:p>
      <w:pPr>
        <w:pStyle w:val="BodyText"/>
      </w:pPr>
      <w:r>
        <w:t xml:space="preserve">The control properties showed no credible ERP modulation by language during training. For</w:t>
      </w:r>
      <w:r>
        <w:t xml:space="preserve"> </w:t>
      </w:r>
      <w:r>
        <w:t xml:space="preserve">differential object marking, the 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term was</w:t>
      </w:r>
      <w:r>
        <w:t xml:space="preserve"> </w:t>
      </w:r>
      <w:r>
        <w:t xml:space="preserve">credible in</w:t>
      </w:r>
      <w:r>
        <w:t xml:space="preserve"> </w:t>
      </w:r>
      <w:r>
        <w:t xml:space="preserve">0 of 6</w:t>
      </w:r>
      <w:r>
        <w:t xml:space="preserve"> </w:t>
      </w:r>
      <w:r>
        <w:t xml:space="preserve">cells, and for verb–object number agreement in</w:t>
      </w:r>
      <w:r>
        <w:t xml:space="preserve"> </w:t>
      </w:r>
      <w:r>
        <w:t xml:space="preserve">0 of 6.</w:t>
      </w:r>
      <w:r>
        <w:t xml:space="preserve"> </w:t>
      </w:r>
      <w:r>
        <w:t xml:space="preserve">Neither property differed between the groups in behavioural sensitivity at any session,</w:t>
      </w:r>
      <w:r>
        <w:t xml:space="preserve"> </w:t>
      </w:r>
      <w:r>
        <w:t xml:space="preserve">although the estimated decline in sensitivity to differential object marking was the</w:t>
      </w:r>
      <w:r>
        <w:t xml:space="preserve"> </w:t>
      </w:r>
      <w:r>
        <w:t xml:space="preserve">smaller in the Mini-Norwegian group, a difference whose interval included zero in the</w:t>
      </w:r>
      <w:r>
        <w:t xml:space="preserve"> </w:t>
      </w:r>
      <w:r>
        <w:t xml:space="preserve">reported models (see Results). The one language-conditioned</w:t>
      </w:r>
      <w:r>
        <w:t xml:space="preserve"> </w:t>
      </w:r>
      <w:r>
        <w:t xml:space="preserve">ERP result for a control property concerns retention. In the refits that free the Session 6</w:t>
      </w:r>
      <w:r>
        <w:t xml:space="preserve"> </w:t>
      </w:r>
      <w:r>
        <w:t xml:space="preserve">step, the early differential-object-marking effect of the Mini-Norwegian group fell below its</w:t>
      </w:r>
      <w:r>
        <w:t xml:space="preserve"> </w:t>
      </w:r>
      <w:r>
        <w:t xml:space="preserve">training trend at Session 6, and the difference between the groups in that deviation was</w:t>
      </w:r>
      <w:r>
        <w:t xml:space="preserve"> </w:t>
      </w:r>
      <w:r>
        <w:t xml:space="preserve">credible in two of the six</w:t>
      </w:r>
      <w:r>
        <w:t xml:space="preserve"> </w:t>
      </w:r>
      <w:r>
        <w:t xml:space="preserve">cells, both on the midline. No account predicted it, it rests on a trend estimated from two</w:t>
      </w:r>
      <w:r>
        <w:t xml:space="preserve"> </w:t>
      </w:r>
      <w:r>
        <w:t xml:space="preserve">sessions, and it falls in the window where the stimulus difference before the critical word</w:t>
      </w:r>
      <w:r>
        <w:t xml:space="preserve"> </w:t>
      </w:r>
      <w:r>
        <w:t xml:space="preserve">could contribute, so we treat it as a candidate for replication and not as a finding about</w:t>
      </w:r>
      <w:r>
        <w:t xml:space="preserve"> </w:t>
      </w:r>
      <w:r>
        <w:t xml:space="preserve">transfer. Differences in how easily the two lexicons were learned, and chance variation</w:t>
      </w:r>
      <w:r>
        <w:t xml:space="preserve"> </w:t>
      </w:r>
      <w:r>
        <w:t xml:space="preserve">across the grid, remain possible sources.</w:t>
      </w:r>
    </w:p>
    <w:p>
      <w:pPr>
        <w:pStyle w:val="BodyText"/>
      </w:pPr>
      <w:r>
        <w:t xml:space="preserve">Over the retention interval, the gender-agreement effect strengthened in the late window,</w:t>
      </w:r>
      <w:r>
        <w:t xml:space="preserve"> </w:t>
      </w:r>
      <w:r>
        <w:t xml:space="preserve">where it had grown during training, and the groups did not differ credibly in that change.</w:t>
      </w:r>
      <w:r>
        <w:t xml:space="preserve"> </w:t>
      </w:r>
      <w:r>
        <w:t xml:space="preserve">Because the linear specification carries the training trend across the gap, that</w:t>
      </w:r>
      <w:r>
        <w:t xml:space="preserve"> </w:t>
      </w:r>
      <w:r>
        <w:t xml:space="preserve">strengthening is the trend evaluated over the interval. The refits that free the Session 6</w:t>
      </w:r>
      <w:r>
        <w:t xml:space="preserve"> </w:t>
      </w:r>
      <w:r>
        <w:t xml:space="preserve">step show that the effect at Session 6 did not depart credibly from that trend in any</w:t>
      </w:r>
      <w:r>
        <w:t xml:space="preserve"> </w:t>
      </w:r>
      <w:r>
        <w:t xml:space="preserve">gender-agreement cell (midline 400–900 ms,</w:t>
      </w:r>
      <w:r>
        <w:t xml:space="preserve"> </w:t>
      </w:r>
      <m:oMath>
        <m:r>
          <m:rPr>
            <m:sty m:val="p"/>
          </m:rPr>
          <m:t>Δ</m:t>
        </m:r>
        <m:r>
          <m:rPr>
            <m:sty m:val="p"/>
          </m:rPr>
          <m:t>=</m:t>
        </m:r>
        <m:r>
          <m:rPr>
            <m:sty m:val="p"/>
          </m:rPr>
          <m:t>−</m:t>
        </m:r>
        <m:r>
          <m:t>0.019</m:t>
        </m:r>
      </m:oMath>
      <w:r>
        <w:t xml:space="preserve">, 95% CrI</w:t>
      </w:r>
      <w:r>
        <w:t xml:space="preserve"> </w:t>
      </w:r>
      <m:oMath>
        <m:r>
          <m:rPr>
            <m:sty m:val="p"/>
          </m:rPr>
          <m:t>[</m:t>
        </m:r>
        <m:r>
          <m:rPr>
            <m:sty m:val="p"/>
          </m:rPr>
          <m:t>−</m:t>
        </m:r>
        <m:r>
          <m:t>0.081</m:t>
        </m:r>
        <m:r>
          <m:rPr>
            <m:sty m:val="p"/>
          </m:rPr>
          <m:t>,</m:t>
        </m:r>
        <m:r>
          <m:t>0.042</m:t>
        </m:r>
        <m:r>
          <m:rPr>
            <m:sty m:val="p"/>
          </m:rPr>
          <m:t>]</m:t>
        </m:r>
      </m:oMath>
      <w:r>
        <w:t xml:space="preserve">,</w:t>
      </w:r>
      <w:r>
        <w:t xml:space="preserve"> </w:t>
      </w:r>
      <m:oMath>
        <m:sSub>
          <m:e>
            <m:r>
              <m:t>p</m:t>
            </m:r>
          </m:e>
          <m:sub>
            <m:r>
              <m:t>d</m:t>
            </m:r>
          </m:sub>
        </m:sSub>
        <m:r>
          <m:rPr>
            <m:sty m:val="p"/>
          </m:rPr>
          <m:t>=</m:t>
        </m:r>
        <m:r>
          <m:t>.73</m:t>
        </m:r>
      </m:oMath>
      <w:r>
        <w:t xml:space="preserve">), in either group or in the</w:t>
      </w:r>
      <w:r>
        <w:t xml:space="preserve"> </w:t>
      </w:r>
      <w:r>
        <w:t xml:space="preserve">difference between them (Mini-Norwegian minus Mini-English</w:t>
      </w:r>
      <w:r>
        <w:t xml:space="preserve"> </w:t>
      </w:r>
      <m:oMath>
        <m:r>
          <m:rPr>
            <m:sty m:val="p"/>
          </m:rPr>
          <m:t>Δ</m:t>
        </m:r>
        <m:r>
          <m:rPr>
            <m:sty m:val="p"/>
          </m:rPr>
          <m:t>=</m:t>
        </m:r>
        <m:r>
          <m:t>0.07</m:t>
        </m:r>
      </m:oMath>
      <w:r>
        <w:t xml:space="preserve">, 95% CrI</w:t>
      </w:r>
      <w:r>
        <w:t xml:space="preserve"> </w:t>
      </w:r>
      <m:oMath>
        <m:r>
          <m:rPr>
            <m:sty m:val="p"/>
          </m:rPr>
          <m:t>[</m:t>
        </m:r>
        <m:r>
          <m:rPr>
            <m:sty m:val="p"/>
          </m:rPr>
          <m:t>−</m:t>
        </m:r>
        <m:r>
          <m:t>0.05</m:t>
        </m:r>
        <m:r>
          <m:rPr>
            <m:sty m:val="p"/>
          </m:rPr>
          <m:t>,</m:t>
        </m:r>
        <m:r>
          <m:t>0.20</m:t>
        </m:r>
        <m:r>
          <m:rPr>
            <m:sty m:val="p"/>
          </m:rPr>
          <m:t>]</m:t>
        </m:r>
      </m:oMath>
      <w:r>
        <w:t xml:space="preserve">,</w:t>
      </w:r>
      <w:r>
        <w:t xml:space="preserve"> </w:t>
      </w:r>
      <m:oMath>
        <m:sSub>
          <m:e>
            <m:r>
              <m:t>p</m:t>
            </m:r>
          </m:e>
          <m:sub>
            <m:r>
              <m:t>d</m:t>
            </m:r>
          </m:sub>
        </m:sSub>
        <m:r>
          <m:rPr>
            <m:sty m:val="p"/>
          </m:rPr>
          <m:t>=</m:t>
        </m:r>
        <m:r>
          <m:t>.88</m:t>
        </m:r>
      </m:oMath>
      <w:r>
        <w:t xml:space="preserve">), although they estimate the</w:t>
      </w:r>
      <w:r>
        <w:t xml:space="preserve"> </w:t>
      </w:r>
      <w:r>
        <w:t xml:space="preserve">departure too imprecisely to tell continued growth from a plateau. Behavioural sensitivity,</w:t>
      </w:r>
      <w:r>
        <w:t xml:space="preserve"> </w:t>
      </w:r>
      <w:r>
        <w:t xml:space="preserve">by contrast, fell over the same interval, and the groups did not differ in how far</w:t>
      </w:r>
      <w:r>
        <w:t xml:space="preserve"> </w:t>
      </w:r>
      <w:r>
        <w:t xml:space="preserve">(</w:t>
      </w:r>
      <m:oMath>
        <m:r>
          <m:rPr>
            <m:sty m:val="p"/>
          </m:rPr>
          <m:t>Δ</m:t>
        </m:r>
        <m:r>
          <m:rPr>
            <m:sty m:val="p"/>
          </m:rPr>
          <m:t>=</m:t>
        </m:r>
        <m:r>
          <m:rPr>
            <m:sty m:val="p"/>
          </m:rPr>
          <m:t>−</m:t>
        </m:r>
        <m:r>
          <m:t>0.6065</m:t>
        </m:r>
      </m:oMath>
      <w:r>
        <w:t xml:space="preserve">, 95% CrI</w:t>
      </w:r>
      <w:r>
        <w:t xml:space="preserve"> </w:t>
      </w:r>
      <m:oMath>
        <m:r>
          <m:rPr>
            <m:sty m:val="p"/>
          </m:rPr>
          <m:t>[</m:t>
        </m:r>
        <m:r>
          <m:rPr>
            <m:sty m:val="p"/>
          </m:rPr>
          <m:t>−</m:t>
        </m:r>
        <m:r>
          <m:t>1.2361</m:t>
        </m:r>
        <m:r>
          <m:rPr>
            <m:sty m:val="p"/>
          </m:rPr>
          <m:t>,</m:t>
        </m:r>
        <m:r>
          <m:rPr>
            <m:sty m:val="p"/>
          </m:rPr>
          <m:t>−</m:t>
        </m:r>
        <m:r>
          <m:t>0.0000</m:t>
        </m:r>
        <m:r>
          <m:rPr>
            <m:sty m:val="p"/>
          </m:rPr>
          <m:t>]</m:t>
        </m:r>
      </m:oMath>
      <w:r>
        <w:t xml:space="preserve">,</w:t>
      </w:r>
      <w:r>
        <w:t xml:space="preserve"> </w:t>
      </w:r>
      <m:oMath>
        <m:sSub>
          <m:e>
            <m:r>
              <m:t>p</m:t>
            </m:r>
          </m:e>
          <m:sub>
            <m:r>
              <m:t>d</m:t>
            </m:r>
          </m:sub>
        </m:sSub>
        <m:r>
          <m:rPr>
            <m:sty m:val="p"/>
          </m:rPr>
          <m:t>=</m:t>
        </m:r>
        <m:r>
          <m:t>.97</m:t>
        </m:r>
      </m:oMath>
      <w:r>
        <w:t xml:space="preserve">).</w:t>
      </w:r>
      <w:r>
        <w:t xml:space="preserve"> </w:t>
      </w:r>
      <w:r>
        <w:t xml:space="preserve">Training studies of this kind find violation responses that hold or grow over months without</w:t>
      </w:r>
      <w:r>
        <w:t xml:space="preserve"> </w:t>
      </w:r>
      <w:r>
        <w:t xml:space="preserve">exposure</w:t>
      </w:r>
      <w:r>
        <w:t xml:space="preserve"> </w:t>
      </w:r>
      <w:r>
        <w:t xml:space="preserve">(</w:t>
      </w:r>
      <w:hyperlink w:anchor="ref-morganshort2012plos">
        <w:r>
          <w:rPr>
            <w:rStyle w:val="Hyperlink"/>
          </w:rPr>
          <w:t xml:space="preserve">Morgan-Short, Finger, et al., 2012</w:t>
        </w:r>
      </w:hyperlink>
      <w:r>
        <w:t xml:space="preserve">)</w:t>
      </w:r>
      <w:r>
        <w:t xml:space="preserve">, and the offline interval here could allow the consolidation</w:t>
      </w:r>
      <w:r>
        <w:t xml:space="preserve"> </w:t>
      </w:r>
      <w:r>
        <w:t xml:space="preserve">such studies describe</w:t>
      </w:r>
      <w:r>
        <w:t xml:space="preserve"> </w:t>
      </w:r>
      <w:r>
        <w:t xml:space="preserve">(</w:t>
      </w:r>
      <w:hyperlink w:anchor="ref-davis2009">
        <w:r>
          <w:rPr>
            <w:rStyle w:val="Hyperlink"/>
          </w:rPr>
          <w:t xml:space="preserve">M. H. Davis &amp; Gaskell, 2009</w:t>
        </w:r>
      </w:hyperlink>
      <w:r>
        <w:t xml:space="preserve">;</w:t>
      </w:r>
      <w:r>
        <w:t xml:space="preserve"> </w:t>
      </w:r>
      <w:hyperlink w:anchor="ref-dudai2015">
        <w:r>
          <w:rPr>
            <w:rStyle w:val="Hyperlink"/>
          </w:rPr>
          <w:t xml:space="preserve">Dudai et al., 2015</w:t>
        </w:r>
      </w:hyperlink>
      <w:r>
        <w:t xml:space="preserve">)</w:t>
      </w:r>
      <w:r>
        <w:t xml:space="preserve">, but the present data do not isolate it.</w:t>
      </w:r>
    </w:p>
    <w:bookmarkEnd w:id="131"/>
    <w:bookmarkStart w:id="132" w:name="what-the-multivariate-analysis-adds"/>
    <w:p>
      <w:pPr>
        <w:pStyle w:val="Heading2"/>
      </w:pPr>
      <w:r>
        <w:t xml:space="preserve">What the multivariate analysis adds</w:t>
      </w:r>
    </w:p>
    <w:p>
      <w:pPr>
        <w:pStyle w:val="FirstParagraph"/>
      </w:pPr>
      <w:r>
        <w:t xml:space="preserve">In the decoding reported here, the univariate and multivariate analyses order the</w:t>
      </w:r>
      <w:r>
        <w:t xml:space="preserve"> </w:t>
      </w:r>
      <w:r>
        <w:t xml:space="preserve">three properties in broadly the same way. Gender agreement carries an amplitude effect</w:t>
      </w:r>
      <w:r>
        <w:t xml:space="preserve"> </w:t>
      </w:r>
      <w:r>
        <w:t xml:space="preserve">credible in 3 of 6 cells and</w:t>
      </w:r>
      <w:r>
        <w:t xml:space="preserve"> </w:t>
      </w:r>
      <w:r>
        <w:t xml:space="preserve">pattern separability that passed the maximum-cluster test but not the second correction layer, which we grade as suggestive. Verb–object number agreement carries neither. Differential object</w:t>
      </w:r>
      <w:r>
        <w:t xml:space="preserve"> </w:t>
      </w:r>
      <w:r>
        <w:t xml:space="preserve">marking carries separability that its pre-stimulus</w:t>
      </w:r>
      <w:r>
        <w:t xml:space="preserve"> </w:t>
      </w:r>
      <w:r>
        <w:t xml:space="preserve">baseline forbids us to read as a violation response. That agreement was not guaranteed,</w:t>
      </w:r>
      <w:r>
        <w:t xml:space="preserve"> </w:t>
      </w:r>
      <w:r>
        <w:t xml:space="preserve">because the two analyses ask different questions. Window-averaged amplitude asks whether a condition shifts the mean</w:t>
      </w:r>
      <w:r>
        <w:t xml:space="preserve"> </w:t>
      </w:r>
      <w:r>
        <w:t xml:space="preserve">at a set of electrodes, whereas decoding asks whether the joint sensor pattern separates</w:t>
      </w:r>
      <w:r>
        <w:t xml:space="preserve"> </w:t>
      </w:r>
      <w:r>
        <w:t xml:space="preserve">single trials</w:t>
      </w:r>
      <w:r>
        <w:t xml:space="preserve"> </w:t>
      </w:r>
      <w:r>
        <w:t xml:space="preserve">(</w:t>
      </w:r>
      <w:hyperlink w:anchor="ref-hebart2018">
        <w:r>
          <w:rPr>
            <w:rStyle w:val="Hyperlink"/>
          </w:rPr>
          <w:t xml:space="preserve">Hebart &amp; Baker, 2018</w:t>
        </w:r>
      </w:hyperlink>
      <w:r>
        <w:t xml:space="preserve">;</w:t>
      </w:r>
      <w:r>
        <w:t xml:space="preserve"> </w:t>
      </w:r>
      <w:hyperlink w:anchor="ref-wang2024">
        <w:r>
          <w:rPr>
            <w:rStyle w:val="Hyperlink"/>
          </w:rPr>
          <w:t xml:space="preserve">Wang &amp; Kuperberg, 2024</w:t>
        </w:r>
      </w:hyperlink>
      <w:r>
        <w:t xml:space="preserve">)</w:t>
      </w:r>
      <w:r>
        <w:t xml:space="preserve">. A divergence in either direction would not have told</w:t>
      </w:r>
      <w:r>
        <w:t xml:space="preserve"> </w:t>
      </w:r>
      <w:r>
        <w:t xml:space="preserve">us which property is better represented, and classification accuracy is in any case not a</w:t>
      </w:r>
      <w:r>
        <w:t xml:space="preserve"> </w:t>
      </w:r>
      <w:r>
        <w:t xml:space="preserve">standardised effect size and cannot be compared across properties as though it were</w:t>
      </w:r>
      <w:r>
        <w:t xml:space="preserve"> </w:t>
      </w:r>
      <w:r>
        <w:t xml:space="preserve">(</w:t>
      </w:r>
      <w:hyperlink w:anchor="ref-hebart2018">
        <w:r>
          <w:rPr>
            <w:rStyle w:val="Hyperlink"/>
          </w:rPr>
          <w:t xml:space="preserve">Hebart &amp; Baker, 2018</w:t>
        </w:r>
      </w:hyperlink>
      <w:r>
        <w:t xml:space="preserve">)</w:t>
      </w:r>
      <w:r>
        <w:t xml:space="preserve">. One limit is worth setting out before the mechanisms. Rejecting a</w:t>
      </w:r>
      <w:r>
        <w:t xml:space="preserve"> </w:t>
      </w:r>
      <w:r>
        <w:t xml:space="preserve">pooled cluster null licenses only that a grammaticality pattern is decodable in some part</w:t>
      </w:r>
      <w:r>
        <w:t xml:space="preserve"> </w:t>
      </w:r>
      <w:r>
        <w:t xml:space="preserve">of the sample, leaving its prevalence across participants unestimated</w:t>
      </w:r>
      <w:r>
        <w:t xml:space="preserve"> </w:t>
      </w:r>
      <w:r>
        <w:t xml:space="preserve">(</w:t>
      </w:r>
      <w:hyperlink w:anchor="ref-allefeld2016">
        <w:r>
          <w:rPr>
            <w:rStyle w:val="Hyperlink"/>
          </w:rPr>
          <w:t xml:space="preserve">Allefeld et al., 2016</w:t>
        </w:r>
      </w:hyperlink>
      <w:r>
        <w:t xml:space="preserve">)</w:t>
      </w:r>
      <w:r>
        <w:t xml:space="preserve">.</w:t>
      </w:r>
    </w:p>
    <w:p>
      <w:pPr>
        <w:pStyle w:val="BodyText"/>
      </w:pPr>
      <w:r>
        <w:t xml:space="preserve">Both profiles that can set the two analyses apart have documented mechanisms. A contrast can be decodable with</w:t>
      </w:r>
      <w:r>
        <w:t xml:space="preserve"> </w:t>
      </w:r>
      <w:r>
        <w:t xml:space="preserve">little univariate effect because decoding tolerates non-uniform response signs, so</w:t>
      </w:r>
      <w:r>
        <w:t xml:space="preserve"> </w:t>
      </w:r>
      <w:r>
        <w:t xml:space="preserve">neighbouring sensors of opposite polarity both carry information where averaging cancels</w:t>
      </w:r>
      <w:r>
        <w:t xml:space="preserve"> </w:t>
      </w:r>
      <w:r>
        <w:t xml:space="preserve">them</w:t>
      </w:r>
      <w:r>
        <w:t xml:space="preserve"> </w:t>
      </w:r>
      <w:r>
        <w:t xml:space="preserve">(</w:t>
      </w:r>
      <w:hyperlink w:anchor="ref-hebart2018">
        <w:r>
          <w:rPr>
            <w:rStyle w:val="Hyperlink"/>
          </w:rPr>
          <w:t xml:space="preserve">Hebart &amp; Baker, 2018</w:t>
        </w:r>
      </w:hyperlink>
      <w:r>
        <w:t xml:space="preserve">)</w:t>
      </w:r>
      <w:r>
        <w:t xml:space="preserve">. Forward modelling shows that such cancellation is substantial at the</w:t>
      </w:r>
      <w:r>
        <w:t xml:space="preserve"> </w:t>
      </w:r>
      <w:r>
        <w:t xml:space="preserve">scalp for distributed sources with partly opposing orientations</w:t>
      </w:r>
      <w:r>
        <w:t xml:space="preserve"> </w:t>
      </w:r>
      <w:r>
        <w:t xml:space="preserve">(</w:t>
      </w:r>
      <w:hyperlink w:anchor="ref-ahlfors2010">
        <w:r>
          <w:rPr>
            <w:rStyle w:val="Hyperlink"/>
          </w:rPr>
          <w:t xml:space="preserve">Ahlfors et al., 2010</w:t>
        </w:r>
      </w:hyperlink>
      <w:r>
        <w:t xml:space="preserve">)</w:t>
      </w:r>
      <w:r>
        <w:t xml:space="preserve">. The</w:t>
      </w:r>
      <w:r>
        <w:t xml:space="preserve"> </w:t>
      </w:r>
      <w:r>
        <w:t xml:space="preserve">transient mean amplitude and comparatively high classification of differential object</w:t>
      </w:r>
      <w:r>
        <w:t xml:space="preserve"> </w:t>
      </w:r>
      <w:r>
        <w:t xml:space="preserve">marking are therefore compatible with a single generator whose spatial configuration is</w:t>
      </w:r>
      <w:r>
        <w:t xml:space="preserve"> </w:t>
      </w:r>
      <w:r>
        <w:t xml:space="preserve">stable even where its net amplitude is small, so far as the baseline difference allows</w:t>
      </w:r>
      <w:r>
        <w:t xml:space="preserve"> </w:t>
      </w:r>
      <w:r>
        <w:t xml:space="preserve">that reading. Multivariate analyses of sentence processing have repeatedly</w:t>
      </w:r>
      <w:r>
        <w:t xml:space="preserve"> </w:t>
      </w:r>
      <w:r>
        <w:t xml:space="preserve">recovered effects that the corresponding ERPs did not</w:t>
      </w:r>
      <w:r>
        <w:t xml:space="preserve"> </w:t>
      </w:r>
      <w:r>
        <w:t xml:space="preserve">(</w:t>
      </w:r>
      <w:hyperlink w:anchor="ref-cho2025">
        <w:r>
          <w:rPr>
            <w:rStyle w:val="Hyperlink"/>
          </w:rPr>
          <w:t xml:space="preserve">Cho &amp; Brennan, 2025</w:t>
        </w:r>
      </w:hyperlink>
      <w:r>
        <w:t xml:space="preserve">;</w:t>
      </w:r>
      <w:r>
        <w:t xml:space="preserve"> </w:t>
      </w:r>
      <w:hyperlink w:anchor="ref-he2024">
        <w:r>
          <w:rPr>
            <w:rStyle w:val="Hyperlink"/>
          </w:rPr>
          <w:t xml:space="preserve">He et al., 2024</w:t>
        </w:r>
      </w:hyperlink>
      <w:r>
        <w:t xml:space="preserve">)</w:t>
      </w:r>
      <w:r>
        <w:t xml:space="preserve">. The converse</w:t>
      </w:r>
      <w:r>
        <w:t xml:space="preserve"> </w:t>
      </w:r>
      <w:r>
        <w:t xml:space="preserve">profile is equally well characterised. Multivariate tests draw their sensitivity from</w:t>
      </w:r>
      <w:r>
        <w:t xml:space="preserve"> </w:t>
      </w:r>
      <w:r>
        <w:t xml:space="preserve">electrode-level variability in the effect within participants and are insensitive</w:t>
      </w:r>
      <w:r>
        <w:t xml:space="preserve"> </w:t>
      </w:r>
      <w:r>
        <w:t xml:space="preserve">to the between-participant variance in mean amplitude that governs univariate group</w:t>
      </w:r>
      <w:r>
        <w:t xml:space="preserve"> </w:t>
      </w:r>
      <w:r>
        <w:t xml:space="preserve">tests</w:t>
      </w:r>
      <w:r>
        <w:t xml:space="preserve"> </w:t>
      </w:r>
      <w:r>
        <w:t xml:space="preserve">(</w:t>
      </w:r>
      <w:hyperlink w:anchor="ref-davis2014">
        <w:r>
          <w:rPr>
            <w:rStyle w:val="Hyperlink"/>
          </w:rPr>
          <w:t xml:space="preserve">T. Davis et al., 2014</w:t>
        </w:r>
      </w:hyperlink>
      <w:r>
        <w:t xml:space="preserve">, on fMRI voxels)</w:t>
      </w:r>
      <w:r>
        <w:t xml:space="preserve">, and increased</w:t>
      </w:r>
      <w:r>
        <w:t xml:space="preserve"> </w:t>
      </w:r>
      <w:r>
        <w:t xml:space="preserve">trial-to-trial variability leaves expected mean amplitude unchanged while progressively</w:t>
      </w:r>
      <w:r>
        <w:t xml:space="preserve"> </w:t>
      </w:r>
      <w:r>
        <w:t xml:space="preserve">shrinking expected decoding accuracy</w:t>
      </w:r>
      <w:r>
        <w:t xml:space="preserve"> </w:t>
      </w:r>
      <w:r>
        <w:t xml:space="preserve">(</w:t>
      </w:r>
      <w:hyperlink w:anchor="ref-carrasco2024">
        <w:r>
          <w:rPr>
            <w:rStyle w:val="Hyperlink"/>
          </w:rPr>
          <w:t xml:space="preserve">Carrasco et al., 2024</w:t>
        </w:r>
      </w:hyperlink>
      <w:r>
        <w:t xml:space="preserve">)</w:t>
      </w:r>
      <w:r>
        <w:t xml:space="preserve">. An effect that is consistent in</w:t>
      </w:r>
      <w:r>
        <w:t xml:space="preserve"> </w:t>
      </w:r>
      <w:r>
        <w:t xml:space="preserve">sign but spatially homogeneous would therefore yield a credible amplitude effect</w:t>
      </w:r>
      <w:r>
        <w:t xml:space="preserve"> </w:t>
      </w:r>
      <w:r>
        <w:t xml:space="preserve">with comparatively little for a classifier to exploit. That profile may describe gender agreement in part, since its credible amplitude effect came with separability that passed the maximum-cluster test but not the second correction layer. Decoding is usually the more sensitive test of</w:t>
      </w:r>
      <w:r>
        <w:t xml:space="preserve"> </w:t>
      </w:r>
      <w:r>
        <w:t xml:space="preserve">the two, but it is not uniformly so, and comparable orderings are documented for the</w:t>
      </w:r>
      <w:r>
        <w:t xml:space="preserve"> </w:t>
      </w:r>
      <w:r>
        <w:t xml:space="preserve">mismatch negativity and the N2pc</w:t>
      </w:r>
      <w:r>
        <w:t xml:space="preserve"> </w:t>
      </w:r>
      <w:r>
        <w:t xml:space="preserve">(</w:t>
      </w:r>
      <w:hyperlink w:anchor="ref-carrasco2024">
        <w:r>
          <w:rPr>
            <w:rStyle w:val="Hyperlink"/>
          </w:rPr>
          <w:t xml:space="preserve">Carrasco et al., 2024</w:t>
        </w:r>
      </w:hyperlink>
      <w:r>
        <w:t xml:space="preserve">)</w:t>
      </w:r>
      <w:r>
        <w:t xml:space="preserve">.</w:t>
      </w:r>
    </w:p>
    <w:p>
      <w:pPr>
        <w:pStyle w:val="BodyText"/>
      </w:pPr>
      <w:r>
        <w:t xml:space="preserve">These considerations constrain the claims available to us. A failure to decode is a failure</w:t>
      </w:r>
      <w:r>
        <w:t xml:space="preserve"> </w:t>
      </w:r>
      <w:r>
        <w:t xml:space="preserve">to find linearly separable information under one analysis, and it leaves open whether the</w:t>
      </w:r>
      <w:r>
        <w:t xml:space="preserve"> </w:t>
      </w:r>
      <w:r>
        <w:t xml:space="preserve">brain distinguishes the conditions</w:t>
      </w:r>
      <w:r>
        <w:t xml:space="preserve"> </w:t>
      </w:r>
      <w:r>
        <w:t xml:space="preserve">(</w:t>
      </w:r>
      <w:hyperlink w:anchor="ref-peelen2023">
        <w:r>
          <w:rPr>
            <w:rStyle w:val="Hyperlink"/>
          </w:rPr>
          <w:t xml:space="preserve">Peelen &amp; Downing, 2023</w:t>
        </w:r>
      </w:hyperlink>
      <w:r>
        <w:t xml:space="preserve">)</w:t>
      </w:r>
      <w:r>
        <w:t xml:space="preserve">. Classification performance, high or low, is</w:t>
      </w:r>
      <w:r>
        <w:t xml:space="preserve"> </w:t>
      </w:r>
      <w:r>
        <w:t xml:space="preserve">a poor guide to representational content</w:t>
      </w:r>
      <w:r>
        <w:t xml:space="preserve"> </w:t>
      </w:r>
      <w:r>
        <w:t xml:space="preserve">(</w:t>
      </w:r>
      <w:hyperlink w:anchor="ref-ritchie2019">
        <w:r>
          <w:rPr>
            <w:rStyle w:val="Hyperlink"/>
          </w:rPr>
          <w:t xml:space="preserve">Ritchie et al., 2019</w:t>
        </w:r>
      </w:hyperlink>
      <w:r>
        <w:t xml:space="preserve">)</w:t>
      </w:r>
      <w:r>
        <w:t xml:space="preserve">. Nor would a divergence between the</w:t>
      </w:r>
      <w:r>
        <w:t xml:space="preserve"> </w:t>
      </w:r>
      <w:r>
        <w:t xml:space="preserve">two analyses support a conclusion about the dimensionality of the underlying code</w:t>
      </w:r>
      <w:r>
        <w:t xml:space="preserve"> </w:t>
      </w:r>
      <w:r>
        <w:t xml:space="preserve">(</w:t>
      </w:r>
      <w:hyperlink w:anchor="ref-davis2014">
        <w:r>
          <w:rPr>
            <w:rStyle w:val="Hyperlink"/>
          </w:rPr>
          <w:t xml:space="preserve">T. Davis et al., 2014</w:t>
        </w:r>
      </w:hyperlink>
      <w:r>
        <w:t xml:space="preserve">)</w:t>
      </w:r>
      <w:r>
        <w:t xml:space="preserve">.</w:t>
      </w:r>
    </w:p>
    <w:p>
      <w:pPr>
        <w:pStyle w:val="BodyText"/>
      </w:pPr>
      <w:r>
        <w:t xml:space="preserve">The weak cross-property generalisation bears on a live theoretical question. If the</w:t>
      </w:r>
      <w:r>
        <w:t xml:space="preserve"> </w:t>
      </w:r>
      <w:r>
        <w:t xml:space="preserve">grammaticality response were largely a domain-general salience or integration signal</w:t>
      </w:r>
      <w:r>
        <w:t xml:space="preserve"> </w:t>
      </w:r>
      <w:r>
        <w:t xml:space="preserve">(</w:t>
      </w:r>
      <w:hyperlink w:anchor="ref-aurnhammer2023">
        <w:r>
          <w:rPr>
            <w:rStyle w:val="Hyperlink"/>
          </w:rPr>
          <w:t xml:space="preserve">Aurnhammer et al., 2023</w:t>
        </w:r>
      </w:hyperlink>
      <w:r>
        <w:t xml:space="preserve">;</w:t>
      </w:r>
      <w:r>
        <w:t xml:space="preserve"> </w:t>
      </w:r>
      <w:hyperlink w:anchor="ref-sassenhagen2019">
        <w:r>
          <w:rPr>
            <w:rStyle w:val="Hyperlink"/>
          </w:rPr>
          <w:t xml:space="preserve">Sassenhagen &amp; Fiebach, 2019</w:t>
        </w:r>
      </w:hyperlink>
      <w:r>
        <w:t xml:space="preserve">)</w:t>
      </w:r>
      <w:r>
        <w:t xml:space="preserve">, a decoder trained on one property should transfer to</w:t>
      </w:r>
      <w:r>
        <w:t xml:space="preserve"> </w:t>
      </w:r>
      <w:r>
        <w:t xml:space="preserve">the others, but no direction exceeded a peak AUC of 0.54, and with no null</w:t>
      </w:r>
      <w:r>
        <w:t xml:space="preserve"> </w:t>
      </w:r>
      <w:r>
        <w:t xml:space="preserve">distribution that value cannot be told apart from chance. That pattern is consistent with evidence</w:t>
      </w:r>
      <w:r>
        <w:t xml:space="preserve"> </w:t>
      </w:r>
      <w:r>
        <w:t xml:space="preserve">that the late positivity fractionates topographically and functionally</w:t>
      </w:r>
      <w:r>
        <w:t xml:space="preserve"> </w:t>
      </w:r>
      <w:r>
        <w:t xml:space="preserve">(</w:t>
      </w:r>
      <w:hyperlink w:anchor="ref-kaan2003">
        <w:r>
          <w:rPr>
            <w:rStyle w:val="Hyperlink"/>
          </w:rPr>
          <w:t xml:space="preserve">Kaan &amp; Swaab, 2003</w:t>
        </w:r>
      </w:hyperlink>
      <w:r>
        <w:t xml:space="preserve">)</w:t>
      </w:r>
      <w:r>
        <w:t xml:space="preserve">, that</w:t>
      </w:r>
      <w:r>
        <w:t xml:space="preserve"> </w:t>
      </w:r>
      <w:r>
        <w:t xml:space="preserve">agreement features follow separable developmental courses</w:t>
      </w:r>
      <w:r>
        <w:t xml:space="preserve"> </w:t>
      </w:r>
      <w:r>
        <w:t xml:space="preserve">(</w:t>
      </w:r>
      <w:hyperlink w:anchor="ref-alemanbanon2018">
        <w:r>
          <w:rPr>
            <w:rStyle w:val="Hyperlink"/>
          </w:rPr>
          <w:t xml:space="preserve">Alemán Bañón et al., 2018</w:t>
        </w:r>
      </w:hyperlink>
      <w:r>
        <w:t xml:space="preserve">)</w:t>
      </w:r>
      <w:r>
        <w:t xml:space="preserve">, that</w:t>
      </w:r>
      <w:r>
        <w:t xml:space="preserve"> </w:t>
      </w:r>
      <w:r>
        <w:t xml:space="preserve">different violation types within the same learners are predicted by different</w:t>
      </w:r>
      <w:r>
        <w:t xml:space="preserve"> </w:t>
      </w:r>
      <w:r>
        <w:t xml:space="preserve">individual-difference variables</w:t>
      </w:r>
      <w:r>
        <w:t xml:space="preserve"> </w:t>
      </w:r>
      <w:r>
        <w:t xml:space="preserve">(</w:t>
      </w:r>
      <w:hyperlink w:anchor="ref-nichols2019">
        <w:r>
          <w:rPr>
            <w:rStyle w:val="Hyperlink"/>
          </w:rPr>
          <w:t xml:space="preserve">E. S. Nichols &amp; Joanisse, 2019</w:t>
        </w:r>
      </w:hyperlink>
      <w:r>
        <w:t xml:space="preserve">)</w:t>
      </w:r>
      <w:r>
        <w:t xml:space="preserve">, and that decoders of</w:t>
      </w:r>
      <w:r>
        <w:t xml:space="preserve"> </w:t>
      </w:r>
      <w:r>
        <w:t xml:space="preserve">grammatical features generalise selectively</w:t>
      </w:r>
      <w:r>
        <w:t xml:space="preserve"> </w:t>
      </w:r>
      <w:r>
        <w:t xml:space="preserve">(</w:t>
      </w:r>
      <w:hyperlink w:anchor="ref-cho2025">
        <w:r>
          <w:rPr>
            <w:rStyle w:val="Hyperlink"/>
          </w:rPr>
          <w:t xml:space="preserve">Cho &amp; Brennan, 2025</w:t>
        </w:r>
      </w:hyperlink>
      <w:r>
        <w:t xml:space="preserve">)</w:t>
      </w:r>
      <w:r>
        <w:t xml:space="preserve">. Reliable</w:t>
      </w:r>
      <w:r>
        <w:t xml:space="preserve"> </w:t>
      </w:r>
      <w:r>
        <w:t xml:space="preserve">cross-context transfer of linear EEG decoders is achievable</w:t>
      </w:r>
      <w:r>
        <w:t xml:space="preserve"> </w:t>
      </w:r>
      <w:r>
        <w:t xml:space="preserve">(</w:t>
      </w:r>
      <w:hyperlink w:anchor="ref-zhao2025">
        <w:r>
          <w:rPr>
            <w:rStyle w:val="Hyperlink"/>
          </w:rPr>
          <w:t xml:space="preserve">Zhao et al., 2025</w:t>
        </w:r>
      </w:hyperlink>
      <w:r>
        <w:t xml:space="preserve">)</w:t>
      </w:r>
      <w:r>
        <w:t xml:space="preserve">, which weighs</w:t>
      </w:r>
      <w:r>
        <w:t xml:space="preserve"> </w:t>
      </w:r>
      <w:r>
        <w:t xml:space="preserve">against reading the present result as simple insensitivity. Even so, failed</w:t>
      </w:r>
      <w:r>
        <w:t xml:space="preserve"> </w:t>
      </w:r>
      <w:r>
        <w:t xml:space="preserve">cross-classification is confounded with feature selection, since the sensors and</w:t>
      </w:r>
      <w:r>
        <w:t xml:space="preserve"> </w:t>
      </w:r>
      <w:r>
        <w:t xml:space="preserve">latencies that best separate grammatical from ungrammatical trials within a property need</w:t>
      </w:r>
      <w:r>
        <w:t xml:space="preserve"> </w:t>
      </w:r>
      <w:r>
        <w:t xml:space="preserve">not be those carrying a property-general signal</w:t>
      </w:r>
      <w:r>
        <w:t xml:space="preserve"> </w:t>
      </w:r>
      <w:r>
        <w:t xml:space="preserve">(</w:t>
      </w:r>
      <w:hyperlink w:anchor="ref-kaplan2015">
        <w:r>
          <w:rPr>
            <w:rStyle w:val="Hyperlink"/>
          </w:rPr>
          <w:t xml:space="preserve">Kaplan et al., 2015</w:t>
        </w:r>
      </w:hyperlink>
      <w:r>
        <w:t xml:space="preserve">)</w:t>
      </w:r>
      <w:r>
        <w:t xml:space="preserve">. We therefore read the</w:t>
      </w:r>
      <w:r>
        <w:t xml:space="preserve"> </w:t>
      </w:r>
      <w:r>
        <w:t xml:space="preserve">result as consistent with construction-specific coding, without taking it to refute any</w:t>
      </w:r>
      <w:r>
        <w:t xml:space="preserve"> </w:t>
      </w:r>
      <w:r>
        <w:t xml:space="preserve">shared component. A Bayes-factor treatment of the decoding time-course would</w:t>
      </w:r>
      <w:r>
        <w:t xml:space="preserve"> </w:t>
      </w:r>
      <w:r>
        <w:t xml:space="preserve">allow such nulls to be quantified as well as reported</w:t>
      </w:r>
      <w:r>
        <w:t xml:space="preserve"> </w:t>
      </w:r>
      <w:r>
        <w:t xml:space="preserve">(</w:t>
      </w:r>
      <w:hyperlink w:anchor="ref-keysers2020">
        <w:r>
          <w:rPr>
            <w:rStyle w:val="Hyperlink"/>
          </w:rPr>
          <w:t xml:space="preserve">Keysers et al., 2020</w:t>
        </w:r>
      </w:hyperlink>
      <w:r>
        <w:t xml:space="preserve">;</w:t>
      </w:r>
      <w:r>
        <w:t xml:space="preserve"> </w:t>
      </w:r>
      <w:hyperlink w:anchor="ref-teichmann2022">
        <w:r>
          <w:rPr>
            <w:rStyle w:val="Hyperlink"/>
          </w:rPr>
          <w:t xml:space="preserve">Teichmann, 2022</w:t>
        </w:r>
      </w:hyperlink>
      <w:r>
        <w:t xml:space="preserve">)</w:t>
      </w:r>
      <w:r>
        <w:t xml:space="preserve">.</w:t>
      </w:r>
    </w:p>
    <w:bookmarkEnd w:id="132"/>
    <w:bookmarkStart w:id="133" w:name="strength-of-evidence"/>
    <w:p>
      <w:pPr>
        <w:pStyle w:val="Heading2"/>
      </w:pPr>
      <w:r>
        <w:t xml:space="preserve">Strength of evidence</w:t>
      </w:r>
    </w:p>
    <w:p>
      <w:pPr>
        <w:pStyle w:val="FirstParagraph"/>
      </w:pPr>
      <w:r>
        <w:t xml:space="preserve">The conclusions above should be read on the graded scale set out under</w:t>
      </w:r>
      <w:r>
        <w:t xml:space="preserve"> </w:t>
      </w:r>
      <w:r>
        <w:rPr>
          <w:i/>
          <w:iCs/>
        </w:rPr>
        <w:t xml:space="preserve">Inference</w:t>
      </w:r>
      <w:r>
        <w:t xml:space="preserve"> </w:t>
      </w:r>
      <w:r>
        <w:t xml:space="preserve">(</w:t>
      </w:r>
      <w:hyperlink w:anchor="ref-kruschke2018">
        <w:r>
          <w:rPr>
            <w:rStyle w:val="Hyperlink"/>
          </w:rPr>
          <w:t xml:space="preserve">Kruschke &amp; Liddell, 2018</w:t>
        </w:r>
      </w:hyperlink>
      <w:r>
        <w:t xml:space="preserve">;</w:t>
      </w:r>
      <w:r>
        <w:t xml:space="preserve"> </w:t>
      </w:r>
      <w:hyperlink w:anchor="ref-makowski2019">
        <w:r>
          <w:rPr>
            <w:rStyle w:val="Hyperlink"/>
          </w:rPr>
          <w:t xml:space="preserve">Makowski et al., 2019</w:t>
        </w:r>
      </w:hyperlink>
      <w:r>
        <w:t xml:space="preserve">)</w:t>
      </w:r>
      <w:r>
        <w:t xml:space="preserve">. The central finding is an absence, and absences need their</w:t>
      </w:r>
      <w:r>
        <w:t xml:space="preserve"> </w:t>
      </w:r>
      <w:r>
        <w:t xml:space="preserve">precision stated. In the ERP models, the interval for the grammaticality</w:t>
      </w:r>
      <w:r>
        <w:t xml:space="preserve"> </w:t>
      </w:r>
      <m:oMath>
        <m:r>
          <m:rPr>
            <m:sty m:val="p"/>
          </m:rPr>
          <m:t>×</m:t>
        </m:r>
      </m:oMath>
      <w:r>
        <w:t xml:space="preserve"> </w:t>
      </w:r>
      <w:r>
        <w:t xml:space="preserve">language</w:t>
      </w:r>
      <w:r>
        <w:t xml:space="preserve"> </w:t>
      </w:r>
      <w:r>
        <w:t xml:space="preserve">term for gender agreement is wide relative to the grammaticality effect itself (no bound</w:t>
      </w:r>
      <w:r>
        <w:t xml:space="preserve"> </w:t>
      </w:r>
      <w:r>
        <w:t xml:space="preserve">beyond 0.039</w:t>
      </w:r>
      <w:r>
        <w:t xml:space="preserve"> </w:t>
      </w:r>
      <w:r>
        <w:t xml:space="preserve">within-participant standard deviations; compare the first and second rows of</w:t>
      </w:r>
      <w:r>
        <w:t xml:space="preserve"> </w:t>
      </w:r>
      <w:hyperlink w:anchor="fig-erp-forest">
        <w:r>
          <w:rPr>
            <w:rStyle w:val="Hyperlink"/>
          </w:rPr>
          <w:t xml:space="preserve">Figure 7</w:t>
        </w:r>
      </w:hyperlink>
      <w:r>
        <w:t xml:space="preserve">), so the ERP data cannot exclude a language difference</w:t>
      </w:r>
      <w:r>
        <w:t xml:space="preserve"> </w:t>
      </w:r>
      <w:r>
        <w:t xml:space="preserve">of the size of the effect they measure, and they add little to the judgements on this point.</w:t>
      </w:r>
      <w:r>
        <w:t xml:space="preserve"> </w:t>
      </w:r>
      <w:r>
        <w:t xml:space="preserve">In the judgements, the sensitivity difference is also imprecisely estimated (averaged over</w:t>
      </w:r>
      <w:r>
        <w:t xml:space="preserve"> </w:t>
      </w:r>
      <w:r>
        <w:t xml:space="preserve">sessions,</w:t>
      </w:r>
      <w:r>
        <w:t xml:space="preserve"> </w:t>
      </w:r>
      <m:oMath>
        <m:r>
          <m:rPr>
            <m:sty m:val="p"/>
          </m:rPr>
          <m:t>Δ</m:t>
        </m:r>
        <m:r>
          <m:rPr>
            <m:sty m:val="p"/>
          </m:rPr>
          <m:t>=</m:t>
        </m:r>
        <m:r>
          <m:rPr>
            <m:sty m:val="p"/>
          </m:rPr>
          <m:t>−</m:t>
        </m:r>
        <m:r>
          <m:t>0.97</m:t>
        </m:r>
      </m:oMath>
      <w:r>
        <w:t xml:space="preserve">, 95% CrI</w:t>
      </w:r>
      <w:r>
        <w:t xml:space="preserve"> </w:t>
      </w:r>
      <m:oMath>
        <m:r>
          <m:rPr>
            <m:sty m:val="p"/>
          </m:rPr>
          <m:t>[</m:t>
        </m:r>
        <m:r>
          <m:rPr>
            <m:sty m:val="p"/>
          </m:rPr>
          <m:t>−</m:t>
        </m:r>
        <m:r>
          <m:t>2.52</m:t>
        </m:r>
        <m:r>
          <m:rPr>
            <m:sty m:val="p"/>
          </m:rPr>
          <m:t>,</m:t>
        </m:r>
        <m:r>
          <m:t>0.59</m:t>
        </m:r>
        <m:r>
          <m:rPr>
            <m:sty m:val="p"/>
          </m:rPr>
          <m:t>]</m:t>
        </m:r>
      </m:oMath>
      <w:r>
        <w:t xml:space="preserve">,</w:t>
      </w:r>
      <w:r>
        <w:t xml:space="preserve"> </w:t>
      </w:r>
      <m:oMath>
        <m:sSub>
          <m:e>
            <m:r>
              <m:t>p</m:t>
            </m:r>
          </m:e>
          <m:sub>
            <m:r>
              <m:t>d</m:t>
            </m:r>
          </m:sub>
        </m:sSub>
        <m:r>
          <m:rPr>
            <m:sty m:val="p"/>
          </m:rPr>
          <m:t>=</m:t>
        </m:r>
        <m:r>
          <m:t>.89</m:t>
        </m:r>
      </m:oMath>
      <w:r>
        <w:t xml:space="preserve">),</w:t>
      </w:r>
      <w:r>
        <w:t xml:space="preserve"> </w:t>
      </w:r>
      <w:r>
        <w:t xml:space="preserve">so the behavioural evidence against a Mini-Norwegian advantage rests more on its direction</w:t>
      </w:r>
      <w:r>
        <w:t xml:space="preserve"> </w:t>
      </w:r>
      <w:r>
        <w:t xml:space="preserve">than on its precision. We did not adopt an equivalence criterion, so neither null is a demonstration</w:t>
      </w:r>
      <w:r>
        <w:t xml:space="preserve"> </w:t>
      </w:r>
      <w:r>
        <w:t xml:space="preserve">that the groups are equivalent</w:t>
      </w:r>
      <w:r>
        <w:t xml:space="preserve"> </w:t>
      </w:r>
      <w:r>
        <w:t xml:space="preserve">(</w:t>
      </w:r>
      <w:hyperlink w:anchor="ref-amrhein2019">
        <w:r>
          <w:rPr>
            <w:rStyle w:val="Hyperlink"/>
          </w:rPr>
          <w:t xml:space="preserve">Amrhein et al., 2019</w:t>
        </w:r>
      </w:hyperlink>
      <w:r>
        <w:t xml:space="preserve">;</w:t>
      </w:r>
      <w:r>
        <w:t xml:space="preserve"> </w:t>
      </w:r>
      <w:hyperlink w:anchor="ref-kruschke2018">
        <w:r>
          <w:rPr>
            <w:rStyle w:val="Hyperlink"/>
          </w:rPr>
          <w:t xml:space="preserve">Kruschke &amp; Liddell, 2018</w:t>
        </w:r>
      </w:hyperlink>
      <w:r>
        <w:t xml:space="preserve">)</w:t>
      </w:r>
      <w:r>
        <w:t xml:space="preserve">.</w:t>
      </w:r>
    </w:p>
    <w:p>
      <w:pPr>
        <w:pStyle w:val="BodyText"/>
      </w:pPr>
      <w:r>
        <w:t xml:space="preserve">The criterion difference for gender agreement is the result that most needs qualifying. In</w:t>
      </w:r>
      <w:r>
        <w:t xml:space="preserve"> </w:t>
      </w:r>
      <w:r>
        <w:t xml:space="preserve">the reported models it was credible at</w:t>
      </w:r>
      <w:r>
        <w:t xml:space="preserve"> </w:t>
      </w:r>
      <w:r>
        <w:t xml:space="preserve">Sessions 4 and 6 and grew</w:t>
      </w:r>
      <w:r>
        <w:t xml:space="preserve"> </w:t>
      </w:r>
      <w:r>
        <w:t xml:space="preserve">between Sessions 2 and 6. The refit that adds a by-participant slope for the change in bias</w:t>
      </w:r>
      <w:r>
        <w:t xml:space="preserve"> </w:t>
      </w:r>
      <w:r>
        <w:t xml:space="preserve">moved its estimates by no more than 0.06 on the logit scale but widened</w:t>
      </w:r>
      <w:r>
        <w:t xml:space="preserve"> </w:t>
      </w:r>
      <w:r>
        <w:t xml:space="preserve">their intervals, and in that refit the difference was credible</w:t>
      </w:r>
      <w:r>
        <w:t xml:space="preserve"> </w:t>
      </w:r>
      <w:r>
        <w:t xml:space="preserve">at no session, nor did it grow credibly</w:t>
      </w:r>
      <w:r>
        <w:t xml:space="preserve"> </w:t>
      </w:r>
      <w:r>
        <w:t xml:space="preserve">(averaged over sessions,</w:t>
      </w:r>
      <w:r>
        <w:t xml:space="preserve"> </w:t>
      </w:r>
      <m:oMath>
        <m:r>
          <m:rPr>
            <m:sty m:val="p"/>
          </m:rPr>
          <m:t>Δ</m:t>
        </m:r>
        <m:r>
          <m:rPr>
            <m:sty m:val="p"/>
          </m:rPr>
          <m:t>=</m:t>
        </m:r>
        <m:r>
          <m:rPr>
            <m:sty m:val="p"/>
          </m:rPr>
          <m:t>−</m:t>
        </m:r>
        <m:r>
          <m:t>0.55</m:t>
        </m:r>
      </m:oMath>
      <w:r>
        <w:t xml:space="preserve">, 95% CrI</w:t>
      </w:r>
      <w:r>
        <w:t xml:space="preserve"> </w:t>
      </w:r>
      <m:oMath>
        <m:r>
          <m:rPr>
            <m:sty m:val="p"/>
          </m:rPr>
          <m:t>[</m:t>
        </m:r>
        <m:r>
          <m:rPr>
            <m:sty m:val="p"/>
          </m:rPr>
          <m:t>−</m:t>
        </m:r>
        <m:r>
          <m:t>1.13</m:t>
        </m:r>
        <m:r>
          <m:rPr>
            <m:sty m:val="p"/>
          </m:rPr>
          <m:t>,</m:t>
        </m:r>
        <m:r>
          <m:t>0.03</m:t>
        </m:r>
        <m:r>
          <m:rPr>
            <m:sty m:val="p"/>
          </m:rPr>
          <m:t>]</m:t>
        </m:r>
      </m:oMath>
      <w:r>
        <w:t xml:space="preserve">,</w:t>
      </w:r>
      <w:r>
        <w:t xml:space="preserve"> </w:t>
      </w:r>
      <m:oMath>
        <m:sSub>
          <m:e>
            <m:r>
              <m:t>p</m:t>
            </m:r>
          </m:e>
          <m:sub>
            <m:r>
              <m:t>d</m:t>
            </m:r>
          </m:sub>
        </m:sSub>
        <m:r>
          <m:rPr>
            <m:sty m:val="p"/>
          </m:rPr>
          <m:t>=</m:t>
        </m:r>
        <m:r>
          <m:t>.97</m:t>
        </m:r>
      </m:oMath>
      <w:r>
        <w:t xml:space="preserve">;</w:t>
      </w:r>
      <w:r>
        <w:t xml:space="preserve"> </w:t>
      </w:r>
      <w:r>
        <w:t xml:space="preserve">growth between Sessions 2 and 6,</w:t>
      </w:r>
      <w:r>
        <w:t xml:space="preserve"> </w:t>
      </w:r>
      <m:oMath>
        <m:r>
          <m:rPr>
            <m:sty m:val="p"/>
          </m:rPr>
          <m:t>Δ</m:t>
        </m:r>
        <m:r>
          <m:rPr>
            <m:sty m:val="p"/>
          </m:rPr>
          <m:t>=</m:t>
        </m:r>
        <m:r>
          <m:rPr>
            <m:sty m:val="p"/>
          </m:rPr>
          <m:t>−</m:t>
        </m:r>
        <m:r>
          <m:t>0.87</m:t>
        </m:r>
      </m:oMath>
      <w:r>
        <w:t xml:space="preserve">, 95% CrI</w:t>
      </w:r>
      <w:r>
        <w:t xml:space="preserve"> </w:t>
      </w:r>
      <m:oMath>
        <m:r>
          <m:rPr>
            <m:sty m:val="p"/>
          </m:rPr>
          <m:t>[</m:t>
        </m:r>
        <m:r>
          <m:rPr>
            <m:sty m:val="p"/>
          </m:rPr>
          <m:t>−</m:t>
        </m:r>
        <m:r>
          <m:t>2.04</m:t>
        </m:r>
        <m:r>
          <m:rPr>
            <m:sty m:val="p"/>
          </m:rPr>
          <m:t>,</m:t>
        </m:r>
        <m:r>
          <m:t>0.33</m:t>
        </m:r>
        <m:r>
          <m:rPr>
            <m:sty m:val="p"/>
          </m:rPr>
          <m:t>]</m:t>
        </m:r>
      </m:oMath>
      <w:r>
        <w:t xml:space="preserve">,</w:t>
      </w:r>
      <w:r>
        <w:t xml:space="preserve"> </w:t>
      </w:r>
      <m:oMath>
        <m:sSub>
          <m:e>
            <m:r>
              <m:t>p</m:t>
            </m:r>
          </m:e>
          <m:sub>
            <m:r>
              <m:t>d</m:t>
            </m:r>
          </m:sub>
        </m:sSub>
        <m:r>
          <m:rPr>
            <m:sty m:val="p"/>
          </m:rPr>
          <m:t>=</m:t>
        </m:r>
        <m:r>
          <m:t>.93</m:t>
        </m:r>
      </m:oMath>
      <w:r>
        <w:t xml:space="preserve">).</w:t>
      </w:r>
      <w:r>
        <w:t xml:space="preserve"> </w:t>
      </w:r>
      <w:r>
        <w:t xml:space="preserve">That slope lets each learner’s criterion change at its own rate, and leaving it out can make</w:t>
      </w:r>
      <w:r>
        <w:t xml:space="preserve"> </w:t>
      </w:r>
      <w:r>
        <w:t xml:space="preserve">the interval of the corresponding fixed effect too narrow</w:t>
      </w:r>
      <w:r>
        <w:t xml:space="preserve"> </w:t>
      </w:r>
      <w:r>
        <w:t xml:space="preserve">(</w:t>
      </w:r>
      <w:hyperlink w:anchor="ref-barr2013">
        <w:r>
          <w:rPr>
            <w:rStyle w:val="Hyperlink"/>
          </w:rPr>
          <w:t xml:space="preserve">Barr et al., 2013</w:t>
        </w:r>
      </w:hyperlink>
      <w:r>
        <w:t xml:space="preserve">)</w:t>
      </w:r>
      <w:r>
        <w:t xml:space="preserve">, which is why the ERP</w:t>
      </w:r>
      <w:r>
        <w:t xml:space="preserve"> </w:t>
      </w:r>
      <w:r>
        <w:t xml:space="preserve">models carry its counterpart. The direction of the difference is the same in every fit,</w:t>
      </w:r>
      <w:r>
        <w:t xml:space="preserve"> </w:t>
      </w:r>
      <w:r>
        <w:t xml:space="preserve">with a posterior probability of at least .96 in each that the Mini-Norwegian criterion was the more liberal at Sessions 4 and 6, but its credibility depends on the random-effect structure, and</w:t>
      </w:r>
      <w:r>
        <w:t xml:space="preserve"> </w:t>
      </w:r>
      <w:r>
        <w:t xml:space="preserve">we grade it as suggestive.</w:t>
      </w:r>
    </w:p>
    <w:p>
      <w:pPr>
        <w:pStyle w:val="BodyText"/>
      </w:pPr>
      <w:r>
        <w:t xml:space="preserve">The refit with the reaction-time screen qualifies the gender-agreement criterion difference in another way. With the screen, the groups’ criteria differed credibly for gender agreement at Sessions 3, 4 and 6. The difference was larger at every session, by 0.18 to 0.23 on the logit scale, but as without the screen it was not credible at Session 2 and grew credibly between Sessions 2 and 6 (</w:t>
      </w:r>
      <m:oMath>
        <m:r>
          <m:rPr>
            <m:sty m:val="p"/>
          </m:rPr>
          <m:t>Δ</m:t>
        </m:r>
        <m:r>
          <m:rPr>
            <m:sty m:val="p"/>
          </m:rPr>
          <m:t>=</m:t>
        </m:r>
        <m:r>
          <m:rPr>
            <m:sty m:val="p"/>
          </m:rPr>
          <m:t>−</m:t>
        </m:r>
        <m:r>
          <m:t>0.93</m:t>
        </m:r>
      </m:oMath>
      <w:r>
        <w:t xml:space="preserve">, 95% CrI</w:t>
      </w:r>
      <w:r>
        <w:t xml:space="preserve"> </w:t>
      </w:r>
      <m:oMath>
        <m:r>
          <m:rPr>
            <m:sty m:val="p"/>
          </m:rPr>
          <m:t>[</m:t>
        </m:r>
        <m:r>
          <m:rPr>
            <m:sty m:val="p"/>
          </m:rPr>
          <m:t>−</m:t>
        </m:r>
        <m:r>
          <m:t>1.32</m:t>
        </m:r>
        <m:r>
          <m:rPr>
            <m:sty m:val="p"/>
          </m:rPr>
          <m:t>,</m:t>
        </m:r>
        <m:r>
          <m:rPr>
            <m:sty m:val="p"/>
          </m:rPr>
          <m:t>−</m:t>
        </m:r>
        <m:r>
          <m:t>0.53</m:t>
        </m:r>
        <m:r>
          <m:rPr>
            <m:sty m:val="p"/>
          </m:rPr>
          <m:t>]</m:t>
        </m:r>
      </m:oMath>
      <w:r>
        <w:t xml:space="preserve">,</w:t>
      </w:r>
      <w:r>
        <w:t xml:space="preserve"> </w:t>
      </w:r>
      <m:oMath>
        <m:sSub>
          <m:e>
            <m:r>
              <m:t>p</m:t>
            </m:r>
          </m:e>
          <m:sub>
            <m:r>
              <m:t>d</m:t>
            </m:r>
          </m:sub>
        </m:sSub>
        <m:r>
          <m:rPr>
            <m:sty m:val="p"/>
          </m:rPr>
          <m:t>&gt;</m:t>
        </m:r>
        <m:r>
          <m:t>.999</m:t>
        </m:r>
      </m:oMath>
      <w:r>
        <w:t xml:space="preserve">). The screen therefore bears on the size of the difference more than on its course. We report the fits without it, for the reasons given under</w:t>
      </w:r>
      <w:r>
        <w:t xml:space="preserve"> </w:t>
      </w:r>
      <w:r>
        <w:rPr>
          <w:i/>
          <w:iCs/>
        </w:rPr>
        <w:t xml:space="preserve">Grammaticality-judgement task</w:t>
      </w:r>
      <w:r>
        <w:t xml:space="preserve">, and grade as suggestive the six results that only one of the two fits supports: the criterion difference at Session 3, credible only with the screen (</w:t>
      </w:r>
      <m:oMath>
        <m:r>
          <m:rPr>
            <m:sty m:val="p"/>
          </m:rPr>
          <m:t>Δ</m:t>
        </m:r>
        <m:r>
          <m:rPr>
            <m:sty m:val="p"/>
          </m:rPr>
          <m:t>=</m:t>
        </m:r>
        <m:r>
          <m:rPr>
            <m:sty m:val="p"/>
          </m:rPr>
          <m:t>−</m:t>
        </m:r>
        <m:r>
          <m:t>0.67</m:t>
        </m:r>
      </m:oMath>
      <w:r>
        <w:t xml:space="preserve">, 95% CrI</w:t>
      </w:r>
      <w:r>
        <w:t xml:space="preserve"> </w:t>
      </w:r>
      <m:oMath>
        <m:r>
          <m:rPr>
            <m:sty m:val="p"/>
          </m:rPr>
          <m:t>[</m:t>
        </m:r>
        <m:r>
          <m:rPr>
            <m:sty m:val="p"/>
          </m:rPr>
          <m:t>−</m:t>
        </m:r>
        <m:r>
          <m:t>1.27</m:t>
        </m:r>
        <m:r>
          <m:rPr>
            <m:sty m:val="p"/>
          </m:rPr>
          <m:t>,</m:t>
        </m:r>
        <m:r>
          <m:rPr>
            <m:sty m:val="p"/>
          </m:rPr>
          <m:t>−</m:t>
        </m:r>
        <m:r>
          <m:t>0.09</m:t>
        </m:r>
        <m:r>
          <m:rPr>
            <m:sty m:val="p"/>
          </m:rPr>
          <m:t>]</m:t>
        </m:r>
      </m:oMath>
      <w:r>
        <w:t xml:space="preserve">,</w:t>
      </w:r>
      <w:r>
        <w:t xml:space="preserve"> </w:t>
      </w:r>
      <m:oMath>
        <m:sSub>
          <m:e>
            <m:r>
              <m:t>p</m:t>
            </m:r>
          </m:e>
          <m:sub>
            <m:r>
              <m:t>d</m:t>
            </m:r>
          </m:sub>
        </m:sSub>
        <m:r>
          <m:rPr>
            <m:sty m:val="p"/>
          </m:rPr>
          <m:t>=</m:t>
        </m:r>
        <m:r>
          <m:t>.99</m:t>
        </m:r>
      </m:oMath>
      <w:r>
        <w:t xml:space="preserve">); the Mini-Norwegian group’s lower sensitivity at Session 6, credible only without it (</w:t>
      </w:r>
      <m:oMath>
        <m:r>
          <m:rPr>
            <m:sty m:val="p"/>
          </m:rPr>
          <m:t>Δ</m:t>
        </m:r>
        <m:r>
          <m:rPr>
            <m:sty m:val="p"/>
          </m:rPr>
          <m:t>=</m:t>
        </m:r>
        <m:r>
          <m:rPr>
            <m:sty m:val="p"/>
          </m:rPr>
          <m:t>−</m:t>
        </m:r>
        <m:r>
          <m:t>2.01</m:t>
        </m:r>
      </m:oMath>
      <w:r>
        <w:t xml:space="preserve">, 95% CrI</w:t>
      </w:r>
      <w:r>
        <w:t xml:space="preserve"> </w:t>
      </w:r>
      <m:oMath>
        <m:r>
          <m:rPr>
            <m:sty m:val="p"/>
          </m:rPr>
          <m:t>[</m:t>
        </m:r>
        <m:r>
          <m:rPr>
            <m:sty m:val="p"/>
          </m:rPr>
          <m:t>−</m:t>
        </m:r>
        <m:r>
          <m:t>3.93</m:t>
        </m:r>
        <m:r>
          <m:rPr>
            <m:sty m:val="p"/>
          </m:rPr>
          <m:t>,</m:t>
        </m:r>
        <m:r>
          <m:rPr>
            <m:sty m:val="p"/>
          </m:rPr>
          <m:t>−</m:t>
        </m:r>
        <m:r>
          <m:t>0.11</m:t>
        </m:r>
        <m:r>
          <m:rPr>
            <m:sty m:val="p"/>
          </m:rPr>
          <m:t>]</m:t>
        </m:r>
      </m:oMath>
      <w:r>
        <w:t xml:space="preserve">,</w:t>
      </w:r>
      <w:r>
        <w:t xml:space="preserve"> </w:t>
      </w:r>
      <m:oMath>
        <m:sSub>
          <m:e>
            <m:r>
              <m:t>p</m:t>
            </m:r>
          </m:e>
          <m:sub>
            <m:r>
              <m:t>d</m:t>
            </m:r>
          </m:sub>
        </m:sSub>
        <m:r>
          <m:rPr>
            <m:sty m:val="p"/>
          </m:rPr>
          <m:t>=</m:t>
        </m:r>
        <m:r>
          <m:t>.98</m:t>
        </m:r>
      </m:oMath>
      <w:r>
        <w:t xml:space="preserve">); the difference between the groups’ changes in sensitivity between Sessions 2 and 6 for gender agreement, credible only without it (</w:t>
      </w:r>
      <m:oMath>
        <m:r>
          <m:rPr>
            <m:sty m:val="p"/>
          </m:rPr>
          <m:t>Δ</m:t>
        </m:r>
        <m:r>
          <m:rPr>
            <m:sty m:val="p"/>
          </m:rPr>
          <m:t>=</m:t>
        </m:r>
        <m:r>
          <m:rPr>
            <m:sty m:val="p"/>
          </m:rPr>
          <m:t>−</m:t>
        </m:r>
        <m:r>
          <m:t>1.8196</m:t>
        </m:r>
      </m:oMath>
      <w:r>
        <w:t xml:space="preserve">, 95% CrI</w:t>
      </w:r>
      <w:r>
        <w:t xml:space="preserve"> </w:t>
      </w:r>
      <m:oMath>
        <m:r>
          <m:rPr>
            <m:sty m:val="p"/>
          </m:rPr>
          <m:t>[</m:t>
        </m:r>
        <m:r>
          <m:rPr>
            <m:sty m:val="p"/>
          </m:rPr>
          <m:t>−</m:t>
        </m:r>
        <m:r>
          <m:t>3.7083</m:t>
        </m:r>
        <m:r>
          <m:rPr>
            <m:sty m:val="p"/>
          </m:rPr>
          <m:t>,</m:t>
        </m:r>
        <m:r>
          <m:rPr>
            <m:sty m:val="p"/>
          </m:rPr>
          <m:t>−</m:t>
        </m:r>
        <m:r>
          <m:t>0.0001</m:t>
        </m:r>
        <m:r>
          <m:rPr>
            <m:sty m:val="p"/>
          </m:rPr>
          <m:t>]</m:t>
        </m:r>
      </m:oMath>
      <w:r>
        <w:t xml:space="preserve">,</w:t>
      </w:r>
      <w:r>
        <w:t xml:space="preserve"> </w:t>
      </w:r>
      <m:oMath>
        <m:sSub>
          <m:e>
            <m:r>
              <m:t>p</m:t>
            </m:r>
          </m:e>
          <m:sub>
            <m:r>
              <m:t>d</m:t>
            </m:r>
          </m:sub>
        </m:sSub>
        <m:r>
          <m:rPr>
            <m:sty m:val="p"/>
          </m:rPr>
          <m:t>=</m:t>
        </m:r>
        <m:r>
          <m:t>.97</m:t>
        </m:r>
      </m:oMath>
      <w:r>
        <w:t xml:space="preserve">); the difference between the groups’ changes in sensitivity between Sessions 4 and 6 for gender agreement, credible only without it (</w:t>
      </w:r>
      <m:oMath>
        <m:r>
          <m:rPr>
            <m:sty m:val="p"/>
          </m:rPr>
          <m:t>Δ</m:t>
        </m:r>
        <m:r>
          <m:rPr>
            <m:sty m:val="p"/>
          </m:rPr>
          <m:t>=</m:t>
        </m:r>
        <m:r>
          <m:rPr>
            <m:sty m:val="p"/>
          </m:rPr>
          <m:t>−</m:t>
        </m:r>
        <m:r>
          <m:t>0.6065</m:t>
        </m:r>
      </m:oMath>
      <w:r>
        <w:t xml:space="preserve">, 95% CrI</w:t>
      </w:r>
      <w:r>
        <w:t xml:space="preserve"> </w:t>
      </w:r>
      <m:oMath>
        <m:r>
          <m:rPr>
            <m:sty m:val="p"/>
          </m:rPr>
          <m:t>[</m:t>
        </m:r>
        <m:r>
          <m:rPr>
            <m:sty m:val="p"/>
          </m:rPr>
          <m:t>−</m:t>
        </m:r>
        <m:r>
          <m:t>1.2361</m:t>
        </m:r>
        <m:r>
          <m:rPr>
            <m:sty m:val="p"/>
          </m:rPr>
          <m:t>,</m:t>
        </m:r>
        <m:r>
          <m:rPr>
            <m:sty m:val="p"/>
          </m:rPr>
          <m:t>−</m:t>
        </m:r>
        <m:r>
          <m:t>0.0000</m:t>
        </m:r>
        <m:r>
          <m:rPr>
            <m:sty m:val="p"/>
          </m:rPr>
          <m:t>]</m:t>
        </m:r>
      </m:oMath>
      <w:r>
        <w:t xml:space="preserve">,</w:t>
      </w:r>
      <w:r>
        <w:t xml:space="preserve"> </w:t>
      </w:r>
      <m:oMath>
        <m:sSub>
          <m:e>
            <m:r>
              <m:t>p</m:t>
            </m:r>
          </m:e>
          <m:sub>
            <m:r>
              <m:t>d</m:t>
            </m:r>
          </m:sub>
        </m:sSub>
        <m:r>
          <m:rPr>
            <m:sty m:val="p"/>
          </m:rPr>
          <m:t>=</m:t>
        </m:r>
        <m:r>
          <m:t>.97</m:t>
        </m:r>
      </m:oMath>
      <w:r>
        <w:t xml:space="preserve">); the difference between the groups’ changes in sensitivity between Sessions 3 and 6 for differential object marking, credible only with it (</w:t>
      </w:r>
      <m:oMath>
        <m:r>
          <m:rPr>
            <m:sty m:val="p"/>
          </m:rPr>
          <m:t>Δ</m:t>
        </m:r>
        <m:r>
          <m:rPr>
            <m:sty m:val="p"/>
          </m:rPr>
          <m:t>=</m:t>
        </m:r>
        <m:r>
          <m:t>3.53</m:t>
        </m:r>
      </m:oMath>
      <w:r>
        <w:t xml:space="preserve">, 95% CrI</w:t>
      </w:r>
      <w:r>
        <w:t xml:space="preserve"> </w:t>
      </w:r>
      <m:oMath>
        <m:r>
          <m:rPr>
            <m:sty m:val="p"/>
          </m:rPr>
          <m:t>[</m:t>
        </m:r>
        <m:r>
          <m:t>0.01</m:t>
        </m:r>
        <m:r>
          <m:rPr>
            <m:sty m:val="p"/>
          </m:rPr>
          <m:t>,</m:t>
        </m:r>
        <m:r>
          <m:t>7.10</m:t>
        </m:r>
        <m:r>
          <m:rPr>
            <m:sty m:val="p"/>
          </m:rPr>
          <m:t>]</m:t>
        </m:r>
      </m:oMath>
      <w:r>
        <w:t xml:space="preserve">,</w:t>
      </w:r>
      <w:r>
        <w:t xml:space="preserve"> </w:t>
      </w:r>
      <m:oMath>
        <m:sSub>
          <m:e>
            <m:r>
              <m:t>p</m:t>
            </m:r>
          </m:e>
          <m:sub>
            <m:r>
              <m:t>d</m:t>
            </m:r>
          </m:sub>
        </m:sSub>
        <m:r>
          <m:rPr>
            <m:sty m:val="p"/>
          </m:rPr>
          <m:t>=</m:t>
        </m:r>
        <m:r>
          <m:t>.98</m:t>
        </m:r>
      </m:oMath>
      <w:r>
        <w:t xml:space="preserve">); and the difference between the groups’ changes in sensitivity between Sessions 4 and 6 for differential object marking, credible only with it (</w:t>
      </w:r>
      <m:oMath>
        <m:r>
          <m:rPr>
            <m:sty m:val="p"/>
          </m:rPr>
          <m:t>Δ</m:t>
        </m:r>
        <m:r>
          <m:rPr>
            <m:sty m:val="p"/>
          </m:rPr>
          <m:t>=</m:t>
        </m:r>
        <m:r>
          <m:t>1.766</m:t>
        </m:r>
      </m:oMath>
      <w:r>
        <w:t xml:space="preserve">, 95% CrI</w:t>
      </w:r>
      <w:r>
        <w:t xml:space="preserve"> </w:t>
      </w:r>
      <m:oMath>
        <m:r>
          <m:rPr>
            <m:sty m:val="p"/>
          </m:rPr>
          <m:t>[</m:t>
        </m:r>
        <m:r>
          <m:t>0.003</m:t>
        </m:r>
        <m:r>
          <m:rPr>
            <m:sty m:val="p"/>
          </m:rPr>
          <m:t>,</m:t>
        </m:r>
        <m:r>
          <m:t>3.548</m:t>
        </m:r>
        <m:r>
          <m:rPr>
            <m:sty m:val="p"/>
          </m:rPr>
          <m:t>]</m:t>
        </m:r>
      </m:oMath>
      <w:r>
        <w:t xml:space="preserve">,</w:t>
      </w:r>
      <w:r>
        <w:t xml:space="preserve"> </w:t>
      </w:r>
      <m:oMath>
        <m:sSub>
          <m:e>
            <m:r>
              <m:t>p</m:t>
            </m:r>
          </m:e>
          <m:sub>
            <m:r>
              <m:t>d</m:t>
            </m:r>
          </m:sub>
        </m:sSub>
        <m:r>
          <m:rPr>
            <m:sty m:val="p"/>
          </m:rPr>
          <m:t>=</m:t>
        </m:r>
        <m:r>
          <m:t>.98</m:t>
        </m:r>
      </m:oMath>
      <w:r>
        <w:t xml:space="preserve">). Each interval excluded zero, in the fit that supports it, by no more than 0.11 on the logit scale, and four of them by less than two Monte Carlo standard errors of that bound, so these runs do not settle which side of zero they fall on. The gender-agreement sensitivity differences run against a Mini-Norwegian advantage, not towards one. Those for differential object marking concern a property absent from both prior languages, for which no account predicts a group difference.</w:t>
      </w:r>
    </w:p>
    <w:p>
      <w:pPr>
        <w:pStyle w:val="BodyText"/>
      </w:pPr>
      <w:r>
        <w:t xml:space="preserve">The gender-agreement ERP learning effect is credible in</w:t>
      </w:r>
      <w:r>
        <w:t xml:space="preserve"> </w:t>
      </w:r>
      <w:r>
        <w:t xml:space="preserve">2 of 6 cells under</w:t>
      </w:r>
      <w:r>
        <w:t xml:space="preserve"> </w:t>
      </w:r>
      <w:r>
        <w:t xml:space="preserve">the maximal random-effect structure and in</w:t>
      </w:r>
      <w:r>
        <w:t xml:space="preserve"> </w:t>
      </w:r>
      <w:r>
        <w:t xml:space="preserve">2 of 6</w:t>
      </w:r>
      <w:r>
        <w:t xml:space="preserve"> </w:t>
      </w:r>
      <w:r>
        <w:t xml:space="preserve">without the by-item slope, and the same cells stay credible under the weak priors and without</w:t>
      </w:r>
      <w:r>
        <w:t xml:space="preserve"> </w:t>
      </w:r>
      <w:r>
        <w:t xml:space="preserve">the reprocessed and recovered records. It is confined to the late window, however, and the</w:t>
      </w:r>
      <w:r>
        <w:t xml:space="preserve"> </w:t>
      </w:r>
      <w:r>
        <w:t xml:space="preserve">interval of its midline estimate lies close to zero, so we grade it as clear in direction but</w:t>
      </w:r>
      <w:r>
        <w:t xml:space="preserve"> </w:t>
      </w:r>
      <w:r>
        <w:t xml:space="preserve">modest in size. The one language-conditioned ERP result, the deviation at retention in two</w:t>
      </w:r>
      <w:r>
        <w:t xml:space="preserve"> </w:t>
      </w:r>
      <w:r>
        <w:t xml:space="preserve">early differential-object-marking cells, is unpredicted and confined to two of the twelve</w:t>
      </w:r>
      <w:r>
        <w:t xml:space="preserve"> </w:t>
      </w:r>
      <w:r>
        <w:t xml:space="preserve">cells in which it was estimated, and we grade it as suggestive. The retention estimates rest</w:t>
      </w:r>
      <w:r>
        <w:t xml:space="preserve"> </w:t>
      </w:r>
      <w:r>
        <w:t xml:space="preserve">on the participants who returned for Session 6 and are graded no higher.</w:t>
      </w:r>
    </w:p>
    <w:p>
      <w:pPr>
        <w:pStyle w:val="BodyText"/>
      </w:pPr>
      <w:r>
        <w:t xml:space="preserve">The decoding evidence grades separately. Gender agreement has no cluster surviving the confirmatory correction, although four clusters, and two in the robustness analysis, passed the maximum-cluster test, which by itself controls the family-wise error rate across time. Its pre-stimulus baseline sat at chance, and we grade its separability as suggestive. Differential</w:t>
      </w:r>
      <w:r>
        <w:t xml:space="preserve"> </w:t>
      </w:r>
      <w:r>
        <w:t xml:space="preserve">object marking’s two clusters begin before the</w:t>
      </w:r>
      <w:r>
        <w:t xml:space="preserve"> </w:t>
      </w:r>
      <w:r>
        <w:t xml:space="preserve">critical word, and the word before it differs between the conditions, so no part of its</w:t>
      </w:r>
      <w:r>
        <w:t xml:space="preserve"> </w:t>
      </w:r>
      <w:r>
        <w:t xml:space="preserve">separability can be attributed to a violation response. The session-resolved breakdowns enter no correction</w:t>
      </w:r>
      <w:r>
        <w:t xml:space="preserve"> </w:t>
      </w:r>
      <w:r>
        <w:t xml:space="preserve">family and are descriptive. Several features of the analysed sample were fixed after the</w:t>
      </w:r>
      <w:r>
        <w:t xml:space="preserve"> </w:t>
      </w:r>
      <w:r>
        <w:t xml:space="preserve">models had first been fitted, and all are set out under</w:t>
      </w:r>
      <w:r>
        <w:t xml:space="preserve"> </w:t>
      </w:r>
      <w:r>
        <w:rPr>
          <w:i/>
          <w:iCs/>
        </w:rPr>
        <w:t xml:space="preserve">Transparency, preregistration and</w:t>
      </w:r>
      <w:r>
        <w:rPr>
          <w:i/>
          <w:iCs/>
        </w:rPr>
        <w:t xml:space="preserve"> </w:t>
      </w:r>
      <w:r>
        <w:rPr>
          <w:i/>
          <w:iCs/>
        </w:rPr>
        <w:t xml:space="preserve">analysis status</w:t>
      </w:r>
      <w:r>
        <w:t xml:space="preserve">: the reprocessing of nine Session 3 recordings filtered at 1 Hz, the</w:t>
      </w:r>
      <w:r>
        <w:t xml:space="preserve"> </w:t>
      </w:r>
      <w:r>
        <w:t xml:space="preserve">recovery of two of three mislabelled exports and the exclusion of the third, and the</w:t>
      </w:r>
      <w:r>
        <w:t xml:space="preserve"> </w:t>
      </w:r>
      <w:r>
        <w:t xml:space="preserve">exclusion of a participant trained in the wrong miniature language at Session 2. The</w:t>
      </w:r>
      <w:r>
        <w:t xml:space="preserve"> </w:t>
      </w:r>
      <w:r>
        <w:t xml:space="preserve">robustness analysis that leaves out the reprocessed and recovered records changes no ERP</w:t>
      </w:r>
      <w:r>
        <w:t xml:space="preserve"> </w:t>
      </w:r>
      <w:r>
        <w:t xml:space="preserve">conclusion (</w:t>
      </w:r>
      <w:hyperlink w:anchor="tbl-robustness">
        <w:r>
          <w:rPr>
            <w:rStyle w:val="Hyperlink"/>
          </w:rPr>
          <w:t xml:space="preserve">Table A1</w:t>
        </w:r>
      </w:hyperlink>
      <w:r>
        <w:t xml:space="preserve">).</w:t>
      </w:r>
    </w:p>
    <w:bookmarkEnd w:id="133"/>
    <w:bookmarkStart w:id="134" w:name="limitations-and-future-directions"/>
    <w:p>
      <w:pPr>
        <w:pStyle w:val="Heading2"/>
      </w:pPr>
      <w:r>
        <w:t xml:space="preserve">Limitations and future directions</w:t>
      </w:r>
    </w:p>
    <w:p>
      <w:pPr>
        <w:pStyle w:val="FirstParagraph"/>
      </w:pPr>
      <w:r>
        <w:t xml:space="preserve">The strongest constraint on what this design can conclude is that the miniature languages</w:t>
      </w:r>
      <w:r>
        <w:t xml:space="preserve"> </w:t>
      </w:r>
      <w:r>
        <w:t xml:space="preserve">were built to probe the lexicon’s role at first exposure, and the transfer accounts do not</w:t>
      </w:r>
      <w:r>
        <w:t xml:space="preserve"> </w:t>
      </w:r>
      <w:r>
        <w:t xml:space="preserve">make mutually exclusive predictions for most of what the design measures once learning is</w:t>
      </w:r>
      <w:r>
        <w:t xml:space="preserve"> </w:t>
      </w:r>
      <w:r>
        <w:t xml:space="preserve">under way. Only gender agreement has a first-language analogue, and for it the accounts</w:t>
      </w:r>
      <w:r>
        <w:t xml:space="preserve"> </w:t>
      </w:r>
      <w:r>
        <w:t xml:space="preserve">separate only on the absence of a Mini-Norwegian advantage. Three additions would sharpen the</w:t>
      </w:r>
      <w:r>
        <w:t xml:space="preserve"> </w:t>
      </w:r>
      <w:r>
        <w:t xml:space="preserve">test. A measurement before any training would capture the initial state that the Typological</w:t>
      </w:r>
      <w:r>
        <w:t xml:space="preserve"> </w:t>
      </w:r>
      <w:r>
        <w:t xml:space="preserve">Primacy Model constrains. A group whose first language lacks gender, learning the same</w:t>
      </w:r>
      <w:r>
        <w:t xml:space="preserve"> </w:t>
      </w:r>
      <w:r>
        <w:t xml:space="preserve">miniature languages, would show whether Norwegian facilitated gender agreement at all, and so</w:t>
      </w:r>
      <w:r>
        <w:t xml:space="preserve"> </w:t>
      </w:r>
      <w:r>
        <w:t xml:space="preserve">whether the L2 Status Factor can be separated from property-by-property accounts. Crossing the</w:t>
      </w:r>
      <w:r>
        <w:t xml:space="preserve"> </w:t>
      </w:r>
      <w:r>
        <w:t xml:space="preserve">lexicon with the position of the gender-marking determiner would separate the lexical cue from</w:t>
      </w:r>
      <w:r>
        <w:t xml:space="preserve"> </w:t>
      </w:r>
      <w:r>
        <w:t xml:space="preserve">the structural one, which the present languages confound</w:t>
      </w:r>
      <w:r>
        <w:t xml:space="preserve"> </w:t>
      </w:r>
      <w:r>
        <w:t xml:space="preserve">(</w:t>
      </w:r>
      <w:hyperlink w:anchor="ref-castle2026">
        <w:r>
          <w:rPr>
            <w:rStyle w:val="Hyperlink"/>
          </w:rPr>
          <w:t xml:space="preserve">Castle et al., 2026</w:t>
        </w:r>
      </w:hyperlink>
      <w:r>
        <w:t xml:space="preserve">;</w:t>
      </w:r>
      <w:r>
        <w:t xml:space="preserve"> </w:t>
      </w:r>
      <w:hyperlink w:anchor="ref-jensen2023">
        <w:r>
          <w:rPr>
            <w:rStyle w:val="Hyperlink"/>
          </w:rPr>
          <w:t xml:space="preserve">Jensen &amp; Westergaard, 2023</w:t>
        </w:r>
      </w:hyperlink>
      <w:r>
        <w:t xml:space="preserve">)</w:t>
      </w:r>
      <w:r>
        <w:t xml:space="preserve">.</w:t>
      </w:r>
    </w:p>
    <w:p>
      <w:pPr>
        <w:pStyle w:val="BodyText"/>
      </w:pPr>
      <w:r>
        <w:t xml:space="preserve">Several further features of the design constrain the conclusions. The properties enter at</w:t>
      </w:r>
      <w:r>
        <w:t xml:space="preserve"> </w:t>
      </w:r>
      <w:r>
        <w:t xml:space="preserve">different sessions, so a property’s identity is confounded with its amount of exposure, and</w:t>
      </w:r>
      <w:r>
        <w:t xml:space="preserve"> </w:t>
      </w:r>
      <w:r>
        <w:t xml:space="preserve">cross-property comparisons are not exposure-matched. Assignment to language followed a fixed</w:t>
      </w:r>
      <w:r>
        <w:t xml:space="preserve"> </w:t>
      </w:r>
      <w:r>
        <w:t xml:space="preserve">rule on the participant identifier, so the groups were not formed by random allocation. The</w:t>
      </w:r>
      <w:r>
        <w:t xml:space="preserve"> </w:t>
      </w:r>
      <w:r>
        <w:t xml:space="preserve">post-training test was repeated once for a learner who scored below 80% at the first attempt,</w:t>
      </w:r>
      <w:r>
        <w:t xml:space="preserve"> </w:t>
      </w:r>
      <w:r>
        <w:t xml:space="preserve">after which every learner continued, so the first ERP session follows a variable amount of</w:t>
      </w:r>
      <w:r>
        <w:t xml:space="preserve"> </w:t>
      </w:r>
      <w:r>
        <w:t xml:space="preserve">training. Additional gendered or case-marking languages reported under</w:t>
      </w:r>
      <w:r>
        <w:t xml:space="preserve"> </w:t>
      </w:r>
      <w:r>
        <w:rPr>
          <w:i/>
          <w:iCs/>
        </w:rPr>
        <w:t xml:space="preserve">Participants</w:t>
      </w:r>
      <w:r>
        <w:t xml:space="preserve"> </w:t>
      </w:r>
      <w:r>
        <w:t xml:space="preserve">were</w:t>
      </w:r>
      <w:r>
        <w:t xml:space="preserve"> </w:t>
      </w:r>
      <w:r>
        <w:t xml:space="preserve">not screened out. Such experience could support the gender or marking structures, and it is</w:t>
      </w:r>
      <w:r>
        <w:t xml:space="preserve"> </w:t>
      </w:r>
      <w:r>
        <w:t xml:space="preserve">only partly absorbed by the L1-dominance covariate, which enters the ERP models only. Of the</w:t>
      </w:r>
      <w:r>
        <w:t xml:space="preserve"> </w:t>
      </w:r>
      <w:r>
        <w:t xml:space="preserve">65 learners enrolled, 36 attended the retention</w:t>
      </w:r>
      <w:r>
        <w:t xml:space="preserve"> </w:t>
      </w:r>
      <w:r>
        <w:t xml:space="preserve">test, so the Session 6 estimates draw on the returners, who may differ from those who left.</w:t>
      </w:r>
      <w:r>
        <w:t xml:space="preserve"> </w:t>
      </w:r>
      <w:r>
        <w:t xml:space="preserve">Effects are quantified as mean amplitudes in fixed latency windows, and without a</w:t>
      </w:r>
      <w:r>
        <w:t xml:space="preserve"> </w:t>
      </w:r>
      <w:r>
        <w:t xml:space="preserve">native-speaker baseline the native-likeness of the developing response is untested. The trigger rule that segmented the exports discarded 36% of the critical words, and the check of whether the discarded words differ from the kept ones passed in three of its twelve cells (</w:t>
      </w:r>
      <w:hyperlink w:anchor="tbl-trigger-check">
        <w:r>
          <w:rPr>
            <w:rStyle w:val="Hyperlink"/>
          </w:rPr>
          <w:t xml:space="preserve">Table A3</w:t>
        </w:r>
      </w:hyperlink>
      <w:r>
        <w:t xml:space="preserve">), so elsewhere it cannot exclude an omission that shifts a grammaticality contrast by more than 0.33 µV. In the one cell where the two sets differed (gender agreement, 200–500 ms, lateral), the discarded words carried the more negative difference, so the analysed contrast there understates any violation negativity. Each</w:t>
      </w:r>
      <w:r>
        <w:t xml:space="preserve"> </w:t>
      </w:r>
      <w:r>
        <w:t xml:space="preserve">sentence frame belongs to one miniature language, so a difference between the groups’</w:t>
      </w:r>
      <w:r>
        <w:t xml:space="preserve"> </w:t>
      </w:r>
      <w:r>
        <w:t xml:space="preserve">judgements is also a difference between two sets of frames, which a by-item term can</w:t>
      </w:r>
      <w:r>
        <w:t xml:space="preserve"> </w:t>
      </w:r>
      <w:r>
        <w:t xml:space="preserve">absorb but no design that keeps the lexicons apart can remove. Cognitive individual-difference predictors are</w:t>
      </w:r>
      <w:r>
        <w:t xml:space="preserve"> </w:t>
      </w:r>
      <w:r>
        <w:t xml:space="preserve">analysed in a companion paper</w:t>
      </w:r>
      <w:r>
        <w:t xml:space="preserve"> </w:t>
      </w:r>
      <w:r>
        <w:t xml:space="preserve">(</w:t>
      </w:r>
      <w:hyperlink w:anchor="ref-lesspredictors2026">
        <w:r>
          <w:rPr>
            <w:rStyle w:val="Hyperlink"/>
          </w:rPr>
          <w:t xml:space="preserve">Bernabeu et al., 2026</w:t>
        </w:r>
      </w:hyperlink>
      <w:r>
        <w:t xml:space="preserve">)</w:t>
      </w:r>
      <w:r>
        <w:t xml:space="preserve">.</w:t>
      </w:r>
    </w:p>
    <w:bookmarkEnd w:id="134"/>
    <w:bookmarkStart w:id="135" w:name="conclusion"/>
    <w:p>
      <w:pPr>
        <w:pStyle w:val="Heading2"/>
      </w:pPr>
      <w:r>
        <w:t xml:space="preserve">Conclusion</w:t>
      </w:r>
    </w:p>
    <w:p>
      <w:pPr>
        <w:pStyle w:val="FirstParagraph"/>
      </w:pPr>
      <w:r>
        <w:t xml:space="preserve">Norwegian–English bilinguals learning a Norwegian-like miniature language were no more</w:t>
      </w:r>
      <w:r>
        <w:t xml:space="preserve"> </w:t>
      </w:r>
      <w:r>
        <w:t xml:space="preserve">sensitive to its gender agreement than learners of an English-like one, although gender is a</w:t>
      </w:r>
      <w:r>
        <w:t xml:space="preserve"> </w:t>
      </w:r>
      <w:r>
        <w:t xml:space="preserve">Norwegian property that English lacks. Their judgements showed no sensitivity advantage at</w:t>
      </w:r>
      <w:r>
        <w:t xml:space="preserve"> </w:t>
      </w:r>
      <w:r>
        <w:t xml:space="preserve">any session, and their ERP response showed no group difference either, though it could not</w:t>
      </w:r>
      <w:r>
        <w:t xml:space="preserve"> </w:t>
      </w:r>
      <w:r>
        <w:t xml:space="preserve">exclude one. That absence is what property-by-property accounts of transfer allow and what</w:t>
      </w:r>
      <w:r>
        <w:t xml:space="preserve"> </w:t>
      </w:r>
      <w:r>
        <w:t xml:space="preserve">the Typological Primacy Model, which predicts that the lexicon selects the grammar, does</w:t>
      </w:r>
      <w:r>
        <w:t xml:space="preserve"> </w:t>
      </w:r>
      <w:r>
        <w:t xml:space="preserve">not. The lexicon may have left its mark on the decision instead. In the later sessions,</w:t>
      </w:r>
      <w:r>
        <w:t xml:space="preserve"> </w:t>
      </w:r>
      <w:r>
        <w:t xml:space="preserve">Mini-Norwegian learners accepted gender-agreement sentences more readily, ungrammatical ones</w:t>
      </w:r>
      <w:r>
        <w:t xml:space="preserve"> </w:t>
      </w:r>
      <w:r>
        <w:t xml:space="preserve">included, but that difference was not credible once each learner’s change in criterion was</w:t>
      </w:r>
      <w:r>
        <w:t xml:space="preserve"> </w:t>
      </w:r>
      <w:r>
        <w:t xml:space="preserve">modelled. The design cannot show that Norwegian helped either group or recover the initial</w:t>
      </w:r>
      <w:r>
        <w:t xml:space="preserve"> </w:t>
      </w:r>
      <w:r>
        <w:t xml:space="preserve">state, so the transfer debate is narrowed and not settled. What the results establish is</w:t>
      </w:r>
      <w:r>
        <w:t xml:space="preserve"> </w:t>
      </w:r>
      <w:r>
        <w:t xml:space="preserve">that a Norwegian-like lexicon brought no advantage in sensitivity to a Norwegian property.</w:t>
      </w:r>
      <w:r>
        <w:t xml:space="preserve"> </w:t>
      </w:r>
      <w:r>
        <w:t xml:space="preserve">Whether it shaped how learners engaged with the task is a question for a design built to</w:t>
      </w:r>
      <w:r>
        <w:t xml:space="preserve"> </w:t>
      </w:r>
      <w:r>
        <w:t xml:space="preserve">test it.</w:t>
      </w:r>
    </w:p>
    <w:bookmarkEnd w:id="135"/>
    <w:bookmarkEnd w:id="136"/>
    <w:bookmarkStart w:id="139" w:name="data-and-code-availability"/>
    <w:p>
      <w:pPr>
        <w:pStyle w:val="Heading1"/>
      </w:pPr>
      <w:r>
        <w:t xml:space="preserve">Data and code availability</w:t>
      </w:r>
    </w:p>
    <w:p>
      <w:pPr>
        <w:pStyle w:val="FirstParagraph"/>
      </w:pPr>
      <w:r>
        <w:t xml:space="preserve">Data extraction, model fitting and reporting are fully scripted as a reproducible</w:t>
      </w:r>
      <w:r>
        <w:t xml:space="preserve"> </w:t>
      </w:r>
      <w:r>
        <w:t xml:space="preserve">research compendium</w:t>
      </w:r>
      <w:r>
        <w:t xml:space="preserve"> </w:t>
      </w:r>
      <w:r>
        <w:t xml:space="preserve">(</w:t>
      </w:r>
      <w:hyperlink w:anchor="ref-marwick2018">
        <w:r>
          <w:rPr>
            <w:rStyle w:val="Hyperlink"/>
          </w:rPr>
          <w:t xml:space="preserve">Marwick et al., 2018</w:t>
        </w:r>
      </w:hyperlink>
      <w:r>
        <w:t xml:space="preserve">)</w:t>
      </w:r>
      <w:r>
        <w:t xml:space="preserve">. Models were fitted on High-Performance Computing</w:t>
      </w:r>
      <w:r>
        <w:t xml:space="preserve"> </w:t>
      </w:r>
      <w:r>
        <w:t xml:space="preserve">(HPC) clusters at Sigma2 (Norway) and the University of Oxford’s Advanced Research</w:t>
      </w:r>
      <w:r>
        <w:t xml:space="preserve"> </w:t>
      </w:r>
      <w:r>
        <w:t xml:space="preserve">Computing facility, on Linux (x86_64-pc-linux-gnu)</w:t>
      </w:r>
      <w:r>
        <w:t xml:space="preserve"> </w:t>
      </w:r>
      <w:r>
        <w:t xml:space="preserve">under R 4.5.1</w:t>
      </w:r>
      <w:r>
        <w:t xml:space="preserve"> </w:t>
      </w:r>
      <w:r>
        <w:t xml:space="preserve">(</w:t>
      </w:r>
      <w:hyperlink w:anchor="ref-rcoreteam">
        <w:r>
          <w:rPr>
            <w:rStyle w:val="Hyperlink"/>
          </w:rPr>
          <w:t xml:space="preserve">R Core Team, 2025</w:t>
        </w:r>
      </w:hyperlink>
      <w:r>
        <w:t xml:space="preserve">)</w:t>
      </w:r>
      <w:r>
        <w:t xml:space="preserve">, with</w:t>
      </w:r>
      <w:r>
        <w:t xml:space="preserve"> </w:t>
      </w:r>
      <w:r>
        <w:rPr>
          <w:rStyle w:val="VerbatimChar"/>
        </w:rPr>
        <w:t xml:space="preserve">brms</w:t>
      </w:r>
      <w:r>
        <w:t xml:space="preserve"> </w:t>
      </w:r>
      <w:r>
        <w:t xml:space="preserve">2.23.0</w:t>
      </w:r>
      <w:r>
        <w:t xml:space="preserve"> </w:t>
      </w:r>
      <w:r>
        <w:t xml:space="preserve">(</w:t>
      </w:r>
      <w:hyperlink w:anchor="ref-burkner2017">
        <w:r>
          <w:rPr>
            <w:rStyle w:val="Hyperlink"/>
          </w:rPr>
          <w:t xml:space="preserve">Bürkner, 2017</w:t>
        </w:r>
      </w:hyperlink>
      <w:r>
        <w:t xml:space="preserve">)</w:t>
      </w:r>
      <w:r>
        <w:t xml:space="preserve"> </w:t>
      </w:r>
      <w:r>
        <w:t xml:space="preserve">driving</w:t>
      </w:r>
      <w:r>
        <w:t xml:space="preserve"> </w:t>
      </w:r>
      <w:r>
        <w:t xml:space="preserve">CmdStan 2.39.0 through the</w:t>
      </w:r>
      <w:r>
        <w:t xml:space="preserve"> </w:t>
      </w:r>
      <w:r>
        <w:rPr>
          <w:rStyle w:val="VerbatimChar"/>
        </w:rPr>
        <w:t xml:space="preserve">cmdstanr</w:t>
      </w:r>
      <w:r>
        <w:t xml:space="preserve"> </w:t>
      </w:r>
      <w:r>
        <w:t xml:space="preserve">0.9.0 backend. The clusters</w:t>
      </w:r>
      <w:r>
        <w:t xml:space="preserve"> </w:t>
      </w:r>
      <w:r>
        <w:t xml:space="preserve">supply that stack through environment modules, with no container. The compiler settings</w:t>
      </w:r>
      <w:r>
        <w:t xml:space="preserve"> </w:t>
      </w:r>
      <w:r>
        <w:t xml:space="preserve">used on those clusters are recorded in the repository and do not change the models.</w:t>
      </w:r>
      <w:r>
        <w:t xml:space="preserve"> </w:t>
      </w:r>
      <w:r>
        <w:t xml:space="preserve">Every version given here comes from the provenance record the fitting run wrote. Model</w:t>
      </w:r>
      <w:r>
        <w:t xml:space="preserve"> </w:t>
      </w:r>
      <w:r>
        <w:t xml:space="preserve">fitting used the fixed seed 20260607, set in the shared</w:t>
      </w:r>
      <w:r>
        <w:t xml:space="preserve"> </w:t>
      </w:r>
      <w:r>
        <w:t xml:space="preserve">Bayesian settings and recorded in that provenance record. Each chain evaluated the likelihood</w:t>
      </w:r>
      <w:r>
        <w:t xml:space="preserve"> </w:t>
      </w:r>
      <w:r>
        <w:t xml:space="preserve">in parallel (</w:t>
      </w:r>
      <w:r>
        <w:rPr>
          <w:rStyle w:val="VerbatimChar"/>
        </w:rPr>
        <w:t xml:space="preserve">reduce_sum</w:t>
      </w:r>
      <w:r>
        <w:t xml:space="preserve">), which groups its partial sums at run time, so a rerun with the</w:t>
      </w:r>
      <w:r>
        <w:t xml:space="preserve"> </w:t>
      </w:r>
      <w:r>
        <w:t xml:space="preserve">same seed reproduces the posterior summaries to within Monte Carlo error, not draw for draw.</w:t>
      </w:r>
      <w:r>
        <w:t xml:space="preserve"> </w:t>
      </w:r>
      <w:r>
        <w:t xml:space="preserve">For the signal-detection contrasts, the Monte Carlo standard error of an interval bound had a median of 0.012 and a maximum of 0.075 on the logit scale. The decoding permutations used</w:t>
      </w:r>
      <w:r>
        <w:t xml:space="preserve"> </w:t>
      </w:r>
      <w:r>
        <w:t xml:space="preserve">the seed 20260702,</w:t>
      </w:r>
      <w:r>
        <w:t xml:space="preserve"> </w:t>
      </w:r>
      <w:r>
        <w:t xml:space="preserve">exported by the job script that runs them and recorded by that script beside the decoding artefacts.</w:t>
      </w:r>
      <w:r>
        <w:t xml:space="preserve"> </w:t>
      </w:r>
      <w:r>
        <w:t xml:space="preserve">This manuscript reads only the script-generated summary tables,</w:t>
      </w:r>
      <w:r>
        <w:t xml:space="preserve"> </w:t>
      </w:r>
      <w:r>
        <w:t xml:space="preserve">so every statistic in the Results is populated from them and none is transcribed by hand.</w:t>
      </w:r>
      <w:r>
        <w:t xml:space="preserve"> </w:t>
      </w:r>
      <w:r>
        <w:t xml:space="preserve">The pooled posterior summaries, retention contrasts, convergence diagnostics, sample-flow</w:t>
      </w:r>
      <w:r>
        <w:t xml:space="preserve"> </w:t>
      </w:r>
      <w:r>
        <w:t xml:space="preserve">counts and decoding time-courses that populate the figures and tables are all published</w:t>
      </w:r>
      <w:r>
        <w:t xml:space="preserve"> </w:t>
      </w:r>
      <w:r>
        <w:t xml:space="preserve">with the repository. The decoding artefacts include the participant count behind every</w:t>
      </w:r>
      <w:r>
        <w:t xml:space="preserve"> </w:t>
      </w:r>
      <w:r>
        <w:t xml:space="preserve">per-cell score. Figures are drawn with</w:t>
      </w:r>
      <w:r>
        <w:t xml:space="preserve"> </w:t>
      </w:r>
      <w:r>
        <w:rPr>
          <w:rStyle w:val="VerbatimChar"/>
        </w:rPr>
        <w:t xml:space="preserve">ggplot2</w:t>
      </w:r>
      <w:r>
        <w:t xml:space="preserve"> </w:t>
      </w:r>
      <w:r>
        <w:t xml:space="preserve">(</w:t>
      </w:r>
      <w:hyperlink w:anchor="ref-wickham2016">
        <w:r>
          <w:rPr>
            <w:rStyle w:val="Hyperlink"/>
          </w:rPr>
          <w:t xml:space="preserve">Wickham, 2016</w:t>
        </w:r>
      </w:hyperlink>
      <w:r>
        <w:t xml:space="preserve">)</w:t>
      </w:r>
      <w:r>
        <w:t xml:space="preserve"> </w:t>
      </w:r>
      <w:r>
        <w:t xml:space="preserve">using the theme and colour system of</w:t>
      </w:r>
      <w:r>
        <w:t xml:space="preserve"> </w:t>
      </w:r>
      <w:r>
        <w:rPr>
          <w:rStyle w:val="VerbatimChar"/>
        </w:rPr>
        <w:t xml:space="preserve">depictr</w:t>
      </w:r>
      <w:r>
        <w:t xml:space="preserve"> </w:t>
      </w:r>
      <w:r>
        <w:t xml:space="preserve">(</w:t>
      </w:r>
      <w:hyperlink w:anchor="ref-depictr">
        <w:r>
          <w:rPr>
            <w:rStyle w:val="Hyperlink"/>
          </w:rPr>
          <w:t xml:space="preserve">Bernabeu, 2026a</w:t>
        </w:r>
      </w:hyperlink>
      <w:r>
        <w:t xml:space="preserve">)</w:t>
      </w:r>
      <w:r>
        <w:t xml:space="preserve">, whose default qualitative</w:t>
      </w:r>
      <w:r>
        <w:t xml:space="preserve"> </w:t>
      </w:r>
      <w:r>
        <w:t xml:space="preserve">palette is the colourblind-safe Okabe–Ito set. The companion paper</w:t>
      </w:r>
      <w:r>
        <w:t xml:space="preserve"> </w:t>
      </w:r>
      <w:r>
        <w:t xml:space="preserve">(</w:t>
      </w:r>
      <w:hyperlink w:anchor="ref-lesspredictors2026">
        <w:r>
          <w:rPr>
            <w:rStyle w:val="Hyperlink"/>
          </w:rPr>
          <w:t xml:space="preserve">Bernabeu et al., 2026</w:t>
        </w:r>
      </w:hyperlink>
      <w:r>
        <w:t xml:space="preserve">)</w:t>
      </w:r>
      <w:r>
        <w:t xml:space="preserve"> </w:t>
      </w:r>
      <w:r>
        <w:t xml:space="preserve">uses the same system, so the two share one visual identity. The literature counts in</w:t>
      </w:r>
      <w:r>
        <w:t xml:space="preserve"> </w:t>
      </w:r>
      <w:hyperlink w:anchor="fig-literature">
        <w:r>
          <w:rPr>
            <w:rStyle w:val="Hyperlink"/>
          </w:rPr>
          <w:t xml:space="preserve">Figure 1</w:t>
        </w:r>
      </w:hyperlink>
      <w:r>
        <w:t xml:space="preserve"> </w:t>
      </w:r>
      <w:r>
        <w:t xml:space="preserve">were retrieved from the Scopus Search API with</w:t>
      </w:r>
      <w:r>
        <w:t xml:space="preserve"> </w:t>
      </w:r>
      <w:r>
        <w:rPr>
          <w:rStyle w:val="VerbatimChar"/>
        </w:rPr>
        <w:t xml:space="preserve">scopusflow</w:t>
      </w:r>
      <w:r>
        <w:t xml:space="preserve"> </w:t>
      </w:r>
      <w:r>
        <w:t xml:space="preserve">(</w:t>
      </w:r>
      <w:hyperlink w:anchor="ref-scopusflow">
        <w:r>
          <w:rPr>
            <w:rStyle w:val="Hyperlink"/>
          </w:rPr>
          <w:t xml:space="preserve">Bernabeu, 2026b</w:t>
        </w:r>
      </w:hyperlink>
      <w:r>
        <w:t xml:space="preserve">)</w:t>
      </w:r>
      <w:r>
        <w:t xml:space="preserve">, which records</w:t>
      </w:r>
      <w:r>
        <w:t xml:space="preserve"> </w:t>
      </w:r>
      <w:r>
        <w:t xml:space="preserve">the exact query beside each count, so the search is reproducible from the repository. Its</w:t>
      </w:r>
      <w:r>
        <w:t xml:space="preserve"> </w:t>
      </w:r>
      <w:r>
        <w:t xml:space="preserve">coverage limits are stated in the figure note. All extraction, modelling and reporting</w:t>
      </w:r>
      <w:r>
        <w:t xml:space="preserve"> </w:t>
      </w:r>
      <w:r>
        <w:t xml:space="preserve">scripts, the script-generated summary tables and the environment specification are</w:t>
      </w:r>
      <w:r>
        <w:t xml:space="preserve"> </w:t>
      </w:r>
      <w:r>
        <w:t xml:space="preserve">available at</w:t>
      </w:r>
      <w:r>
        <w:t xml:space="preserve"> </w:t>
      </w:r>
      <w:hyperlink r:id="rId137">
        <w:r>
          <w:rPr>
            <w:rStyle w:val="Hyperlink"/>
          </w:rPr>
          <w:t xml:space="preserve">https://github.com/pablobernabeu/LESS-morphosyntactic-transfer</w:t>
        </w:r>
      </w:hyperlink>
      <w:r>
        <w:t xml:space="preserve">. The</w:t>
      </w:r>
      <w:r>
        <w:t xml:space="preserve"> </w:t>
      </w:r>
      <w:r>
        <w:t xml:space="preserve">environment specification comprises an</w:t>
      </w:r>
      <w:r>
        <w:t xml:space="preserve"> </w:t>
      </w:r>
      <w:r>
        <w:rPr>
          <w:rStyle w:val="VerbatimChar"/>
        </w:rPr>
        <w:t xml:space="preserve">renv</w:t>
      </w:r>
      <w:r>
        <w:t xml:space="preserve"> </w:t>
      </w:r>
      <w:r>
        <w:t xml:space="preserve">lockfile pinning the R packages of the</w:t>
      </w:r>
      <w:r>
        <w:t xml:space="preserve"> </w:t>
      </w:r>
      <w:r>
        <w:t xml:space="preserve">fitting library and a provenance record written at fit time. That record holds the software versions in force</w:t>
      </w:r>
      <w:r>
        <w:t xml:space="preserve"> </w:t>
      </w:r>
      <w:r>
        <w:t xml:space="preserve">when the ERP models were fitted, which is what the versions above are read from. The</w:t>
      </w:r>
      <w:r>
        <w:t xml:space="preserve"> </w:t>
      </w:r>
      <w:r>
        <w:t xml:space="preserve">accuracy models and the decoding analyses run in the same cluster environment under</w:t>
      </w:r>
      <w:r>
        <w:t xml:space="preserve"> </w:t>
      </w:r>
      <w:r>
        <w:t xml:space="preserve">separate scripts. The accuracy script records the R, brms, cmdstanr and CmdStan versions</w:t>
      </w:r>
      <w:r>
        <w:t xml:space="preserve"> </w:t>
      </w:r>
      <w:r>
        <w:t xml:space="preserve">of each fit in the pooled fit metadata that accompanies the results, and the decoding job</w:t>
      </w:r>
      <w:r>
        <w:t xml:space="preserve"> </w:t>
      </w:r>
      <w:r>
        <w:t xml:space="preserve">records its seed and permutation settings beside the decoding artefacts. The raw</w:t>
      </w:r>
      <w:r>
        <w:t xml:space="preserve"> </w:t>
      </w:r>
      <w:r>
        <w:t xml:space="preserve">electroencephalographic recordings, too large to distribute through an ordinary</w:t>
      </w:r>
      <w:r>
        <w:t xml:space="preserve"> </w:t>
      </w:r>
      <w:r>
        <w:t xml:space="preserve">version-control repository, and the raw behavioural logs are openly available in the</w:t>
      </w:r>
      <w:r>
        <w:t xml:space="preserve"> </w:t>
      </w:r>
      <w:r>
        <w:t xml:space="preserve">project’s Open Science Framework repository at</w:t>
      </w:r>
      <w:r>
        <w:t xml:space="preserve"> </w:t>
      </w:r>
      <w:hyperlink r:id="rId138">
        <w:r>
          <w:rPr>
            <w:rStyle w:val="Hyperlink"/>
          </w:rPr>
          <w:t xml:space="preserve">https://osf.io/tq7vy</w:t>
        </w:r>
      </w:hyperlink>
      <w:r>
        <w:t xml:space="preserve">.</w:t>
      </w:r>
    </w:p>
    <w:bookmarkEnd w:id="139"/>
    <w:bookmarkStart w:id="140"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Code (version 2.1,</w:t>
      </w:r>
      <w:r>
        <w:t xml:space="preserve"> </w:t>
      </w:r>
      <w:r>
        <w:t xml:space="preserve">Anthropic), running primarily the Claude Opus and Claude Fable models, to support the</w:t>
      </w:r>
      <w:r>
        <w:t xml:space="preserve"> </w:t>
      </w:r>
      <w:r>
        <w:t xml:space="preserve">research, the analyses and the writing: it drafted and revised text and code, checked the</w:t>
      </w:r>
      <w:r>
        <w:t xml:space="preserve"> </w:t>
      </w:r>
      <w:r>
        <w:t xml:space="preserve">reporting code that populates this manuscript from the analysis artefacts, and checked the</w:t>
      </w:r>
      <w:r>
        <w:t xml:space="preserve"> </w:t>
      </w:r>
      <w:r>
        <w:t xml:space="preserve">manuscript against those artefacts. After using this tool, the authors reviewed and edited</w:t>
      </w:r>
      <w:r>
        <w:t xml:space="preserve"> </w:t>
      </w:r>
      <w:r>
        <w:t xml:space="preserve">the content as needed and take full responsibility for the content of the published</w:t>
      </w:r>
      <w:r>
        <w:t xml:space="preserve"> </w:t>
      </w:r>
      <w:r>
        <w:t xml:space="preserve">article.</w:t>
      </w:r>
    </w:p>
    <w:bookmarkEnd w:id="140"/>
    <w:bookmarkStart w:id="141" w:name="credit-authorship-contribution-statement"/>
    <w:p>
      <w:pPr>
        <w:pStyle w:val="Heading1"/>
      </w:pPr>
      <w:r>
        <w:t xml:space="preserve">CRediT authorship contribution statement</w:t>
      </w:r>
    </w:p>
    <w:p>
      <w:pPr>
        <w:pStyle w:val="FirstParagraph"/>
      </w:pPr>
      <w:r>
        <w:rPr>
          <w:b/>
          <w:bCs/>
        </w:rPr>
        <w:t xml:space="preserve">Pablo Bernabeu</w:t>
      </w:r>
      <w:r>
        <w:t xml:space="preserve">: Conceptualization, Methodology, Software, Formal analysis, Data</w:t>
      </w:r>
      <w:r>
        <w:t xml:space="preserve"> </w:t>
      </w:r>
      <w:r>
        <w:t xml:space="preserve">curation, Visualization, Writing – original draft, Writing – review &amp; editing.</w:t>
      </w:r>
      <w:r>
        <w:t xml:space="preserve"> </w:t>
      </w:r>
      <w:r>
        <w:rPr>
          <w:b/>
          <w:bCs/>
        </w:rPr>
        <w:t xml:space="preserve">Christina Athanasiadi</w:t>
      </w:r>
      <w:r>
        <w:t xml:space="preserve">: Data curation, Project administration, Writing – review &amp;</w:t>
      </w:r>
      <w:r>
        <w:t xml:space="preserve"> </w:t>
      </w:r>
      <w:r>
        <w:t xml:space="preserve">editing.</w:t>
      </w:r>
      <w:r>
        <w:t xml:space="preserve"> </w:t>
      </w:r>
      <w:r>
        <w:rPr>
          <w:b/>
          <w:bCs/>
        </w:rPr>
        <w:t xml:space="preserve">Stella L. Pischinger</w:t>
      </w:r>
      <w:r>
        <w:t xml:space="preserve">: Data curation, Writing – review &amp; editing.</w:t>
      </w:r>
      <w:r>
        <w:t xml:space="preserve"> </w:t>
      </w:r>
      <w:r>
        <w:rPr>
          <w:b/>
          <w:bCs/>
        </w:rPr>
        <w:t xml:space="preserve">Gabriella Silva</w:t>
      </w:r>
      <w:r>
        <w:t xml:space="preserve">: Conceptualization, Methodology, Investigation, Writing – review &amp;</w:t>
      </w:r>
      <w:r>
        <w:t xml:space="preserve"> </w:t>
      </w:r>
      <w:r>
        <w:t xml:space="preserve">editing.</w:t>
      </w:r>
      <w:r>
        <w:t xml:space="preserve"> </w:t>
      </w:r>
      <w:r>
        <w:rPr>
          <w:b/>
          <w:bCs/>
        </w:rPr>
        <w:t xml:space="preserve">My Ngoc Giang Hoang</w:t>
      </w:r>
      <w:r>
        <w:t xml:space="preserve">: Data curation, Writing – review &amp; editing.</w:t>
      </w:r>
      <w:r>
        <w:t xml:space="preserve"> </w:t>
      </w:r>
      <w:r>
        <w:rPr>
          <w:b/>
          <w:bCs/>
        </w:rPr>
        <w:t xml:space="preserve">Vincent DeLuca</w:t>
      </w:r>
      <w:r>
        <w:t xml:space="preserve">: Conceptualization, Methodology, Supervision, Writing – review &amp;</w:t>
      </w:r>
      <w:r>
        <w:t xml:space="preserve"> </w:t>
      </w:r>
      <w:r>
        <w:t xml:space="preserve">editing.</w:t>
      </w:r>
      <w:r>
        <w:t xml:space="preserve"> </w:t>
      </w:r>
      <w:r>
        <w:rPr>
          <w:b/>
          <w:bCs/>
        </w:rPr>
        <w:t xml:space="preserve">Jason Rothman</w:t>
      </w:r>
      <w:r>
        <w:t xml:space="preserve">: Conceptualization, Funding acquisition, Resources,</w:t>
      </w:r>
      <w:r>
        <w:t xml:space="preserve"> </w:t>
      </w:r>
      <w:r>
        <w:t xml:space="preserve">Supervision, Writing – review &amp; editing.</w:t>
      </w:r>
      <w:r>
        <w:t xml:space="preserve"> </w:t>
      </w:r>
      <w:r>
        <w:rPr>
          <w:b/>
          <w:bCs/>
        </w:rPr>
        <w:t xml:space="preserve">Iva Ivanova</w:t>
      </w:r>
      <w:r>
        <w:t xml:space="preserve">: Conceptualization,</w:t>
      </w:r>
      <w:r>
        <w:t xml:space="preserve"> </w:t>
      </w:r>
      <w:r>
        <w:t xml:space="preserve">Methodology, Writing – review &amp; editing.</w:t>
      </w:r>
      <w:r>
        <w:t xml:space="preserve"> </w:t>
      </w:r>
      <w:r>
        <w:rPr>
          <w:b/>
          <w:bCs/>
        </w:rPr>
        <w:t xml:space="preserve">Claudia Poch</w:t>
      </w:r>
      <w:r>
        <w:t xml:space="preserve">: Methodology, Validation,</w:t>
      </w:r>
      <w:r>
        <w:t xml:space="preserve"> </w:t>
      </w:r>
      <w:r>
        <w:t xml:space="preserve">Writing – review &amp; editing.</w:t>
      </w:r>
      <w:r>
        <w:t xml:space="preserve"> </w:t>
      </w:r>
      <w:r>
        <w:rPr>
          <w:b/>
          <w:bCs/>
        </w:rPr>
        <w:t xml:space="preserve">Jorge González Alonso</w:t>
      </w:r>
      <w:r>
        <w:t xml:space="preserve">: Conceptualization, Methodology,</w:t>
      </w:r>
      <w:r>
        <w:t xml:space="preserve"> </w:t>
      </w:r>
      <w:r>
        <w:t xml:space="preserve">Funding acquisition, Project administration, Supervision, Writing – review &amp; editing.</w:t>
      </w:r>
    </w:p>
    <w:bookmarkEnd w:id="141"/>
    <w:bookmarkStart w:id="142" w:name="funding"/>
    <w:p>
      <w:pPr>
        <w:pStyle w:val="Heading1"/>
      </w:pPr>
      <w:r>
        <w:t xml:space="preserve">Funding</w:t>
      </w:r>
    </w:p>
    <w:p>
      <w:pPr>
        <w:pStyle w:val="FirstParagraph"/>
      </w:pPr>
      <w:r>
        <w:t xml:space="preserve">This work was supported by the Research Council of Norway (grant 326487-FORSKER21) and</w:t>
      </w:r>
      <w:r>
        <w:t xml:space="preserve"> </w:t>
      </w:r>
      <w:r>
        <w:t xml:space="preserve">by the Comunidad de Madrid (grant 2020-T1/HUM-20037), both awarded to Jorge González Alonso.</w:t>
      </w:r>
    </w:p>
    <w:bookmarkEnd w:id="142"/>
    <w:bookmarkStart w:id="143"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w:t>
      </w:r>
      <w:r>
        <w:t xml:space="preserve"> </w:t>
      </w:r>
      <w:r>
        <w:t xml:space="preserve">relationships that could have appeared to influence the work reported in this paper.</w:t>
      </w:r>
    </w:p>
    <w:bookmarkEnd w:id="143"/>
    <w:bookmarkStart w:id="144" w:name="acknowledgements"/>
    <w:p>
      <w:pPr>
        <w:pStyle w:val="Heading1"/>
      </w:pPr>
      <w:r>
        <w:t xml:space="preserve">Acknowledgements</w:t>
      </w:r>
    </w:p>
    <w:p>
      <w:pPr>
        <w:pStyle w:val="FirstParagraph"/>
      </w:pPr>
      <w:r>
        <w:t xml:space="preserve">We thank Mona Kirkness Fossum for assistance with translating materials;</w:t>
      </w:r>
      <w:r>
        <w:t xml:space="preserve"> </w:t>
      </w:r>
      <w:r>
        <w:t xml:space="preserve">Gaute Berglund, Anders Gabrielsen and Tekabe Legesse Feleke for assistance with session</w:t>
      </w:r>
      <w:r>
        <w:t xml:space="preserve"> </w:t>
      </w:r>
      <w:r>
        <w:t xml:space="preserve">piloting; Teodóra Vékony for advice on the alternating serial reaction</w:t>
      </w:r>
      <w:r>
        <w:t xml:space="preserve"> </w:t>
      </w:r>
      <w:r>
        <w:t xml:space="preserve">time task; Björn Lundquist for assistance with implementation in OpenSesame; and</w:t>
      </w:r>
      <w:r>
        <w:t xml:space="preserve"> </w:t>
      </w:r>
      <w:r>
        <w:t xml:space="preserve">Antonio Fábregas, Natalia Mitrofanova, Yulia Rodina, Marit Westergaard, Merete</w:t>
      </w:r>
      <w:r>
        <w:t xml:space="preserve"> </w:t>
      </w:r>
      <w:r>
        <w:t xml:space="preserve">Anderssen and Fatih Bayram for advice and assistance with the design and translation of</w:t>
      </w:r>
      <w:r>
        <w:t xml:space="preserve"> </w:t>
      </w:r>
      <w:r>
        <w:t xml:space="preserve">materials and participant recruitment. We also acknowledge the computing resources</w:t>
      </w:r>
      <w:r>
        <w:t xml:space="preserve"> </w:t>
      </w:r>
      <w:r>
        <w:t xml:space="preserve">provided by Sigma2 (Norway) and the Advanced Research Computing facility of the</w:t>
      </w:r>
      <w:r>
        <w:t xml:space="preserve"> </w:t>
      </w:r>
      <w:r>
        <w:t xml:space="preserve">University of Oxford, on which the models were fitted.</w:t>
      </w:r>
    </w:p>
    <w:p>
      <w:r>
        <w:br w:type="page"/>
      </w:r>
    </w:p>
    <w:p>
      <w:r>
        <w:br w:type="page"/>
      </w:r>
    </w:p>
    <w:bookmarkEnd w:id="144"/>
    <w:p>
      <w:pPr>
        <w:pStyle w:val="Heading1"/>
      </w:pPr>
      <w:r>
        <w:t xml:space="preserve">References</w:t>
      </w:r>
    </w:p>
    <w:bookmarkStart w:id="398" w:name="refs"/>
    <w:bookmarkStart w:id="146" w:name="ref-ahlfors2010"/>
    <w:p>
      <w:pPr>
        <w:pStyle w:val="Bibliography"/>
      </w:pPr>
      <w:r>
        <w:t xml:space="preserve">Ahlfors, S. P., Han, J., Lin, F.-H., Witzel, T., Belliveau, J. W., Hämäläinen, M. S., &amp; Halgren, E. (2010). Cancellation of</w:t>
      </w:r>
      <w:r>
        <w:t xml:space="preserve"> </w:t>
      </w:r>
      <w:r>
        <w:t xml:space="preserve">EEG</w:t>
      </w:r>
      <w:r>
        <w:t xml:space="preserve"> </w:t>
      </w:r>
      <w:r>
        <w:t xml:space="preserve">and</w:t>
      </w:r>
      <w:r>
        <w:t xml:space="preserve"> </w:t>
      </w:r>
      <w:r>
        <w:t xml:space="preserve">MEG</w:t>
      </w:r>
      <w:r>
        <w:t xml:space="preserve"> </w:t>
      </w:r>
      <w:r>
        <w:t xml:space="preserve">signals generated by extended and distributed sources.</w:t>
      </w:r>
      <w:r>
        <w:t xml:space="preserve"> </w:t>
      </w:r>
      <w:r>
        <w:rPr>
          <w:i/>
          <w:iCs/>
        </w:rPr>
        <w:t xml:space="preserve">Human Brain Mapping</w:t>
      </w:r>
      <w:r>
        <w:t xml:space="preserve">,</w:t>
      </w:r>
      <w:r>
        <w:t xml:space="preserve"> </w:t>
      </w:r>
      <w:r>
        <w:rPr>
          <w:i/>
          <w:iCs/>
        </w:rPr>
        <w:t xml:space="preserve">31</w:t>
      </w:r>
      <w:r>
        <w:t xml:space="preserve">(1), 140–149.</w:t>
      </w:r>
      <w:r>
        <w:t xml:space="preserve"> </w:t>
      </w:r>
      <w:hyperlink r:id="rId145">
        <w:r>
          <w:rPr>
            <w:rStyle w:val="Hyperlink"/>
          </w:rPr>
          <w:t xml:space="preserve">https://doi.org/10.1002/hbm.20851</w:t>
        </w:r>
      </w:hyperlink>
    </w:p>
    <w:bookmarkEnd w:id="146"/>
    <w:bookmarkStart w:id="148" w:name="ref-alday2019"/>
    <w:p>
      <w:pPr>
        <w:pStyle w:val="Bibliography"/>
      </w:pPr>
      <w:r>
        <w:t xml:space="preserve">Alday, P. M. (2019). How much baseline correction do we need in</w:t>
      </w:r>
      <w:r>
        <w:t xml:space="preserve"> </w:t>
      </w:r>
      <w:r>
        <w:t xml:space="preserve">ERP</w:t>
      </w:r>
      <w:r>
        <w:t xml:space="preserve"> </w:t>
      </w:r>
      <w:r>
        <w:t xml:space="preserve">research? Extended</w:t>
      </w:r>
      <w:r>
        <w:t xml:space="preserve"> </w:t>
      </w:r>
      <w:r>
        <w:t xml:space="preserve">GLM</w:t>
      </w:r>
      <w:r>
        <w:t xml:space="preserve"> </w:t>
      </w:r>
      <w:r>
        <w:t xml:space="preserve">model can replace baseline correction while lifting its limits.</w:t>
      </w:r>
      <w:r>
        <w:t xml:space="preserve"> </w:t>
      </w:r>
      <w:r>
        <w:rPr>
          <w:i/>
          <w:iCs/>
        </w:rPr>
        <w:t xml:space="preserve">Psychophysiology</w:t>
      </w:r>
      <w:r>
        <w:t xml:space="preserve">,</w:t>
      </w:r>
      <w:r>
        <w:t xml:space="preserve"> </w:t>
      </w:r>
      <w:r>
        <w:rPr>
          <w:i/>
          <w:iCs/>
        </w:rPr>
        <w:t xml:space="preserve">56</w:t>
      </w:r>
      <w:r>
        <w:t xml:space="preserve">(12), e13451.</w:t>
      </w:r>
      <w:r>
        <w:t xml:space="preserve"> </w:t>
      </w:r>
      <w:hyperlink r:id="rId147">
        <w:r>
          <w:rPr>
            <w:rStyle w:val="Hyperlink"/>
          </w:rPr>
          <w:t xml:space="preserve">https://doi.org/10.1111/psyp.13451</w:t>
        </w:r>
      </w:hyperlink>
    </w:p>
    <w:bookmarkEnd w:id="148"/>
    <w:bookmarkStart w:id="150" w:name="ref-alemanbanon2018"/>
    <w:p>
      <w:pPr>
        <w:pStyle w:val="Bibliography"/>
      </w:pPr>
      <w:r>
        <w:t xml:space="preserve">Alemán Bañón, J., Fiorentino, R., &amp; Gabriele, A. (2018). Using event-related potentials to track morphosyntactic development in second language learners: The processing of number and gender agreement in</w:t>
      </w:r>
      <w:r>
        <w:t xml:space="preserve"> </w:t>
      </w:r>
      <w:r>
        <w:t xml:space="preserve">Spanish</w:t>
      </w:r>
      <w:r>
        <w:t xml:space="preserve">.</w:t>
      </w:r>
      <w:r>
        <w:t xml:space="preserve"> </w:t>
      </w:r>
      <w:r>
        <w:rPr>
          <w:i/>
          <w:iCs/>
        </w:rPr>
        <w:t xml:space="preserve">PLOS ONE</w:t>
      </w:r>
      <w:r>
        <w:t xml:space="preserve">,</w:t>
      </w:r>
      <w:r>
        <w:t xml:space="preserve"> </w:t>
      </w:r>
      <w:r>
        <w:rPr>
          <w:i/>
          <w:iCs/>
        </w:rPr>
        <w:t xml:space="preserve">13</w:t>
      </w:r>
      <w:r>
        <w:t xml:space="preserve">(7), e0200791.</w:t>
      </w:r>
      <w:r>
        <w:t xml:space="preserve"> </w:t>
      </w:r>
      <w:hyperlink r:id="rId149">
        <w:r>
          <w:rPr>
            <w:rStyle w:val="Hyperlink"/>
          </w:rPr>
          <w:t xml:space="preserve">https://doi.org/10.1371/journal.pone.0200791</w:t>
        </w:r>
      </w:hyperlink>
    </w:p>
    <w:bookmarkEnd w:id="150"/>
    <w:bookmarkStart w:id="152" w:name="ref-allefeld2016"/>
    <w:p>
      <w:pPr>
        <w:pStyle w:val="Bibliography"/>
      </w:pPr>
      <w:r>
        <w:t xml:space="preserve">Allefeld, C., Görgen, K., &amp; Haynes, J.-D. (2016). Valid population inference for information-based imaging: From the second-level t-test to prevalence inference.</w:t>
      </w:r>
      <w:r>
        <w:t xml:space="preserve"> </w:t>
      </w:r>
      <w:r>
        <w:rPr>
          <w:i/>
          <w:iCs/>
        </w:rPr>
        <w:t xml:space="preserve">NeuroImage</w:t>
      </w:r>
      <w:r>
        <w:t xml:space="preserve">,</w:t>
      </w:r>
      <w:r>
        <w:t xml:space="preserve"> </w:t>
      </w:r>
      <w:r>
        <w:rPr>
          <w:i/>
          <w:iCs/>
        </w:rPr>
        <w:t xml:space="preserve">141</w:t>
      </w:r>
      <w:r>
        <w:t xml:space="preserve">, 378–392.</w:t>
      </w:r>
      <w:r>
        <w:t xml:space="preserve"> </w:t>
      </w:r>
      <w:hyperlink r:id="rId151">
        <w:r>
          <w:rPr>
            <w:rStyle w:val="Hyperlink"/>
          </w:rPr>
          <w:t xml:space="preserve">https://doi.org/10.1016/j.neuroimage.2016.07.040</w:t>
        </w:r>
      </w:hyperlink>
    </w:p>
    <w:bookmarkEnd w:id="152"/>
    <w:bookmarkStart w:id="154" w:name="ref-amrhein2019"/>
    <w:p>
      <w:pPr>
        <w:pStyle w:val="Bibliography"/>
      </w:pPr>
      <w:r>
        <w:t xml:space="preserve">Amrhein, V., Greenland, S., &amp; McShane, B. (2019). Scientists rise up against statistical significance.</w:t>
      </w:r>
      <w:r>
        <w:t xml:space="preserve"> </w:t>
      </w:r>
      <w:r>
        <w:rPr>
          <w:i/>
          <w:iCs/>
        </w:rPr>
        <w:t xml:space="preserve">Nature</w:t>
      </w:r>
      <w:r>
        <w:t xml:space="preserve">,</w:t>
      </w:r>
      <w:r>
        <w:t xml:space="preserve"> </w:t>
      </w:r>
      <w:r>
        <w:rPr>
          <w:i/>
          <w:iCs/>
        </w:rPr>
        <w:t xml:space="preserve">567</w:t>
      </w:r>
      <w:r>
        <w:t xml:space="preserve">(7748), 305–307.</w:t>
      </w:r>
      <w:r>
        <w:t xml:space="preserve"> </w:t>
      </w:r>
      <w:hyperlink r:id="rId153">
        <w:r>
          <w:rPr>
            <w:rStyle w:val="Hyperlink"/>
          </w:rPr>
          <w:t xml:space="preserve">https://doi.org/10.1038/d41586-019-00857-9</w:t>
        </w:r>
      </w:hyperlink>
    </w:p>
    <w:bookmarkEnd w:id="154"/>
    <w:bookmarkStart w:id="156" w:name="ref-angelovska2023"/>
    <w:p>
      <w:pPr>
        <w:pStyle w:val="Bibliography"/>
      </w:pPr>
      <w:r>
        <w:t xml:space="preserve">Angelovska, T., &amp; Roehm, D. (2023). A selective review of event-related potential investigations in second and third language acquisition of syntax.</w:t>
      </w:r>
      <w:r>
        <w:t xml:space="preserve"> </w:t>
      </w:r>
      <w:r>
        <w:rPr>
          <w:i/>
          <w:iCs/>
        </w:rPr>
        <w:t xml:space="preserve">Languages</w:t>
      </w:r>
      <w:r>
        <w:t xml:space="preserve">,</w:t>
      </w:r>
      <w:r>
        <w:t xml:space="preserve"> </w:t>
      </w:r>
      <w:r>
        <w:rPr>
          <w:i/>
          <w:iCs/>
        </w:rPr>
        <w:t xml:space="preserve">8</w:t>
      </w:r>
      <w:r>
        <w:t xml:space="preserve">(1), 90.</w:t>
      </w:r>
      <w:r>
        <w:t xml:space="preserve"> </w:t>
      </w:r>
      <w:hyperlink r:id="rId155">
        <w:r>
          <w:rPr>
            <w:rStyle w:val="Hyperlink"/>
          </w:rPr>
          <w:t xml:space="preserve">https://doi.org/10.3390/languages8010090</w:t>
        </w:r>
      </w:hyperlink>
    </w:p>
    <w:bookmarkEnd w:id="156"/>
    <w:bookmarkStart w:id="158" w:name="ref-aurnhammer2023"/>
    <w:p>
      <w:pPr>
        <w:pStyle w:val="Bibliography"/>
      </w:pPr>
      <w:r>
        <w:t xml:space="preserve">Aurnhammer, C., Delogu, F., Brouwer, H., &amp; Crocker, M. W. (2023). The</w:t>
      </w:r>
      <w:r>
        <w:t xml:space="preserve"> </w:t>
      </w:r>
      <w:r>
        <w:t xml:space="preserve">P600</w:t>
      </w:r>
      <w:r>
        <w:t xml:space="preserve"> </w:t>
      </w:r>
      <w:r>
        <w:t xml:space="preserve">as a continuous index of integration effort.</w:t>
      </w:r>
      <w:r>
        <w:t xml:space="preserve"> </w:t>
      </w:r>
      <w:r>
        <w:rPr>
          <w:i/>
          <w:iCs/>
        </w:rPr>
        <w:t xml:space="preserve">Psychophysiology</w:t>
      </w:r>
      <w:r>
        <w:t xml:space="preserve">,</w:t>
      </w:r>
      <w:r>
        <w:t xml:space="preserve"> </w:t>
      </w:r>
      <w:r>
        <w:rPr>
          <w:i/>
          <w:iCs/>
        </w:rPr>
        <w:t xml:space="preserve">60</w:t>
      </w:r>
      <w:r>
        <w:t xml:space="preserve">(9), e14302.</w:t>
      </w:r>
      <w:r>
        <w:t xml:space="preserve"> </w:t>
      </w:r>
      <w:hyperlink r:id="rId157">
        <w:r>
          <w:rPr>
            <w:rStyle w:val="Hyperlink"/>
          </w:rPr>
          <w:t xml:space="preserve">https://doi.org/10.1111/psyp.14302</w:t>
        </w:r>
      </w:hyperlink>
    </w:p>
    <w:bookmarkEnd w:id="158"/>
    <w:bookmarkStart w:id="160" w:name="ref-baayen2008"/>
    <w:p>
      <w:pPr>
        <w:pStyle w:val="Bibliography"/>
      </w:pPr>
      <w:r>
        <w:t xml:space="preserve">Baayen, R. H., Davidson, D. J., &amp; Bates, D. M. (2008). Mixed-effects modeling with crossed random effects for subjects and items.</w:t>
      </w:r>
      <w:r>
        <w:t xml:space="preserve"> </w:t>
      </w:r>
      <w:r>
        <w:rPr>
          <w:i/>
          <w:iCs/>
        </w:rPr>
        <w:t xml:space="preserve">Journal of Memory and Language</w:t>
      </w:r>
      <w:r>
        <w:t xml:space="preserve">,</w:t>
      </w:r>
      <w:r>
        <w:t xml:space="preserve"> </w:t>
      </w:r>
      <w:r>
        <w:rPr>
          <w:i/>
          <w:iCs/>
        </w:rPr>
        <w:t xml:space="preserve">59</w:t>
      </w:r>
      <w:r>
        <w:t xml:space="preserve">(4), 390–412.</w:t>
      </w:r>
      <w:r>
        <w:t xml:space="preserve"> </w:t>
      </w:r>
      <w:hyperlink r:id="rId159">
        <w:r>
          <w:rPr>
            <w:rStyle w:val="Hyperlink"/>
          </w:rPr>
          <w:t xml:space="preserve">https://doi.org/10.1016/j.jml.2007.12.005</w:t>
        </w:r>
      </w:hyperlink>
    </w:p>
    <w:bookmarkEnd w:id="160"/>
    <w:bookmarkStart w:id="162" w:name="ref-bardel2007"/>
    <w:p>
      <w:pPr>
        <w:pStyle w:val="Bibliography"/>
      </w:pPr>
      <w:r>
        <w:t xml:space="preserve">Bardel, C., &amp; Falk, Y. (2007). The role of the second language in third language acquisition: The case of</w:t>
      </w:r>
      <w:r>
        <w:t xml:space="preserve"> </w:t>
      </w:r>
      <w:r>
        <w:t xml:space="preserve">German</w:t>
      </w:r>
      <w:r>
        <w:t xml:space="preserve">ic</w:t>
      </w:r>
      <w:r>
        <w:t xml:space="preserve"> </w:t>
      </w:r>
      <w:r>
        <w:t xml:space="preserve">syntax.</w:t>
      </w:r>
      <w:r>
        <w:t xml:space="preserve"> </w:t>
      </w:r>
      <w:r>
        <w:rPr>
          <w:i/>
          <w:iCs/>
        </w:rPr>
        <w:t xml:space="preserve">Second Language Research</w:t>
      </w:r>
      <w:r>
        <w:t xml:space="preserve">,</w:t>
      </w:r>
      <w:r>
        <w:t xml:space="preserve"> </w:t>
      </w:r>
      <w:r>
        <w:rPr>
          <w:i/>
          <w:iCs/>
        </w:rPr>
        <w:t xml:space="preserve">23</w:t>
      </w:r>
      <w:r>
        <w:t xml:space="preserve">(4), 459–484.</w:t>
      </w:r>
      <w:r>
        <w:t xml:space="preserve"> </w:t>
      </w:r>
      <w:hyperlink r:id="rId161">
        <w:r>
          <w:rPr>
            <w:rStyle w:val="Hyperlink"/>
          </w:rPr>
          <w:t xml:space="preserve">https://doi.org/10.1177/0267658307080557</w:t>
        </w:r>
      </w:hyperlink>
    </w:p>
    <w:bookmarkEnd w:id="162"/>
    <w:bookmarkStart w:id="164" w:name="ref-barr2013"/>
    <w:p>
      <w:pPr>
        <w:pStyle w:val="Bibliography"/>
      </w:pPr>
      <w:r>
        <w:t xml:space="preserve">Barr, D. J., Levy, R., Scheepers, C., &amp; Tily, H. J. (2013). Random effects structure for confirmatory hypothesis testing: Keep it maximal.</w:t>
      </w:r>
      <w:r>
        <w:t xml:space="preserve"> </w:t>
      </w:r>
      <w:r>
        <w:rPr>
          <w:i/>
          <w:iCs/>
        </w:rPr>
        <w:t xml:space="preserve">Journal of Memory and Language</w:t>
      </w:r>
      <w:r>
        <w:t xml:space="preserve">,</w:t>
      </w:r>
      <w:r>
        <w:t xml:space="preserve"> </w:t>
      </w:r>
      <w:r>
        <w:rPr>
          <w:i/>
          <w:iCs/>
        </w:rPr>
        <w:t xml:space="preserve">68</w:t>
      </w:r>
      <w:r>
        <w:t xml:space="preserve">(3), 255–278.</w:t>
      </w:r>
      <w:r>
        <w:t xml:space="preserve"> </w:t>
      </w:r>
      <w:hyperlink r:id="rId163">
        <w:r>
          <w:rPr>
            <w:rStyle w:val="Hyperlink"/>
          </w:rPr>
          <w:t xml:space="preserve">https://doi.org/10.1016/j.jml.2012.11.001</w:t>
        </w:r>
      </w:hyperlink>
    </w:p>
    <w:bookmarkEnd w:id="164"/>
    <w:bookmarkStart w:id="166" w:name="ref-depictr"/>
    <w:p>
      <w:pPr>
        <w:pStyle w:val="Bibliography"/>
      </w:pPr>
      <w:r>
        <w:t xml:space="preserve">Bernabeu, P. (2026a).</w:t>
      </w:r>
      <w:r>
        <w:t xml:space="preserve"> </w:t>
      </w:r>
      <w:r>
        <w:rPr>
          <w:i/>
          <w:iCs/>
        </w:rPr>
        <w:t xml:space="preserve">depictr</w:t>
      </w:r>
      <w:r>
        <w:rPr>
          <w:i/>
          <w:iCs/>
        </w:rPr>
        <w:t xml:space="preserve">: A unified toolkit for visualising statistical models and data</w:t>
      </w:r>
      <w:r>
        <w:t xml:space="preserve"> </w:t>
      </w:r>
      <w:r>
        <w:t xml:space="preserve">(Version 0.3.0). Comprehensive R Archive Network.</w:t>
      </w:r>
      <w:r>
        <w:t xml:space="preserve"> </w:t>
      </w:r>
      <w:hyperlink r:id="rId165">
        <w:r>
          <w:rPr>
            <w:rStyle w:val="Hyperlink"/>
          </w:rPr>
          <w:t xml:space="preserve">https://doi.org/10.32614/CRAN.package.depictr</w:t>
        </w:r>
      </w:hyperlink>
    </w:p>
    <w:bookmarkEnd w:id="166"/>
    <w:bookmarkStart w:id="168" w:name="ref-scopusflow"/>
    <w:p>
      <w:pPr>
        <w:pStyle w:val="Bibliography"/>
      </w:pPr>
      <w:r>
        <w:t xml:space="preserve">Bernabeu, P. (2026b).</w:t>
      </w:r>
      <w:r>
        <w:t xml:space="preserve"> </w:t>
      </w:r>
      <w:r>
        <w:rPr>
          <w:i/>
          <w:iCs/>
        </w:rPr>
        <w:t xml:space="preserve">scopusflow</w:t>
      </w:r>
      <w:r>
        <w:rPr>
          <w:i/>
          <w:iCs/>
        </w:rPr>
        <w:t xml:space="preserve">: A reproducible workflow layer for ’</w:t>
      </w:r>
      <w:r>
        <w:rPr>
          <w:i/>
          <w:iCs/>
        </w:rPr>
        <w:t xml:space="preserve">Scopus</w:t>
      </w:r>
      <w:r>
        <w:rPr>
          <w:i/>
          <w:iCs/>
        </w:rPr>
        <w:t xml:space="preserve">’ bibliographic searches</w:t>
      </w:r>
      <w:r>
        <w:t xml:space="preserve"> </w:t>
      </w:r>
      <w:r>
        <w:t xml:space="preserve">(Version 0.4.0). Comprehensive R Archive Network.</w:t>
      </w:r>
      <w:r>
        <w:t xml:space="preserve"> </w:t>
      </w:r>
      <w:hyperlink r:id="rId167">
        <w:r>
          <w:rPr>
            <w:rStyle w:val="Hyperlink"/>
          </w:rPr>
          <w:t xml:space="preserve">https://doi.org/10.32614/CRAN.package.scopusflow</w:t>
        </w:r>
      </w:hyperlink>
    </w:p>
    <w:bookmarkEnd w:id="168"/>
    <w:bookmarkStart w:id="169" w:name="ref-lesspredictors2026"/>
    <w:p>
      <w:pPr>
        <w:pStyle w:val="Bibliography"/>
      </w:pPr>
      <w:r>
        <w:t xml:space="preserve">Bernabeu, P., Athanasiadi, C., Pischinger, S. L., Silva, G., Hoang, M. N. G., DeLuca, V. F., Rothman, J., Ivanova, I., Poch, C., &amp; González Alonso, J. (2026).</w:t>
      </w:r>
      <w:r>
        <w:t xml:space="preserve"> </w:t>
      </w:r>
      <w:r>
        <w:rPr>
          <w:i/>
          <w:iCs/>
        </w:rPr>
        <w:t xml:space="preserve">Cognitive and resting-state</w:t>
      </w:r>
      <w:r>
        <w:rPr>
          <w:i/>
          <w:iCs/>
        </w:rPr>
        <w:t xml:space="preserve"> </w:t>
      </w:r>
      <w:r>
        <w:rPr>
          <w:i/>
          <w:iCs/>
        </w:rPr>
        <w:t xml:space="preserve">EEG</w:t>
      </w:r>
      <w:r>
        <w:rPr>
          <w:i/>
          <w:iCs/>
        </w:rPr>
        <w:t xml:space="preserve"> </w:t>
      </w:r>
      <w:r>
        <w:rPr>
          <w:i/>
          <w:iCs/>
        </w:rPr>
        <w:t xml:space="preserve">predictors of intensive multilingual learning, and change in executive function across training: A</w:t>
      </w:r>
      <w:r>
        <w:rPr>
          <w:i/>
          <w:iCs/>
        </w:rPr>
        <w:t xml:space="preserve"> </w:t>
      </w:r>
      <w:r>
        <w:rPr>
          <w:i/>
          <w:iCs/>
        </w:rPr>
        <w:t xml:space="preserve">Bayesian</w:t>
      </w:r>
      <w:r>
        <w:rPr>
          <w:i/>
          <w:iCs/>
        </w:rPr>
        <w:t xml:space="preserve"> </w:t>
      </w:r>
      <w:r>
        <w:rPr>
          <w:i/>
          <w:iCs/>
        </w:rPr>
        <w:t xml:space="preserve">multilevel study</w:t>
      </w:r>
      <w:r>
        <w:t xml:space="preserve"> </w:t>
      </w:r>
      <w:r>
        <w:t xml:space="preserve">[Manuscript submitted for publication].</w:t>
      </w:r>
    </w:p>
    <w:bookmarkEnd w:id="169"/>
    <w:bookmarkStart w:id="171" w:name="ref-brauer2018"/>
    <w:p>
      <w:pPr>
        <w:pStyle w:val="Bibliography"/>
      </w:pPr>
      <w:r>
        <w:t xml:space="preserve">Brauer, M., &amp; Curtin, J. J. (2018). Linear mixed-effects models and the analysis of nonindependent data: A unified framework to analyze categorical and continuous independent variables that vary within-subjects and/or within-items.</w:t>
      </w:r>
      <w:r>
        <w:t xml:space="preserve"> </w:t>
      </w:r>
      <w:r>
        <w:rPr>
          <w:i/>
          <w:iCs/>
        </w:rPr>
        <w:t xml:space="preserve">Psychological Methods</w:t>
      </w:r>
      <w:r>
        <w:t xml:space="preserve">,</w:t>
      </w:r>
      <w:r>
        <w:t xml:space="preserve"> </w:t>
      </w:r>
      <w:r>
        <w:rPr>
          <w:i/>
          <w:iCs/>
        </w:rPr>
        <w:t xml:space="preserve">23</w:t>
      </w:r>
      <w:r>
        <w:t xml:space="preserve">(3), 389–411.</w:t>
      </w:r>
      <w:r>
        <w:t xml:space="preserve"> </w:t>
      </w:r>
      <w:hyperlink r:id="rId170">
        <w:r>
          <w:rPr>
            <w:rStyle w:val="Hyperlink"/>
          </w:rPr>
          <w:t xml:space="preserve">https://doi.org/10.1037/met0000159</w:t>
        </w:r>
      </w:hyperlink>
    </w:p>
    <w:bookmarkEnd w:id="171"/>
    <w:bookmarkStart w:id="173" w:name="ref-burkner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72">
        <w:r>
          <w:rPr>
            <w:rStyle w:val="Hyperlink"/>
          </w:rPr>
          <w:t xml:space="preserve">https://doi.org/10.18637/jss.v080.i01</w:t>
        </w:r>
      </w:hyperlink>
    </w:p>
    <w:bookmarkEnd w:id="173"/>
    <w:bookmarkStart w:id="175" w:name="ref-burkner2018"/>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w:t>
      </w:r>
      <w:r>
        <w:t xml:space="preserve"> </w:t>
      </w:r>
      <w:r>
        <w:rPr>
          <w:i/>
          <w:iCs/>
        </w:rPr>
        <w:t xml:space="preserve">10</w:t>
      </w:r>
      <w:r>
        <w:t xml:space="preserve">(1), 395–411.</w:t>
      </w:r>
      <w:r>
        <w:t xml:space="preserve"> </w:t>
      </w:r>
      <w:hyperlink r:id="rId174">
        <w:r>
          <w:rPr>
            <w:rStyle w:val="Hyperlink"/>
          </w:rPr>
          <w:t xml:space="preserve">https://doi.org/10.32614/RJ-2018-017</w:t>
        </w:r>
      </w:hyperlink>
    </w:p>
    <w:bookmarkEnd w:id="175"/>
    <w:bookmarkStart w:id="177" w:name="ref-caffarra2019"/>
    <w:p>
      <w:pPr>
        <w:pStyle w:val="Bibliography"/>
      </w:pPr>
      <w:r>
        <w:t xml:space="preserve">Caffarra, S., Mendoza, M., &amp; Davidson, D. (2019). Is the</w:t>
      </w:r>
      <w:r>
        <w:t xml:space="preserve"> </w:t>
      </w:r>
      <w:r>
        <w:t xml:space="preserve">LAN</w:t>
      </w:r>
      <w:r>
        <w:t xml:space="preserve"> </w:t>
      </w:r>
      <w:r>
        <w:t xml:space="preserve">effect in morphosyntactic processing an</w:t>
      </w:r>
      <w:r>
        <w:t xml:space="preserve"> </w:t>
      </w:r>
      <w:r>
        <w:t xml:space="preserve">ERP</w:t>
      </w:r>
      <w:r>
        <w:t xml:space="preserve"> </w:t>
      </w:r>
      <w:r>
        <w:t xml:space="preserve">artifact?</w:t>
      </w:r>
      <w:r>
        <w:t xml:space="preserve"> </w:t>
      </w:r>
      <w:r>
        <w:rPr>
          <w:i/>
          <w:iCs/>
        </w:rPr>
        <w:t xml:space="preserve">Brain and Language</w:t>
      </w:r>
      <w:r>
        <w:t xml:space="preserve">,</w:t>
      </w:r>
      <w:r>
        <w:t xml:space="preserve"> </w:t>
      </w:r>
      <w:r>
        <w:rPr>
          <w:i/>
          <w:iCs/>
        </w:rPr>
        <w:t xml:space="preserve">191</w:t>
      </w:r>
      <w:r>
        <w:t xml:space="preserve">, 9–16.</w:t>
      </w:r>
      <w:r>
        <w:t xml:space="preserve"> </w:t>
      </w:r>
      <w:hyperlink r:id="rId176">
        <w:r>
          <w:rPr>
            <w:rStyle w:val="Hyperlink"/>
          </w:rPr>
          <w:t xml:space="preserve">https://doi.org/10.1016/j.bandl.2019.01.003</w:t>
        </w:r>
      </w:hyperlink>
    </w:p>
    <w:bookmarkEnd w:id="177"/>
    <w:bookmarkStart w:id="179" w:name="ref-caffarra2015"/>
    <w:p>
      <w:pPr>
        <w:pStyle w:val="Bibliography"/>
      </w:pPr>
      <w:r>
        <w:t xml:space="preserve">Caffarra, S., Molinaro, N., Davidson, D., &amp; Carreiras, M. (2015). Second language syntactic processing revealed through event-related potentials: An empirical review.</w:t>
      </w:r>
      <w:r>
        <w:t xml:space="preserve"> </w:t>
      </w:r>
      <w:r>
        <w:rPr>
          <w:i/>
          <w:iCs/>
        </w:rPr>
        <w:t xml:space="preserve">Neuroscience &amp; Biobehavioral Reviews</w:t>
      </w:r>
      <w:r>
        <w:t xml:space="preserve">,</w:t>
      </w:r>
      <w:r>
        <w:t xml:space="preserve"> </w:t>
      </w:r>
      <w:r>
        <w:rPr>
          <w:i/>
          <w:iCs/>
        </w:rPr>
        <w:t xml:space="preserve">51</w:t>
      </w:r>
      <w:r>
        <w:t xml:space="preserve">, 31–47.</w:t>
      </w:r>
      <w:r>
        <w:t xml:space="preserve"> </w:t>
      </w:r>
      <w:hyperlink r:id="rId178">
        <w:r>
          <w:rPr>
            <w:rStyle w:val="Hyperlink"/>
          </w:rPr>
          <w:t xml:space="preserve">https://doi.org/10.1016/j.neubiorev.2015.01.010</w:t>
        </w:r>
      </w:hyperlink>
    </w:p>
    <w:bookmarkEnd w:id="179"/>
    <w:bookmarkStart w:id="181" w:name="ref-carpenter2017"/>
    <w:p>
      <w:pPr>
        <w:pStyle w:val="Bibliography"/>
      </w:pPr>
      <w:r>
        <w:t xml:space="preserve">Carpenter, B., Gelman, A., Hoffman, M. D., Lee, D., Goodrich, B., Betancourt, M., Brubaker, M., Guo, J., Li, P., &amp; Riddell, A. (2017).</w:t>
      </w:r>
      <w:r>
        <w:t xml:space="preserve"> </w:t>
      </w:r>
      <w:r>
        <w:t xml:space="preserve">Stan</w:t>
      </w:r>
      <w:r>
        <w:t xml:space="preserve">: A 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r>
        <w:t xml:space="preserve"> </w:t>
      </w:r>
      <w:hyperlink r:id="rId180">
        <w:r>
          <w:rPr>
            <w:rStyle w:val="Hyperlink"/>
          </w:rPr>
          <w:t xml:space="preserve">https://doi.org/10.18637/jss.v076.i01</w:t>
        </w:r>
      </w:hyperlink>
    </w:p>
    <w:bookmarkEnd w:id="181"/>
    <w:bookmarkStart w:id="183" w:name="ref-carrasco2024"/>
    <w:p>
      <w:pPr>
        <w:pStyle w:val="Bibliography"/>
      </w:pPr>
      <w:r>
        <w:t xml:space="preserve">Carrasco, C. D., Bahle, B., Simmons, A. M., &amp; Luck, S. J. (2024). Using multivariate pattern analysis to increase effect sizes for event-related potential analyses.</w:t>
      </w:r>
      <w:r>
        <w:t xml:space="preserve"> </w:t>
      </w:r>
      <w:r>
        <w:rPr>
          <w:i/>
          <w:iCs/>
        </w:rPr>
        <w:t xml:space="preserve">Psychophysiology</w:t>
      </w:r>
      <w:r>
        <w:t xml:space="preserve">,</w:t>
      </w:r>
      <w:r>
        <w:t xml:space="preserve"> </w:t>
      </w:r>
      <w:r>
        <w:rPr>
          <w:i/>
          <w:iCs/>
        </w:rPr>
        <w:t xml:space="preserve">61</w:t>
      </w:r>
      <w:r>
        <w:t xml:space="preserve">(7), e14570.</w:t>
      </w:r>
      <w:r>
        <w:t xml:space="preserve"> </w:t>
      </w:r>
      <w:hyperlink r:id="rId182">
        <w:r>
          <w:rPr>
            <w:rStyle w:val="Hyperlink"/>
          </w:rPr>
          <w:t xml:space="preserve">https://doi.org/10.1111/psyp.14570</w:t>
        </w:r>
      </w:hyperlink>
    </w:p>
    <w:bookmarkEnd w:id="183"/>
    <w:bookmarkStart w:id="185" w:name="ref-castle2026"/>
    <w:p>
      <w:pPr>
        <w:pStyle w:val="Bibliography"/>
      </w:pPr>
      <w:r>
        <w:t xml:space="preserve">Castle, C. M., Jensen, I. N., Mitrofanova, N., &amp; Westergaard, M. (2026). Investigating crosslinguistic influence (</w:t>
      </w:r>
      <w:r>
        <w:t xml:space="preserve">CLI</w:t>
      </w:r>
      <w:r>
        <w:t xml:space="preserve">) in</w:t>
      </w:r>
      <w:r>
        <w:t xml:space="preserve"> </w:t>
      </w:r>
      <w:r>
        <w:t xml:space="preserve">L3</w:t>
      </w:r>
      <w:r>
        <w:t xml:space="preserve"> </w:t>
      </w:r>
      <w:r>
        <w:t xml:space="preserve">morphosyntax through artificial languages.</w:t>
      </w:r>
      <w:r>
        <w:t xml:space="preserve"> </w:t>
      </w:r>
      <w:r>
        <w:rPr>
          <w:i/>
          <w:iCs/>
        </w:rPr>
        <w:t xml:space="preserve">Second Language Research</w:t>
      </w:r>
      <w:r>
        <w:t xml:space="preserve">,</w:t>
      </w:r>
      <w:r>
        <w:t xml:space="preserve"> </w:t>
      </w:r>
      <w:r>
        <w:rPr>
          <w:i/>
          <w:iCs/>
        </w:rPr>
        <w:t xml:space="preserve">42</w:t>
      </w:r>
      <w:r>
        <w:t xml:space="preserve">(2), 339–364.</w:t>
      </w:r>
      <w:r>
        <w:t xml:space="preserve"> </w:t>
      </w:r>
      <w:hyperlink r:id="rId184">
        <w:r>
          <w:rPr>
            <w:rStyle w:val="Hyperlink"/>
          </w:rPr>
          <w:t xml:space="preserve">https://doi.org/10.1177/02676583251332128</w:t>
        </w:r>
      </w:hyperlink>
    </w:p>
    <w:bookmarkEnd w:id="185"/>
    <w:bookmarkStart w:id="187" w:name="ref-chen2007"/>
    <w:p>
      <w:pPr>
        <w:pStyle w:val="Bibliography"/>
      </w:pPr>
      <w:r>
        <w:t xml:space="preserve">Chen, L., Shu, H., Liu, Y., Zhao, J., &amp; Li, P. (2007).</w:t>
      </w:r>
      <w:r>
        <w:t xml:space="preserve"> </w:t>
      </w:r>
      <w:r>
        <w:t xml:space="preserve">ERP</w:t>
      </w:r>
      <w:r>
        <w:t xml:space="preserve"> </w:t>
      </w:r>
      <w:r>
        <w:t xml:space="preserve">signatures of subject–verb agreement in</w:t>
      </w:r>
      <w:r>
        <w:t xml:space="preserve"> </w:t>
      </w:r>
      <w:r>
        <w:t xml:space="preserve">L2</w:t>
      </w:r>
      <w:r>
        <w:t xml:space="preserve"> </w:t>
      </w:r>
      <w:r>
        <w:t xml:space="preserve">learning.</w:t>
      </w:r>
      <w:r>
        <w:t xml:space="preserve"> </w:t>
      </w:r>
      <w:r>
        <w:rPr>
          <w:i/>
          <w:iCs/>
        </w:rPr>
        <w:t xml:space="preserve">Bilingualism: Language and Cognition</w:t>
      </w:r>
      <w:r>
        <w:t xml:space="preserve">,</w:t>
      </w:r>
      <w:r>
        <w:t xml:space="preserve"> </w:t>
      </w:r>
      <w:r>
        <w:rPr>
          <w:i/>
          <w:iCs/>
        </w:rPr>
        <w:t xml:space="preserve">10</w:t>
      </w:r>
      <w:r>
        <w:t xml:space="preserve">(2), 161–174.</w:t>
      </w:r>
      <w:r>
        <w:t xml:space="preserve"> </w:t>
      </w:r>
      <w:hyperlink r:id="rId186">
        <w:r>
          <w:rPr>
            <w:rStyle w:val="Hyperlink"/>
          </w:rPr>
          <w:t xml:space="preserve">https://doi.org/10.1017/S136672890700291X</w:t>
        </w:r>
      </w:hyperlink>
    </w:p>
    <w:bookmarkEnd w:id="187"/>
    <w:bookmarkStart w:id="189" w:name="ref-cho2025"/>
    <w:p>
      <w:pPr>
        <w:pStyle w:val="Bibliography"/>
      </w:pPr>
      <w:r>
        <w:t xml:space="preserve">Cho, J., &amp; Brennan, J. R. (2025). Decoding of lexical items and grammatical features in</w:t>
      </w:r>
      <w:r>
        <w:t xml:space="preserve"> </w:t>
      </w:r>
      <w:r>
        <w:t xml:space="preserve">EEG</w:t>
      </w:r>
      <w:r>
        <w:t xml:space="preserve">: A cross-linguistic study.</w:t>
      </w:r>
      <w:r>
        <w:t xml:space="preserve"> </w:t>
      </w:r>
      <w:r>
        <w:rPr>
          <w:i/>
          <w:iCs/>
        </w:rPr>
        <w:t xml:space="preserve">Neuropsychologia</w:t>
      </w:r>
      <w:r>
        <w:t xml:space="preserve">,</w:t>
      </w:r>
      <w:r>
        <w:t xml:space="preserve"> </w:t>
      </w:r>
      <w:r>
        <w:rPr>
          <w:i/>
          <w:iCs/>
        </w:rPr>
        <w:t xml:space="preserve">213</w:t>
      </w:r>
      <w:r>
        <w:t xml:space="preserve">, 109150.</w:t>
      </w:r>
      <w:r>
        <w:t xml:space="preserve"> </w:t>
      </w:r>
      <w:hyperlink r:id="rId188">
        <w:r>
          <w:rPr>
            <w:rStyle w:val="Hyperlink"/>
          </w:rPr>
          <w:t xml:space="preserve">https://doi.org/10.1016/j.neuropsychologia.2025.109150</w:t>
        </w:r>
      </w:hyperlink>
    </w:p>
    <w:bookmarkEnd w:id="189"/>
    <w:bookmarkStart w:id="191" w:name="ref-combrisson2015"/>
    <w:p>
      <w:pPr>
        <w:pStyle w:val="Bibliography"/>
      </w:pPr>
      <w:r>
        <w:t xml:space="preserve">Combrisson, E., &amp; Jerbi, K. (2015). Exceeding chance level by chance: The caveat of theoretical chance levels in brain signal classification and statistical assessment of decoding accuracy.</w:t>
      </w:r>
      <w:r>
        <w:t xml:space="preserve"> </w:t>
      </w:r>
      <w:r>
        <w:rPr>
          <w:i/>
          <w:iCs/>
        </w:rPr>
        <w:t xml:space="preserve">Journal of Neuroscience Methods</w:t>
      </w:r>
      <w:r>
        <w:t xml:space="preserve">,</w:t>
      </w:r>
      <w:r>
        <w:t xml:space="preserve"> </w:t>
      </w:r>
      <w:r>
        <w:rPr>
          <w:i/>
          <w:iCs/>
        </w:rPr>
        <w:t xml:space="preserve">250</w:t>
      </w:r>
      <w:r>
        <w:t xml:space="preserve">, 126–136.</w:t>
      </w:r>
      <w:r>
        <w:t xml:space="preserve"> </w:t>
      </w:r>
      <w:hyperlink r:id="rId190">
        <w:r>
          <w:rPr>
            <w:rStyle w:val="Hyperlink"/>
          </w:rPr>
          <w:t xml:space="preserve">https://doi.org/10.1016/j.jneumeth.2015.01.010</w:t>
        </w:r>
      </w:hyperlink>
    </w:p>
    <w:bookmarkEnd w:id="191"/>
    <w:bookmarkStart w:id="193" w:name="ref-davis2009"/>
    <w:p>
      <w:pPr>
        <w:pStyle w:val="Bibliography"/>
      </w:pPr>
      <w:r>
        <w:t xml:space="preserve">Davis, M. H., &amp; Gaskell, M. G. (2009). A complementary systems account of word learning: Neural and behavioural evidence.</w:t>
      </w:r>
      <w:r>
        <w:t xml:space="preserve"> </w:t>
      </w:r>
      <w:r>
        <w:rPr>
          <w:i/>
          <w:iCs/>
        </w:rPr>
        <w:t xml:space="preserve">Philosophical Transactions of the Royal Society B: Biological Sciences</w:t>
      </w:r>
      <w:r>
        <w:t xml:space="preserve">,</w:t>
      </w:r>
      <w:r>
        <w:t xml:space="preserve"> </w:t>
      </w:r>
      <w:r>
        <w:rPr>
          <w:i/>
          <w:iCs/>
        </w:rPr>
        <w:t xml:space="preserve">364</w:t>
      </w:r>
      <w:r>
        <w:t xml:space="preserve">(1536), 3773–3800.</w:t>
      </w:r>
      <w:r>
        <w:t xml:space="preserve"> </w:t>
      </w:r>
      <w:hyperlink r:id="rId192">
        <w:r>
          <w:rPr>
            <w:rStyle w:val="Hyperlink"/>
          </w:rPr>
          <w:t xml:space="preserve">https://doi.org/10.1098/rstb.2009.0111</w:t>
        </w:r>
      </w:hyperlink>
    </w:p>
    <w:bookmarkEnd w:id="193"/>
    <w:bookmarkStart w:id="195" w:name="ref-davis2014"/>
    <w:p>
      <w:pPr>
        <w:pStyle w:val="Bibliography"/>
      </w:pPr>
      <w:r>
        <w:t xml:space="preserve">Davis, T., LaRocque, K. F., Mumford, J. A., Norman, K. A., Wagner, A. D., &amp; Poldrack, R. A. (2014). What do differences between multi-voxel and univariate analysis mean? How subject-, voxel-, and trial-level variance impact</w:t>
      </w:r>
      <w:r>
        <w:t xml:space="preserve"> </w:t>
      </w:r>
      <w:r>
        <w:t xml:space="preserve">fMRI</w:t>
      </w:r>
      <w:r>
        <w:t xml:space="preserve"> </w:t>
      </w:r>
      <w:r>
        <w:t xml:space="preserve">analysis.</w:t>
      </w:r>
      <w:r>
        <w:t xml:space="preserve"> </w:t>
      </w:r>
      <w:r>
        <w:rPr>
          <w:i/>
          <w:iCs/>
        </w:rPr>
        <w:t xml:space="preserve">NeuroImage</w:t>
      </w:r>
      <w:r>
        <w:t xml:space="preserve">,</w:t>
      </w:r>
      <w:r>
        <w:t xml:space="preserve"> </w:t>
      </w:r>
      <w:r>
        <w:rPr>
          <w:i/>
          <w:iCs/>
        </w:rPr>
        <w:t xml:space="preserve">97</w:t>
      </w:r>
      <w:r>
        <w:t xml:space="preserve">, 271–283.</w:t>
      </w:r>
      <w:r>
        <w:t xml:space="preserve"> </w:t>
      </w:r>
      <w:hyperlink r:id="rId194">
        <w:r>
          <w:rPr>
            <w:rStyle w:val="Hyperlink"/>
          </w:rPr>
          <w:t xml:space="preserve">https://doi.org/10.1016/j.neuroimage.2014.04.037</w:t>
        </w:r>
      </w:hyperlink>
    </w:p>
    <w:bookmarkEnd w:id="195"/>
    <w:bookmarkStart w:id="197" w:name="ref-decarlo1998"/>
    <w:p>
      <w:pPr>
        <w:pStyle w:val="Bibliography"/>
      </w:pPr>
      <w:r>
        <w:t xml:space="preserve">DeCarlo, L. T. (1998). Signal detection theory and generalized linear models.</w:t>
      </w:r>
      <w:r>
        <w:t xml:space="preserve"> </w:t>
      </w:r>
      <w:r>
        <w:rPr>
          <w:i/>
          <w:iCs/>
        </w:rPr>
        <w:t xml:space="preserve">Psychological Methods</w:t>
      </w:r>
      <w:r>
        <w:t xml:space="preserve">,</w:t>
      </w:r>
      <w:r>
        <w:t xml:space="preserve"> </w:t>
      </w:r>
      <w:r>
        <w:rPr>
          <w:i/>
          <w:iCs/>
        </w:rPr>
        <w:t xml:space="preserve">3</w:t>
      </w:r>
      <w:r>
        <w:t xml:space="preserve">(2), 186–205.</w:t>
      </w:r>
      <w:r>
        <w:t xml:space="preserve"> </w:t>
      </w:r>
      <w:hyperlink r:id="rId196">
        <w:r>
          <w:rPr>
            <w:rStyle w:val="Hyperlink"/>
          </w:rPr>
          <w:t xml:space="preserve">https://doi.org/10.1037/1082-989X.3.2.186</w:t>
        </w:r>
      </w:hyperlink>
    </w:p>
    <w:bookmarkEnd w:id="197"/>
    <w:bookmarkStart w:id="199" w:name="ref-depaoli2017"/>
    <w:p>
      <w:pPr>
        <w:pStyle w:val="Bibliography"/>
      </w:pPr>
      <w:r>
        <w:t xml:space="preserve">Depaoli, S., &amp; van de Schoot, R. (2017). Improving transparency and replication in</w:t>
      </w:r>
      <w:r>
        <w:t xml:space="preserve"> </w:t>
      </w:r>
      <w:r>
        <w:t xml:space="preserve">Bayesian</w:t>
      </w:r>
      <w:r>
        <w:t xml:space="preserve"> </w:t>
      </w:r>
      <w:r>
        <w:t xml:space="preserve">statistics: The</w:t>
      </w:r>
      <w:r>
        <w:t xml:space="preserve"> </w:t>
      </w:r>
      <w:r>
        <w:t xml:space="preserve">WAMBS</w:t>
      </w:r>
      <w:r>
        <w:t xml:space="preserve">-checklist.</w:t>
      </w:r>
      <w:r>
        <w:t xml:space="preserve"> </w:t>
      </w:r>
      <w:r>
        <w:rPr>
          <w:i/>
          <w:iCs/>
        </w:rPr>
        <w:t xml:space="preserve">Psychological Methods</w:t>
      </w:r>
      <w:r>
        <w:t xml:space="preserve">,</w:t>
      </w:r>
      <w:r>
        <w:t xml:space="preserve"> </w:t>
      </w:r>
      <w:r>
        <w:rPr>
          <w:i/>
          <w:iCs/>
        </w:rPr>
        <w:t xml:space="preserve">22</w:t>
      </w:r>
      <w:r>
        <w:t xml:space="preserve">(2), 240–261.</w:t>
      </w:r>
      <w:r>
        <w:t xml:space="preserve"> </w:t>
      </w:r>
      <w:hyperlink r:id="rId198">
        <w:r>
          <w:rPr>
            <w:rStyle w:val="Hyperlink"/>
          </w:rPr>
          <w:t xml:space="preserve">https://doi.org/10.1037/met0000065</w:t>
        </w:r>
      </w:hyperlink>
    </w:p>
    <w:bookmarkEnd w:id="199"/>
    <w:bookmarkStart w:id="201" w:name="ref-dixon2008"/>
    <w:p>
      <w:pPr>
        <w:pStyle w:val="Bibliography"/>
      </w:pPr>
      <w:r>
        <w:t xml:space="preserve">Dixon, P. (2008). Models of accuracy in repeated-measures designs.</w:t>
      </w:r>
      <w:r>
        <w:t xml:space="preserve"> </w:t>
      </w:r>
      <w:r>
        <w:rPr>
          <w:i/>
          <w:iCs/>
        </w:rPr>
        <w:t xml:space="preserve">Journal of Memory and Language</w:t>
      </w:r>
      <w:r>
        <w:t xml:space="preserve">,</w:t>
      </w:r>
      <w:r>
        <w:t xml:space="preserve"> </w:t>
      </w:r>
      <w:r>
        <w:rPr>
          <w:i/>
          <w:iCs/>
        </w:rPr>
        <w:t xml:space="preserve">59</w:t>
      </w:r>
      <w:r>
        <w:t xml:space="preserve">(4), 447–456.</w:t>
      </w:r>
      <w:r>
        <w:t xml:space="preserve"> </w:t>
      </w:r>
      <w:hyperlink r:id="rId200">
        <w:r>
          <w:rPr>
            <w:rStyle w:val="Hyperlink"/>
          </w:rPr>
          <w:t xml:space="preserve">https://doi.org/10.1016/j.jml.2007.11.004</w:t>
        </w:r>
      </w:hyperlink>
    </w:p>
    <w:bookmarkEnd w:id="201"/>
    <w:bookmarkStart w:id="203" w:name="ref-dudai2015"/>
    <w:p>
      <w:pPr>
        <w:pStyle w:val="Bibliography"/>
      </w:pPr>
      <w:r>
        <w:t xml:space="preserve">Dudai, Y., Karni, A., &amp; Born, J. (2015). The consolidation and transformation of memory.</w:t>
      </w:r>
      <w:r>
        <w:t xml:space="preserve"> </w:t>
      </w:r>
      <w:r>
        <w:rPr>
          <w:i/>
          <w:iCs/>
        </w:rPr>
        <w:t xml:space="preserve">Neuron</w:t>
      </w:r>
      <w:r>
        <w:t xml:space="preserve">,</w:t>
      </w:r>
      <w:r>
        <w:t xml:space="preserve"> </w:t>
      </w:r>
      <w:r>
        <w:rPr>
          <w:i/>
          <w:iCs/>
        </w:rPr>
        <w:t xml:space="preserve">88</w:t>
      </w:r>
      <w:r>
        <w:t xml:space="preserve">(1), 20–32.</w:t>
      </w:r>
      <w:r>
        <w:t xml:space="preserve"> </w:t>
      </w:r>
      <w:hyperlink r:id="rId202">
        <w:r>
          <w:rPr>
            <w:rStyle w:val="Hyperlink"/>
          </w:rPr>
          <w:t xml:space="preserve">https://doi.org/10.1016/j.neuron.2015.09.004</w:t>
        </w:r>
      </w:hyperlink>
    </w:p>
    <w:bookmarkEnd w:id="203"/>
    <w:bookmarkStart w:id="205" w:name="ref-falk2011"/>
    <w:p>
      <w:pPr>
        <w:pStyle w:val="Bibliography"/>
      </w:pPr>
      <w:r>
        <w:t xml:space="preserve">Falk, Y., &amp; Bardel, C. (2011). Object pronouns in</w:t>
      </w:r>
      <w:r>
        <w:t xml:space="preserve"> </w:t>
      </w:r>
      <w:r>
        <w:t xml:space="preserve">German</w:t>
      </w:r>
      <w:r>
        <w:t xml:space="preserve"> </w:t>
      </w:r>
      <w:r>
        <w:t xml:space="preserve">L3</w:t>
      </w:r>
      <w:r>
        <w:t xml:space="preserve"> </w:t>
      </w:r>
      <w:r>
        <w:t xml:space="preserve">syntax: Evidence for the</w:t>
      </w:r>
      <w:r>
        <w:t xml:space="preserve"> </w:t>
      </w:r>
      <w:r>
        <w:t xml:space="preserve">L2</w:t>
      </w:r>
      <w:r>
        <w:t xml:space="preserve"> </w:t>
      </w:r>
      <w:r>
        <w:t xml:space="preserve">status factor.</w:t>
      </w:r>
      <w:r>
        <w:t xml:space="preserve"> </w:t>
      </w:r>
      <w:r>
        <w:rPr>
          <w:i/>
          <w:iCs/>
        </w:rPr>
        <w:t xml:space="preserve">Second Language Research</w:t>
      </w:r>
      <w:r>
        <w:t xml:space="preserve">,</w:t>
      </w:r>
      <w:r>
        <w:t xml:space="preserve"> </w:t>
      </w:r>
      <w:r>
        <w:rPr>
          <w:i/>
          <w:iCs/>
        </w:rPr>
        <w:t xml:space="preserve">27</w:t>
      </w:r>
      <w:r>
        <w:t xml:space="preserve">(1), 59–82.</w:t>
      </w:r>
      <w:r>
        <w:t xml:space="preserve"> </w:t>
      </w:r>
      <w:hyperlink r:id="rId204">
        <w:r>
          <w:rPr>
            <w:rStyle w:val="Hyperlink"/>
          </w:rPr>
          <w:t xml:space="preserve">https://doi.org/10.1177/0267658310386647</w:t>
        </w:r>
      </w:hyperlink>
    </w:p>
    <w:bookmarkEnd w:id="205"/>
    <w:bookmarkStart w:id="207" w:name="ref-faust1999"/>
    <w:p>
      <w:pPr>
        <w:pStyle w:val="Bibliography"/>
      </w:pPr>
      <w:r>
        <w:t xml:space="preserve">Faust, M. E., Balota, D. A., Spieler, D. H., &amp; Ferraro, F. R. (1999). Individual differences in information-processing rate and amount: Implications for group differences in response latency.</w:t>
      </w:r>
      <w:r>
        <w:t xml:space="preserve"> </w:t>
      </w:r>
      <w:r>
        <w:rPr>
          <w:i/>
          <w:iCs/>
        </w:rPr>
        <w:t xml:space="preserve">Psychological Bulletin</w:t>
      </w:r>
      <w:r>
        <w:t xml:space="preserve">,</w:t>
      </w:r>
      <w:r>
        <w:t xml:space="preserve"> </w:t>
      </w:r>
      <w:r>
        <w:rPr>
          <w:i/>
          <w:iCs/>
        </w:rPr>
        <w:t xml:space="preserve">125</w:t>
      </w:r>
      <w:r>
        <w:t xml:space="preserve">(6), 777–799.</w:t>
      </w:r>
      <w:r>
        <w:t xml:space="preserve"> </w:t>
      </w:r>
      <w:hyperlink r:id="rId206">
        <w:r>
          <w:rPr>
            <w:rStyle w:val="Hyperlink"/>
          </w:rPr>
          <w:t xml:space="preserve">https://doi.org/10.1037/0033-2909.125.6.777</w:t>
        </w:r>
      </w:hyperlink>
    </w:p>
    <w:bookmarkEnd w:id="207"/>
    <w:bookmarkStart w:id="209" w:name="ref-flynn2004"/>
    <w:p>
      <w:pPr>
        <w:pStyle w:val="Bibliography"/>
      </w:pPr>
      <w:r>
        <w:t xml:space="preserve">Flynn, S., Foley, C., &amp; Vinnitskaya, I. (2004). The cumulative-enhancement model for language acquisition: Comparing adults’ and children’s patterns of development in first, second and third language acquisition of relative clauses.</w:t>
      </w:r>
      <w:r>
        <w:t xml:space="preserve"> </w:t>
      </w:r>
      <w:r>
        <w:rPr>
          <w:i/>
          <w:iCs/>
        </w:rPr>
        <w:t xml:space="preserve">International Journal of Multilingualism</w:t>
      </w:r>
      <w:r>
        <w:t xml:space="preserve">,</w:t>
      </w:r>
      <w:r>
        <w:t xml:space="preserve"> </w:t>
      </w:r>
      <w:r>
        <w:rPr>
          <w:i/>
          <w:iCs/>
        </w:rPr>
        <w:t xml:space="preserve">1</w:t>
      </w:r>
      <w:r>
        <w:t xml:space="preserve">(1), 3–16.</w:t>
      </w:r>
      <w:r>
        <w:t xml:space="preserve"> </w:t>
      </w:r>
      <w:hyperlink r:id="rId208">
        <w:r>
          <w:rPr>
            <w:rStyle w:val="Hyperlink"/>
          </w:rPr>
          <w:t xml:space="preserve">https://doi.org/10.1080/14790710408668175</w:t>
        </w:r>
      </w:hyperlink>
    </w:p>
    <w:bookmarkEnd w:id="209"/>
    <w:bookmarkStart w:id="211" w:name="ref-friederici2002tics"/>
    <w:p>
      <w:pPr>
        <w:pStyle w:val="Bibliography"/>
      </w:pPr>
      <w:r>
        <w:t xml:space="preserve">Friederici, A. D. (2002). Towards a neural basis of auditory sentence processing.</w:t>
      </w:r>
      <w:r>
        <w:t xml:space="preserve"> </w:t>
      </w:r>
      <w:r>
        <w:rPr>
          <w:i/>
          <w:iCs/>
        </w:rPr>
        <w:t xml:space="preserve">Trends in Cognitive Sciences</w:t>
      </w:r>
      <w:r>
        <w:t xml:space="preserve">,</w:t>
      </w:r>
      <w:r>
        <w:t xml:space="preserve"> </w:t>
      </w:r>
      <w:r>
        <w:rPr>
          <w:i/>
          <w:iCs/>
        </w:rPr>
        <w:t xml:space="preserve">6</w:t>
      </w:r>
      <w:r>
        <w:t xml:space="preserve">(2), 78–84.</w:t>
      </w:r>
      <w:r>
        <w:t xml:space="preserve"> </w:t>
      </w:r>
      <w:hyperlink r:id="rId210">
        <w:r>
          <w:rPr>
            <w:rStyle w:val="Hyperlink"/>
          </w:rPr>
          <w:t xml:space="preserve">https://doi.org/10.1016/S1364-6613(00)01839-8</w:t>
        </w:r>
      </w:hyperlink>
    </w:p>
    <w:bookmarkEnd w:id="211"/>
    <w:bookmarkStart w:id="213" w:name="ref-friederici2002pnas"/>
    <w:p>
      <w:pPr>
        <w:pStyle w:val="Bibliography"/>
      </w:pPr>
      <w:r>
        <w:t xml:space="preserve">Friederici, A. D., Steinhauer, K., &amp; Pfeifer, E. (2002). Brain signatures of artificial language processing: Evidence challenging the critical period hypothesis.</w:t>
      </w:r>
      <w:r>
        <w:t xml:space="preserve"> </w:t>
      </w:r>
      <w:r>
        <w:rPr>
          <w:i/>
          <w:iCs/>
        </w:rPr>
        <w:t xml:space="preserve">Proceedings of the National Academy of Sciences</w:t>
      </w:r>
      <w:r>
        <w:t xml:space="preserve">,</w:t>
      </w:r>
      <w:r>
        <w:t xml:space="preserve"> </w:t>
      </w:r>
      <w:r>
        <w:rPr>
          <w:i/>
          <w:iCs/>
        </w:rPr>
        <w:t xml:space="preserve">99</w:t>
      </w:r>
      <w:r>
        <w:t xml:space="preserve">(1), 529–534.</w:t>
      </w:r>
      <w:r>
        <w:t xml:space="preserve"> </w:t>
      </w:r>
      <w:hyperlink r:id="rId212">
        <w:r>
          <w:rPr>
            <w:rStyle w:val="Hyperlink"/>
          </w:rPr>
          <w:t xml:space="preserve">https://doi.org/10.1073/pnas.012611199</w:t>
        </w:r>
      </w:hyperlink>
    </w:p>
    <w:bookmarkEnd w:id="213"/>
    <w:bookmarkStart w:id="215" w:name="ref-frisch2001"/>
    <w:p>
      <w:pPr>
        <w:pStyle w:val="Bibliography"/>
      </w:pPr>
      <w:r>
        <w:t xml:space="preserve">Frisch, S., &amp; Schlesewsky, M. (2001). The</w:t>
      </w:r>
      <w:r>
        <w:t xml:space="preserve"> </w:t>
      </w:r>
      <w:r>
        <w:t xml:space="preserve">N400</w:t>
      </w:r>
      <w:r>
        <w:t xml:space="preserve"> </w:t>
      </w:r>
      <w:r>
        <w:t xml:space="preserve">reflects problems of thematic hierarchizing.</w:t>
      </w:r>
      <w:r>
        <w:t xml:space="preserve"> </w:t>
      </w:r>
      <w:r>
        <w:rPr>
          <w:i/>
          <w:iCs/>
        </w:rPr>
        <w:t xml:space="preserve">NeuroReport</w:t>
      </w:r>
      <w:r>
        <w:t xml:space="preserve">,</w:t>
      </w:r>
      <w:r>
        <w:t xml:space="preserve"> </w:t>
      </w:r>
      <w:r>
        <w:rPr>
          <w:i/>
          <w:iCs/>
        </w:rPr>
        <w:t xml:space="preserve">12</w:t>
      </w:r>
      <w:r>
        <w:t xml:space="preserve">(15), 3391–3394.</w:t>
      </w:r>
      <w:r>
        <w:t xml:space="preserve"> </w:t>
      </w:r>
      <w:hyperlink r:id="rId214">
        <w:r>
          <w:rPr>
            <w:rStyle w:val="Hyperlink"/>
          </w:rPr>
          <w:t xml:space="preserve">https://doi.org/10.1097/00001756-200110290-00048</w:t>
        </w:r>
      </w:hyperlink>
    </w:p>
    <w:bookmarkEnd w:id="215"/>
    <w:bookmarkStart w:id="217" w:name="ref-gabry2019"/>
    <w:p>
      <w:pPr>
        <w:pStyle w:val="Bibliography"/>
      </w:pPr>
      <w:r>
        <w:t xml:space="preserve">Gabry, J., Simpson, D., Vehtari, A., Betancourt, M., &amp; Gelman, A. (2019). Visualization in</w:t>
      </w:r>
      <w:r>
        <w:t xml:space="preserve"> </w:t>
      </w:r>
      <w:r>
        <w:t xml:space="preserve">Bayesian</w:t>
      </w:r>
      <w:r>
        <w:t xml:space="preserve"> </w:t>
      </w:r>
      <w:r>
        <w:t xml:space="preserve">workflow.</w:t>
      </w:r>
      <w:r>
        <w:t xml:space="preserve"> </w:t>
      </w:r>
      <w:r>
        <w:rPr>
          <w:i/>
          <w:iCs/>
        </w:rPr>
        <w:t xml:space="preserve">Journal of the Royal Statistical Society Series A: Statistics in Society</w:t>
      </w:r>
      <w:r>
        <w:t xml:space="preserve">,</w:t>
      </w:r>
      <w:r>
        <w:t xml:space="preserve"> </w:t>
      </w:r>
      <w:r>
        <w:rPr>
          <w:i/>
          <w:iCs/>
        </w:rPr>
        <w:t xml:space="preserve">182</w:t>
      </w:r>
      <w:r>
        <w:t xml:space="preserve">(2), 389–402.</w:t>
      </w:r>
      <w:r>
        <w:t xml:space="preserve"> </w:t>
      </w:r>
      <w:hyperlink r:id="rId216">
        <w:r>
          <w:rPr>
            <w:rStyle w:val="Hyperlink"/>
          </w:rPr>
          <w:t xml:space="preserve">https://doi.org/10.1111/rssa.12378</w:t>
        </w:r>
      </w:hyperlink>
    </w:p>
    <w:bookmarkEnd w:id="217"/>
    <w:bookmarkStart w:id="219" w:name="ref-gelman2006"/>
    <w:p>
      <w:pPr>
        <w:pStyle w:val="Bibliography"/>
      </w:pPr>
      <w:r>
        <w:t xml:space="preserve">Gelman, A. (2006). Prior distributions for variance parameters in hierarchical models (comment on article by</w:t>
      </w:r>
      <w:r>
        <w:t xml:space="preserve"> </w:t>
      </w:r>
      <w:r>
        <w:t xml:space="preserve">B</w:t>
      </w:r>
      <w:r>
        <w:t xml:space="preserve">rowne and</w:t>
      </w:r>
      <w:r>
        <w:t xml:space="preserve"> </w:t>
      </w:r>
      <w:r>
        <w:t xml:space="preserve">D</w:t>
      </w:r>
      <w:r>
        <w:t xml:space="preserve">raper).</w:t>
      </w:r>
      <w:r>
        <w:t xml:space="preserve"> </w:t>
      </w:r>
      <w:r>
        <w:rPr>
          <w:i/>
          <w:iCs/>
        </w:rPr>
        <w:t xml:space="preserve">Bayesian Analysis</w:t>
      </w:r>
      <w:r>
        <w:t xml:space="preserve">,</w:t>
      </w:r>
      <w:r>
        <w:t xml:space="preserve"> </w:t>
      </w:r>
      <w:r>
        <w:rPr>
          <w:i/>
          <w:iCs/>
        </w:rPr>
        <w:t xml:space="preserve">1</w:t>
      </w:r>
      <w:r>
        <w:t xml:space="preserve">(3), 515–534.</w:t>
      </w:r>
      <w:r>
        <w:t xml:space="preserve"> </w:t>
      </w:r>
      <w:hyperlink r:id="rId218">
        <w:r>
          <w:rPr>
            <w:rStyle w:val="Hyperlink"/>
          </w:rPr>
          <w:t xml:space="preserve">https://doi.org/10.1214/06-BA117A</w:t>
        </w:r>
      </w:hyperlink>
    </w:p>
    <w:bookmarkEnd w:id="219"/>
    <w:bookmarkStart w:id="221" w:name="ref-gelmancarlin2014"/>
    <w:p>
      <w:pPr>
        <w:pStyle w:val="Bibliography"/>
      </w:pPr>
      <w:r>
        <w:t xml:space="preserve">Gelman, A., &amp; Carlin, J. (2014). Beyond power calculations: Assessing</w:t>
      </w:r>
      <w:r>
        <w:t xml:space="preserve"> </w:t>
      </w:r>
      <w:r>
        <w:t xml:space="preserve">Type S</w:t>
      </w:r>
      <w:r>
        <w:t xml:space="preserve"> </w:t>
      </w:r>
      <w:r>
        <w:t xml:space="preserve">(sign) and</w:t>
      </w:r>
      <w:r>
        <w:t xml:space="preserve"> </w:t>
      </w:r>
      <w:r>
        <w:t xml:space="preserve">Type M</w:t>
      </w:r>
      <w:r>
        <w:t xml:space="preserve"> </w:t>
      </w:r>
      <w:r>
        <w:t xml:space="preserve">(magnitude) errors.</w:t>
      </w:r>
      <w:r>
        <w:t xml:space="preserve"> </w:t>
      </w:r>
      <w:r>
        <w:rPr>
          <w:i/>
          <w:iCs/>
        </w:rPr>
        <w:t xml:space="preserve">Perspectives on Psychological Science</w:t>
      </w:r>
      <w:r>
        <w:t xml:space="preserve">,</w:t>
      </w:r>
      <w:r>
        <w:t xml:space="preserve"> </w:t>
      </w:r>
      <w:r>
        <w:rPr>
          <w:i/>
          <w:iCs/>
        </w:rPr>
        <w:t xml:space="preserve">9</w:t>
      </w:r>
      <w:r>
        <w:t xml:space="preserve">(6), 641–651.</w:t>
      </w:r>
      <w:r>
        <w:t xml:space="preserve"> </w:t>
      </w:r>
      <w:hyperlink r:id="rId220">
        <w:r>
          <w:rPr>
            <w:rStyle w:val="Hyperlink"/>
          </w:rPr>
          <w:t xml:space="preserve">https://doi.org/10.1177/1745691614551642</w:t>
        </w:r>
      </w:hyperlink>
    </w:p>
    <w:bookmarkEnd w:id="221"/>
    <w:bookmarkStart w:id="223" w:name="ref-gelmanhillyajima2012"/>
    <w:p>
      <w:pPr>
        <w:pStyle w:val="Bibliography"/>
      </w:pPr>
      <w:r>
        <w:t xml:space="preserve">Gelman, A., Hill, J., &amp; Yajima, M. (2012). Why we (usually) don’t have to worry about multiple comparisons.</w:t>
      </w:r>
      <w:r>
        <w:t xml:space="preserve"> </w:t>
      </w:r>
      <w:r>
        <w:rPr>
          <w:i/>
          <w:iCs/>
        </w:rPr>
        <w:t xml:space="preserve">Journal of Research on Educational Effectiveness</w:t>
      </w:r>
      <w:r>
        <w:t xml:space="preserve">,</w:t>
      </w:r>
      <w:r>
        <w:t xml:space="preserve"> </w:t>
      </w:r>
      <w:r>
        <w:rPr>
          <w:i/>
          <w:iCs/>
        </w:rPr>
        <w:t xml:space="preserve">5</w:t>
      </w:r>
      <w:r>
        <w:t xml:space="preserve">(2), 189–211.</w:t>
      </w:r>
      <w:r>
        <w:t xml:space="preserve"> </w:t>
      </w:r>
      <w:hyperlink r:id="rId222">
        <w:r>
          <w:rPr>
            <w:rStyle w:val="Hyperlink"/>
          </w:rPr>
          <w:t xml:space="preserve">https://doi.org/10.1080/19345747.2011.618213</w:t>
        </w:r>
      </w:hyperlink>
    </w:p>
    <w:bookmarkEnd w:id="223"/>
    <w:bookmarkStart w:id="225" w:name="ref-gelman2008"/>
    <w:p>
      <w:pPr>
        <w:pStyle w:val="Bibliography"/>
      </w:pPr>
      <w:r>
        <w:t xml:space="preserve">Gelman, A., Jakulin, A., Pittau, M. G., &amp; Su, Y.-S. (2008). A weakly informative default prior distribution for logistic and other regression models.</w:t>
      </w:r>
      <w:r>
        <w:t xml:space="preserve"> </w:t>
      </w:r>
      <w:r>
        <w:rPr>
          <w:i/>
          <w:iCs/>
        </w:rPr>
        <w:t xml:space="preserve">The Annals of Applied Statistics</w:t>
      </w:r>
      <w:r>
        <w:t xml:space="preserve">,</w:t>
      </w:r>
      <w:r>
        <w:t xml:space="preserve"> </w:t>
      </w:r>
      <w:r>
        <w:rPr>
          <w:i/>
          <w:iCs/>
        </w:rPr>
        <w:t xml:space="preserve">2</w:t>
      </w:r>
      <w:r>
        <w:t xml:space="preserve">(4), 1360–1383.</w:t>
      </w:r>
      <w:r>
        <w:t xml:space="preserve"> </w:t>
      </w:r>
      <w:hyperlink r:id="rId224">
        <w:r>
          <w:rPr>
            <w:rStyle w:val="Hyperlink"/>
          </w:rPr>
          <w:t xml:space="preserve">https://doi.org/10.1214/08-AOAS191</w:t>
        </w:r>
      </w:hyperlink>
    </w:p>
    <w:bookmarkEnd w:id="225"/>
    <w:bookmarkStart w:id="227" w:name="ref-gelmanstern2006"/>
    <w:p>
      <w:pPr>
        <w:pStyle w:val="Bibliography"/>
      </w:pPr>
      <w:r>
        <w:t xml:space="preserve">Gelman, A., &amp; Stern, H. (2006). The difference between</w:t>
      </w:r>
      <w:r>
        <w:t xml:space="preserve"> </w:t>
      </w:r>
      <w:r>
        <w:t xml:space="preserve">“significant”</w:t>
      </w:r>
      <w:r>
        <w:t xml:space="preserve"> </w:t>
      </w:r>
      <w:r>
        <w:t xml:space="preserve">and</w:t>
      </w:r>
      <w:r>
        <w:t xml:space="preserve"> </w:t>
      </w:r>
      <w:r>
        <w:t xml:space="preserve">“not significant”</w:t>
      </w:r>
      <w:r>
        <w:t xml:space="preserve"> </w:t>
      </w:r>
      <w:r>
        <w:t xml:space="preserve">is not itself statistically significant.</w:t>
      </w:r>
      <w:r>
        <w:t xml:space="preserve"> </w:t>
      </w:r>
      <w:r>
        <w:rPr>
          <w:i/>
          <w:iCs/>
        </w:rPr>
        <w:t xml:space="preserve">The American Statistician</w:t>
      </w:r>
      <w:r>
        <w:t xml:space="preserve">,</w:t>
      </w:r>
      <w:r>
        <w:t xml:space="preserve"> </w:t>
      </w:r>
      <w:r>
        <w:rPr>
          <w:i/>
          <w:iCs/>
        </w:rPr>
        <w:t xml:space="preserve">60</w:t>
      </w:r>
      <w:r>
        <w:t xml:space="preserve">(4), 328–331.</w:t>
      </w:r>
      <w:r>
        <w:t xml:space="preserve"> </w:t>
      </w:r>
      <w:hyperlink r:id="rId226">
        <w:r>
          <w:rPr>
            <w:rStyle w:val="Hyperlink"/>
          </w:rPr>
          <w:t xml:space="preserve">https://doi.org/10.1198/000313006X152649</w:t>
        </w:r>
      </w:hyperlink>
    </w:p>
    <w:bookmarkEnd w:id="227"/>
    <w:bookmarkStart w:id="229" w:name="ref-gonzalezalonso2020"/>
    <w:p>
      <w:pPr>
        <w:pStyle w:val="Bibliography"/>
      </w:pPr>
      <w:r>
        <w:t xml:space="preserve">González Alonso, J., Alemán Bañón, J., DeLuca, V., Miller, D., Pereira Soares, S. M., Puig-Mayenco, E., Slaats, S., &amp; Rothman, J. (2020). Event related potentials at initial exposure in third language acquisition: Implications from an artificial mini-grammar study.</w:t>
      </w:r>
      <w:r>
        <w:t xml:space="preserve"> </w:t>
      </w:r>
      <w:r>
        <w:rPr>
          <w:i/>
          <w:iCs/>
        </w:rPr>
        <w:t xml:space="preserve">Journal of Neurolinguistics</w:t>
      </w:r>
      <w:r>
        <w:t xml:space="preserve">,</w:t>
      </w:r>
      <w:r>
        <w:t xml:space="preserve"> </w:t>
      </w:r>
      <w:r>
        <w:rPr>
          <w:i/>
          <w:iCs/>
        </w:rPr>
        <w:t xml:space="preserve">56</w:t>
      </w:r>
      <w:r>
        <w:t xml:space="preserve">, 100939.</w:t>
      </w:r>
      <w:r>
        <w:t xml:space="preserve"> </w:t>
      </w:r>
      <w:hyperlink r:id="rId228">
        <w:r>
          <w:rPr>
            <w:rStyle w:val="Hyperlink"/>
          </w:rPr>
          <w:t xml:space="preserve">https://doi.org/10.1016/j.jneuroling.2020.100939</w:t>
        </w:r>
      </w:hyperlink>
    </w:p>
    <w:bookmarkEnd w:id="229"/>
    <w:bookmarkStart w:id="231" w:name="ref-gonzalezalonso2025"/>
    <w:p>
      <w:pPr>
        <w:pStyle w:val="Bibliography"/>
      </w:pPr>
      <w:r>
        <w:t xml:space="preserve">González Alonso, J., Bernabeu, P., Silva, G., DeLuca, V., Poch, C., Ivanova, I., &amp; Rothman, J. (2025). Starting from the very beginning: Unraveling third language (</w:t>
      </w:r>
      <w:r>
        <w:t xml:space="preserve">L3</w:t>
      </w:r>
      <w:r>
        <w:t xml:space="preserve">) development with longitudinal data from artificial language learning and</w:t>
      </w:r>
      <w:r>
        <w:t xml:space="preserve"> </w:t>
      </w:r>
      <w:r>
        <w:t xml:space="preserve">EEG</w:t>
      </w:r>
      <w:r>
        <w:t xml:space="preserve">.</w:t>
      </w:r>
      <w:r>
        <w:t xml:space="preserve"> </w:t>
      </w:r>
      <w:r>
        <w:rPr>
          <w:i/>
          <w:iCs/>
        </w:rPr>
        <w:t xml:space="preserve">International Journal of Multilingualism</w:t>
      </w:r>
      <w:r>
        <w:t xml:space="preserve">,</w:t>
      </w:r>
      <w:r>
        <w:t xml:space="preserve"> </w:t>
      </w:r>
      <w:r>
        <w:rPr>
          <w:i/>
          <w:iCs/>
        </w:rPr>
        <w:t xml:space="preserve">22</w:t>
      </w:r>
      <w:r>
        <w:t xml:space="preserve">(1), 119–142.</w:t>
      </w:r>
      <w:r>
        <w:t xml:space="preserve"> </w:t>
      </w:r>
      <w:hyperlink r:id="rId230">
        <w:r>
          <w:rPr>
            <w:rStyle w:val="Hyperlink"/>
          </w:rPr>
          <w:t xml:space="preserve">https://doi.org/10.1080/14790718.2024.2415993</w:t>
        </w:r>
      </w:hyperlink>
    </w:p>
    <w:bookmarkEnd w:id="231"/>
    <w:bookmarkStart w:id="233" w:name="ref-gonzalezalonso2026"/>
    <w:p>
      <w:pPr>
        <w:pStyle w:val="Bibliography"/>
      </w:pPr>
      <w:r>
        <w:t xml:space="preserve">González Alonso, J., Cabrelli, J., Pereira Soares, S. M., Puig-Mayenco, E., &amp; Rothman, J. (2026). Third language acquisition. In</w:t>
      </w:r>
      <w:r>
        <w:t xml:space="preserve"> </w:t>
      </w:r>
      <w:r>
        <w:rPr>
          <w:i/>
          <w:iCs/>
        </w:rPr>
        <w:t xml:space="preserve">The cambridge handbook of second language acquisition</w:t>
      </w:r>
      <w:r>
        <w:t xml:space="preserve"> </w:t>
      </w:r>
      <w:r>
        <w:t xml:space="preserve">(pp. 449–478). Cambridge University Press.</w:t>
      </w:r>
      <w:r>
        <w:t xml:space="preserve"> </w:t>
      </w:r>
      <w:hyperlink r:id="rId232">
        <w:r>
          <w:rPr>
            <w:rStyle w:val="Hyperlink"/>
          </w:rPr>
          <w:t xml:space="preserve">https://doi.org/10.1017/9781009400640.020</w:t>
        </w:r>
      </w:hyperlink>
    </w:p>
    <w:bookmarkEnd w:id="233"/>
    <w:bookmarkStart w:id="235" w:name="ref-gonzalezalonso2021"/>
    <w:p>
      <w:pPr>
        <w:pStyle w:val="Bibliography"/>
      </w:pPr>
      <w:r>
        <w:t xml:space="preserve">González Alonso, J., Puig-Mayenco, E., Fábregas, A., Chaouch-Orozco, A., &amp; Rothman, J. (2021). On the status of transfer in adult third language acquisition of early bilinguals.</w:t>
      </w:r>
      <w:r>
        <w:t xml:space="preserve"> </w:t>
      </w:r>
      <w:r>
        <w:rPr>
          <w:i/>
          <w:iCs/>
        </w:rPr>
        <w:t xml:space="preserve">PLOS ONE</w:t>
      </w:r>
      <w:r>
        <w:t xml:space="preserve">,</w:t>
      </w:r>
      <w:r>
        <w:t xml:space="preserve"> </w:t>
      </w:r>
      <w:r>
        <w:rPr>
          <w:i/>
          <w:iCs/>
        </w:rPr>
        <w:t xml:space="preserve">16</w:t>
      </w:r>
      <w:r>
        <w:t xml:space="preserve">(3), e0247976.</w:t>
      </w:r>
      <w:r>
        <w:t xml:space="preserve"> </w:t>
      </w:r>
      <w:hyperlink r:id="rId234">
        <w:r>
          <w:rPr>
            <w:rStyle w:val="Hyperlink"/>
          </w:rPr>
          <w:t xml:space="preserve">https://doi.org/10.1371/journal.pone.0247976</w:t>
        </w:r>
      </w:hyperlink>
    </w:p>
    <w:bookmarkEnd w:id="235"/>
    <w:bookmarkStart w:id="237" w:name="ref-gonzalezalonso2017"/>
    <w:p>
      <w:pPr>
        <w:pStyle w:val="Bibliography"/>
      </w:pPr>
      <w:r>
        <w:t xml:space="preserve">González Alonso, J., &amp; Rothman, J. (2017). Coming of age in</w:t>
      </w:r>
      <w:r>
        <w:t xml:space="preserve"> </w:t>
      </w:r>
      <w:r>
        <w:t xml:space="preserve">L3</w:t>
      </w:r>
      <w:r>
        <w:t xml:space="preserve"> </w:t>
      </w:r>
      <w:r>
        <w:t xml:space="preserve">initial stages transfer models: Deriving developmental predictions and looking towards the future.</w:t>
      </w:r>
      <w:r>
        <w:t xml:space="preserve"> </w:t>
      </w:r>
      <w:r>
        <w:rPr>
          <w:i/>
          <w:iCs/>
        </w:rPr>
        <w:t xml:space="preserve">International Journal of Bilingualism</w:t>
      </w:r>
      <w:r>
        <w:t xml:space="preserve">,</w:t>
      </w:r>
      <w:r>
        <w:t xml:space="preserve"> </w:t>
      </w:r>
      <w:r>
        <w:rPr>
          <w:i/>
          <w:iCs/>
        </w:rPr>
        <w:t xml:space="preserve">21</w:t>
      </w:r>
      <w:r>
        <w:t xml:space="preserve">(6), 683–697.</w:t>
      </w:r>
      <w:r>
        <w:t xml:space="preserve"> </w:t>
      </w:r>
      <w:hyperlink r:id="rId236">
        <w:r>
          <w:rPr>
            <w:rStyle w:val="Hyperlink"/>
          </w:rPr>
          <w:t xml:space="preserve">https://doi.org/10.1177/1367006916649265</w:t>
        </w:r>
      </w:hyperlink>
    </w:p>
    <w:bookmarkEnd w:id="237"/>
    <w:bookmarkStart w:id="239" w:name="ref-grey2018"/>
    <w:p>
      <w:pPr>
        <w:pStyle w:val="Bibliography"/>
      </w:pPr>
      <w:r>
        <w:t xml:space="preserve">Grey, S., Sanz, C., Morgan-Short, K., &amp; Ullman, M. T. (2018). Bilingual and monolingual adults learning an additional language:</w:t>
      </w:r>
      <w:r>
        <w:t xml:space="preserve"> </w:t>
      </w:r>
      <w:r>
        <w:t xml:space="preserve">ERPs</w:t>
      </w:r>
      <w:r>
        <w:t xml:space="preserve"> </w:t>
      </w:r>
      <w:r>
        <w:t xml:space="preserve">reveal differences in syntactic processing.</w:t>
      </w:r>
      <w:r>
        <w:t xml:space="preserve"> </w:t>
      </w:r>
      <w:r>
        <w:rPr>
          <w:i/>
          <w:iCs/>
        </w:rPr>
        <w:t xml:space="preserve">Bilingualism: Language and Cognition</w:t>
      </w:r>
      <w:r>
        <w:t xml:space="preserve">,</w:t>
      </w:r>
      <w:r>
        <w:t xml:space="preserve"> </w:t>
      </w:r>
      <w:r>
        <w:rPr>
          <w:i/>
          <w:iCs/>
        </w:rPr>
        <w:t xml:space="preserve">21</w:t>
      </w:r>
      <w:r>
        <w:t xml:space="preserve">(5), 970–994.</w:t>
      </w:r>
      <w:r>
        <w:t xml:space="preserve"> </w:t>
      </w:r>
      <w:hyperlink r:id="rId238">
        <w:r>
          <w:rPr>
            <w:rStyle w:val="Hyperlink"/>
          </w:rPr>
          <w:t xml:space="preserve">https://doi.org/10.1017/S1366728917000426</w:t>
        </w:r>
      </w:hyperlink>
    </w:p>
    <w:bookmarkEnd w:id="239"/>
    <w:bookmarkStart w:id="241" w:name="ref-grootswagers2017"/>
    <w:p>
      <w:pPr>
        <w:pStyle w:val="Bibliography"/>
      </w:pPr>
      <w:r>
        <w:t xml:space="preserve">Grootswagers, T., Wardle, S. G., &amp; Carlson, T. A. (2017). Decoding dynamic brain patterns from evoked responses: A tutorial on multivariate pattern analysis applied to time series neuroimaging data.</w:t>
      </w:r>
      <w:r>
        <w:t xml:space="preserve"> </w:t>
      </w:r>
      <w:r>
        <w:rPr>
          <w:i/>
          <w:iCs/>
        </w:rPr>
        <w:t xml:space="preserve">Journal of Cognitive Neuroscience</w:t>
      </w:r>
      <w:r>
        <w:t xml:space="preserve">,</w:t>
      </w:r>
      <w:r>
        <w:t xml:space="preserve"> </w:t>
      </w:r>
      <w:r>
        <w:rPr>
          <w:i/>
          <w:iCs/>
        </w:rPr>
        <w:t xml:space="preserve">29</w:t>
      </w:r>
      <w:r>
        <w:t xml:space="preserve">(4), 677–697.</w:t>
      </w:r>
      <w:r>
        <w:t xml:space="preserve"> </w:t>
      </w:r>
      <w:hyperlink r:id="rId240">
        <w:r>
          <w:rPr>
            <w:rStyle w:val="Hyperlink"/>
          </w:rPr>
          <w:t xml:space="preserve">https://doi.org/10.1162/jocn_a_01068</w:t>
        </w:r>
      </w:hyperlink>
    </w:p>
    <w:bookmarkEnd w:id="241"/>
    <w:bookmarkStart w:id="243" w:name="ref-hautus1995"/>
    <w:p>
      <w:pPr>
        <w:pStyle w:val="Bibliography"/>
      </w:pPr>
      <w:r>
        <w:t xml:space="preserve">Hautus, M. J. (1995). Corrections for extreme proportions and their biasing effects on estimated values of</w:t>
      </w:r>
      <w:r>
        <w:t xml:space="preserve"> </w:t>
      </w:r>
      <w:r>
        <w:rPr>
          <w:i/>
          <w:iCs/>
        </w:rPr>
        <w:t xml:space="preserve">d</w:t>
      </w:r>
      <m:oMath>
        <m:r>
          <m:rPr>
            <m:sty m:val="p"/>
          </m:rPr>
          <m:t>′</m:t>
        </m:r>
      </m:oMath>
      <w:r>
        <w:t xml:space="preserve">.</w:t>
      </w:r>
      <w:r>
        <w:t xml:space="preserve"> </w:t>
      </w:r>
      <w:r>
        <w:rPr>
          <w:i/>
          <w:iCs/>
        </w:rPr>
        <w:t xml:space="preserve">Behavior Research Methods, Instruments, &amp; Computers</w:t>
      </w:r>
      <w:r>
        <w:t xml:space="preserve">,</w:t>
      </w:r>
      <w:r>
        <w:t xml:space="preserve"> </w:t>
      </w:r>
      <w:r>
        <w:rPr>
          <w:i/>
          <w:iCs/>
        </w:rPr>
        <w:t xml:space="preserve">27</w:t>
      </w:r>
      <w:r>
        <w:t xml:space="preserve">(1), 46–51.</w:t>
      </w:r>
      <w:r>
        <w:t xml:space="preserve"> </w:t>
      </w:r>
      <w:hyperlink r:id="rId242">
        <w:r>
          <w:rPr>
            <w:rStyle w:val="Hyperlink"/>
          </w:rPr>
          <w:t xml:space="preserve">https://doi.org/10.3758/BF03203619</w:t>
        </w:r>
      </w:hyperlink>
    </w:p>
    <w:bookmarkEnd w:id="243"/>
    <w:bookmarkStart w:id="245" w:name="ref-haxby2001"/>
    <w:p>
      <w:pPr>
        <w:pStyle w:val="Bibliography"/>
      </w:pPr>
      <w:r>
        <w:t xml:space="preserve">Haxby, J. V., Gobbini, M. I., Furey, M. L., Ishai, A., Schouten, J. L., &amp; Pietrini, P. (2001). Distributed and overlapping representations of faces and objects in ventral temporal cortex.</w:t>
      </w:r>
      <w:r>
        <w:t xml:space="preserve"> </w:t>
      </w:r>
      <w:r>
        <w:rPr>
          <w:i/>
          <w:iCs/>
        </w:rPr>
        <w:t xml:space="preserve">Science</w:t>
      </w:r>
      <w:r>
        <w:t xml:space="preserve">,</w:t>
      </w:r>
      <w:r>
        <w:t xml:space="preserve"> </w:t>
      </w:r>
      <w:r>
        <w:rPr>
          <w:i/>
          <w:iCs/>
        </w:rPr>
        <w:t xml:space="preserve">293</w:t>
      </w:r>
      <w:r>
        <w:t xml:space="preserve">(5539), 2425–2430.</w:t>
      </w:r>
      <w:r>
        <w:t xml:space="preserve"> </w:t>
      </w:r>
      <w:hyperlink r:id="rId244">
        <w:r>
          <w:rPr>
            <w:rStyle w:val="Hyperlink"/>
          </w:rPr>
          <w:t xml:space="preserve">https://doi.org/10.1126/science.1063736</w:t>
        </w:r>
      </w:hyperlink>
    </w:p>
    <w:bookmarkEnd w:id="245"/>
    <w:bookmarkStart w:id="247" w:name="ref-he2024"/>
    <w:p>
      <w:pPr>
        <w:pStyle w:val="Bibliography"/>
      </w:pPr>
      <w:r>
        <w:t xml:space="preserve">He, Y., Sommer, J., Hansen-Schirra, S., &amp; Nagels, A. (2024). Multivariate pattern analysis of</w:t>
      </w:r>
      <w:r>
        <w:t xml:space="preserve"> </w:t>
      </w:r>
      <w:r>
        <w:t xml:space="preserve">EEG</w:t>
      </w:r>
      <w:r>
        <w:t xml:space="preserve"> </w:t>
      </w:r>
      <w:r>
        <w:t xml:space="preserve">reveals nuanced impact of negation on sentence processing in the</w:t>
      </w:r>
      <w:r>
        <w:t xml:space="preserve"> </w:t>
      </w:r>
      <w:r>
        <w:t xml:space="preserve">N400</w:t>
      </w:r>
      <w:r>
        <w:t xml:space="preserve"> </w:t>
      </w:r>
      <w:r>
        <w:t xml:space="preserve">and later time windows.</w:t>
      </w:r>
      <w:r>
        <w:t xml:space="preserve"> </w:t>
      </w:r>
      <w:r>
        <w:rPr>
          <w:i/>
          <w:iCs/>
        </w:rPr>
        <w:t xml:space="preserve">Psychophysiology</w:t>
      </w:r>
      <w:r>
        <w:t xml:space="preserve">,</w:t>
      </w:r>
      <w:r>
        <w:t xml:space="preserve"> </w:t>
      </w:r>
      <w:r>
        <w:rPr>
          <w:i/>
          <w:iCs/>
        </w:rPr>
        <w:t xml:space="preserve">61</w:t>
      </w:r>
      <w:r>
        <w:t xml:space="preserve">(4), e14491.</w:t>
      </w:r>
      <w:r>
        <w:t xml:space="preserve"> </w:t>
      </w:r>
      <w:hyperlink r:id="rId246">
        <w:r>
          <w:rPr>
            <w:rStyle w:val="Hyperlink"/>
          </w:rPr>
          <w:t xml:space="preserve">https://doi.org/10.1111/psyp.14491</w:t>
        </w:r>
      </w:hyperlink>
    </w:p>
    <w:bookmarkEnd w:id="247"/>
    <w:bookmarkStart w:id="249" w:name="ref-hebart2018"/>
    <w:p>
      <w:pPr>
        <w:pStyle w:val="Bibliography"/>
      </w:pPr>
      <w:r>
        <w:t xml:space="preserve">Hebart, M. N., &amp; Baker, C. I. (2018). Deconstructing multivariate decoding for the study of brain function.</w:t>
      </w:r>
      <w:r>
        <w:t xml:space="preserve"> </w:t>
      </w:r>
      <w:r>
        <w:rPr>
          <w:i/>
          <w:iCs/>
        </w:rPr>
        <w:t xml:space="preserve">NeuroImage</w:t>
      </w:r>
      <w:r>
        <w:t xml:space="preserve">,</w:t>
      </w:r>
      <w:r>
        <w:t xml:space="preserve"> </w:t>
      </w:r>
      <w:r>
        <w:rPr>
          <w:i/>
          <w:iCs/>
        </w:rPr>
        <w:t xml:space="preserve">180</w:t>
      </w:r>
      <w:r>
        <w:t xml:space="preserve">, 4–18.</w:t>
      </w:r>
      <w:r>
        <w:t xml:space="preserve"> </w:t>
      </w:r>
      <w:hyperlink r:id="rId248">
        <w:r>
          <w:rPr>
            <w:rStyle w:val="Hyperlink"/>
          </w:rPr>
          <w:t xml:space="preserve">https://doi.org/10.1016/j.neuroimage.2017.08.005</w:t>
        </w:r>
      </w:hyperlink>
    </w:p>
    <w:bookmarkEnd w:id="249"/>
    <w:bookmarkStart w:id="251" w:name="ref-huang2020"/>
    <w:p>
      <w:pPr>
        <w:pStyle w:val="Bibliography"/>
      </w:pPr>
      <w:r>
        <w:t xml:space="preserve">Huang, Y., &amp; Ferreira, F. (2020). The application of signal detection theory to acceptability judgments.</w:t>
      </w:r>
      <w:r>
        <w:t xml:space="preserve"> </w:t>
      </w:r>
      <w:r>
        <w:rPr>
          <w:i/>
          <w:iCs/>
        </w:rPr>
        <w:t xml:space="preserve">Frontiers in Psychology</w:t>
      </w:r>
      <w:r>
        <w:t xml:space="preserve">,</w:t>
      </w:r>
      <w:r>
        <w:t xml:space="preserve"> </w:t>
      </w:r>
      <w:r>
        <w:rPr>
          <w:i/>
          <w:iCs/>
        </w:rPr>
        <w:t xml:space="preserve">11</w:t>
      </w:r>
      <w:r>
        <w:t xml:space="preserve">, 73.</w:t>
      </w:r>
      <w:r>
        <w:t xml:space="preserve"> </w:t>
      </w:r>
      <w:hyperlink r:id="rId250">
        <w:r>
          <w:rPr>
            <w:rStyle w:val="Hyperlink"/>
          </w:rPr>
          <w:t xml:space="preserve">https://doi.org/10.3389/fpsyg.2020.00073</w:t>
        </w:r>
      </w:hyperlink>
    </w:p>
    <w:bookmarkEnd w:id="251"/>
    <w:bookmarkStart w:id="253" w:name="ref-jaeger2008"/>
    <w:p>
      <w:pPr>
        <w:pStyle w:val="Bibliography"/>
      </w:pPr>
      <w:r>
        <w:t xml:space="preserve">Jaeger, T. F. (2008). Categorical data analysis: Away from</w:t>
      </w:r>
      <w:r>
        <w:t xml:space="preserve"> </w:t>
      </w:r>
      <w:r>
        <w:t xml:space="preserve">ANOVAs</w:t>
      </w:r>
      <w:r>
        <w:t xml:space="preserve"> </w:t>
      </w:r>
      <w:r>
        <w:t xml:space="preserve">(transformation or not) and towards logit mixed models.</w:t>
      </w:r>
      <w:r>
        <w:t xml:space="preserve"> </w:t>
      </w:r>
      <w:r>
        <w:rPr>
          <w:i/>
          <w:iCs/>
        </w:rPr>
        <w:t xml:space="preserve">Journal of Memory and Language</w:t>
      </w:r>
      <w:r>
        <w:t xml:space="preserve">,</w:t>
      </w:r>
      <w:r>
        <w:t xml:space="preserve"> </w:t>
      </w:r>
      <w:r>
        <w:rPr>
          <w:i/>
          <w:iCs/>
        </w:rPr>
        <w:t xml:space="preserve">59</w:t>
      </w:r>
      <w:r>
        <w:t xml:space="preserve">(4), 434–446.</w:t>
      </w:r>
      <w:r>
        <w:t xml:space="preserve"> </w:t>
      </w:r>
      <w:hyperlink r:id="rId252">
        <w:r>
          <w:rPr>
            <w:rStyle w:val="Hyperlink"/>
          </w:rPr>
          <w:t xml:space="preserve">https://doi.org/10.1016/j.jml.2007.11.007</w:t>
        </w:r>
      </w:hyperlink>
    </w:p>
    <w:bookmarkEnd w:id="253"/>
    <w:bookmarkStart w:id="255" w:name="ref-jensen2023"/>
    <w:p>
      <w:pPr>
        <w:pStyle w:val="Bibliography"/>
      </w:pPr>
      <w:r>
        <w:t xml:space="preserve">Jensen, I. N., &amp; Westergaard, M. (2023). Syntax matters: Exploring the effect of linguistic similarity in third language acquisition.</w:t>
      </w:r>
      <w:r>
        <w:t xml:space="preserve"> </w:t>
      </w:r>
      <w:r>
        <w:rPr>
          <w:i/>
          <w:iCs/>
        </w:rPr>
        <w:t xml:space="preserve">Language Learning</w:t>
      </w:r>
      <w:r>
        <w:t xml:space="preserve">,</w:t>
      </w:r>
      <w:r>
        <w:t xml:space="preserve"> </w:t>
      </w:r>
      <w:r>
        <w:rPr>
          <w:i/>
          <w:iCs/>
        </w:rPr>
        <w:t xml:space="preserve">73</w:t>
      </w:r>
      <w:r>
        <w:t xml:space="preserve">(2), 374–402.</w:t>
      </w:r>
      <w:r>
        <w:t xml:space="preserve"> </w:t>
      </w:r>
      <w:hyperlink r:id="rId254">
        <w:r>
          <w:rPr>
            <w:rStyle w:val="Hyperlink"/>
          </w:rPr>
          <w:t xml:space="preserve">https://doi.org/10.1111/lang.12525</w:t>
        </w:r>
      </w:hyperlink>
    </w:p>
    <w:bookmarkEnd w:id="255"/>
    <w:bookmarkStart w:id="257" w:name="ref-kaan2003"/>
    <w:p>
      <w:pPr>
        <w:pStyle w:val="Bibliography"/>
      </w:pPr>
      <w:r>
        <w:t xml:space="preserve">Kaan, E., &amp; Swaab, T. Y. (2003). Repair, revision, and complexity in syntactic analysis: An electrophysiological differentiation.</w:t>
      </w:r>
      <w:r>
        <w:t xml:space="preserve"> </w:t>
      </w:r>
      <w:r>
        <w:rPr>
          <w:i/>
          <w:iCs/>
        </w:rPr>
        <w:t xml:space="preserve">Journal of Cognitive Neuroscience</w:t>
      </w:r>
      <w:r>
        <w:t xml:space="preserve">,</w:t>
      </w:r>
      <w:r>
        <w:t xml:space="preserve"> </w:t>
      </w:r>
      <w:r>
        <w:rPr>
          <w:i/>
          <w:iCs/>
        </w:rPr>
        <w:t xml:space="preserve">15</w:t>
      </w:r>
      <w:r>
        <w:t xml:space="preserve">(1), 98–110.</w:t>
      </w:r>
      <w:r>
        <w:t xml:space="preserve"> </w:t>
      </w:r>
      <w:hyperlink r:id="rId256">
        <w:r>
          <w:rPr>
            <w:rStyle w:val="Hyperlink"/>
          </w:rPr>
          <w:t xml:space="preserve">https://doi.org/10.1162/089892903321107855</w:t>
        </w:r>
      </w:hyperlink>
    </w:p>
    <w:bookmarkEnd w:id="257"/>
    <w:bookmarkStart w:id="259" w:name="ref-kaplan2015"/>
    <w:p>
      <w:pPr>
        <w:pStyle w:val="Bibliography"/>
      </w:pPr>
      <w:r>
        <w:t xml:space="preserve">Kaplan, J. T., Man, K., &amp; Greening, S. G. (2015). Multivariate cross-classification: Applying machine learning techniques to characterize abstraction in neural representations.</w:t>
      </w:r>
      <w:r>
        <w:t xml:space="preserve"> </w:t>
      </w:r>
      <w:r>
        <w:rPr>
          <w:i/>
          <w:iCs/>
        </w:rPr>
        <w:t xml:space="preserve">Frontiers in Human Neuroscience</w:t>
      </w:r>
      <w:r>
        <w:t xml:space="preserve">,</w:t>
      </w:r>
      <w:r>
        <w:t xml:space="preserve"> </w:t>
      </w:r>
      <w:r>
        <w:rPr>
          <w:i/>
          <w:iCs/>
        </w:rPr>
        <w:t xml:space="preserve">9</w:t>
      </w:r>
      <w:r>
        <w:t xml:space="preserve">.</w:t>
      </w:r>
      <w:r>
        <w:t xml:space="preserve"> </w:t>
      </w:r>
      <w:hyperlink r:id="rId258">
        <w:r>
          <w:rPr>
            <w:rStyle w:val="Hyperlink"/>
          </w:rPr>
          <w:t xml:space="preserve">https://doi.org/10.3389/fnhum.2015.00151</w:t>
        </w:r>
      </w:hyperlink>
    </w:p>
    <w:bookmarkEnd w:id="259"/>
    <w:bookmarkStart w:id="261" w:name="ref-keysers2020"/>
    <w:p>
      <w:pPr>
        <w:pStyle w:val="Bibliography"/>
      </w:pPr>
      <w:r>
        <w:t xml:space="preserve">Keysers, C., Gazzola, V., &amp; Wagenmakers, E.-J. (2020). Using</w:t>
      </w:r>
      <w:r>
        <w:t xml:space="preserve"> </w:t>
      </w:r>
      <w:r>
        <w:t xml:space="preserve">Bayes</w:t>
      </w:r>
      <w:r>
        <w:t xml:space="preserve"> </w:t>
      </w:r>
      <w:r>
        <w:t xml:space="preserve">factor hypothesis testing in neuroscience to establish evidence of absence.</w:t>
      </w:r>
      <w:r>
        <w:t xml:space="preserve"> </w:t>
      </w:r>
      <w:r>
        <w:rPr>
          <w:i/>
          <w:iCs/>
        </w:rPr>
        <w:t xml:space="preserve">Nature Neuroscience</w:t>
      </w:r>
      <w:r>
        <w:t xml:space="preserve">,</w:t>
      </w:r>
      <w:r>
        <w:t xml:space="preserve"> </w:t>
      </w:r>
      <w:r>
        <w:rPr>
          <w:i/>
          <w:iCs/>
        </w:rPr>
        <w:t xml:space="preserve">23</w:t>
      </w:r>
      <w:r>
        <w:t xml:space="preserve">(7), 788–799.</w:t>
      </w:r>
      <w:r>
        <w:t xml:space="preserve"> </w:t>
      </w:r>
      <w:hyperlink r:id="rId260">
        <w:r>
          <w:rPr>
            <w:rStyle w:val="Hyperlink"/>
          </w:rPr>
          <w:t xml:space="preserve">https://doi.org/10.1038/s41593-020-0660-4</w:t>
        </w:r>
      </w:hyperlink>
    </w:p>
    <w:bookmarkEnd w:id="261"/>
    <w:bookmarkStart w:id="263" w:name="ref-kim2024"/>
    <w:p>
      <w:pPr>
        <w:pStyle w:val="Bibliography"/>
      </w:pPr>
      <w:r>
        <w:t xml:space="preserve">Kim, A. E., McKnight, S. M., &amp; Miyake, A. (2024). How variable are the classic</w:t>
      </w:r>
      <w:r>
        <w:t xml:space="preserve"> </w:t>
      </w:r>
      <w:r>
        <w:t xml:space="preserve">ERP</w:t>
      </w:r>
      <w:r>
        <w:t xml:space="preserve"> </w:t>
      </w:r>
      <w:r>
        <w:t xml:space="preserve">effects during sentence processing? A systematic resampling analysis of the</w:t>
      </w:r>
      <w:r>
        <w:t xml:space="preserve"> </w:t>
      </w:r>
      <w:r>
        <w:t xml:space="preserve">N400</w:t>
      </w:r>
      <w:r>
        <w:t xml:space="preserve"> </w:t>
      </w:r>
      <w:r>
        <w:t xml:space="preserve">and</w:t>
      </w:r>
      <w:r>
        <w:t xml:space="preserve"> </w:t>
      </w:r>
      <w:r>
        <w:t xml:space="preserve">P600</w:t>
      </w:r>
      <w:r>
        <w:t xml:space="preserve"> </w:t>
      </w:r>
      <w:r>
        <w:t xml:space="preserve">effects.</w:t>
      </w:r>
      <w:r>
        <w:t xml:space="preserve"> </w:t>
      </w:r>
      <w:r>
        <w:rPr>
          <w:i/>
          <w:iCs/>
        </w:rPr>
        <w:t xml:space="preserve">Cortex</w:t>
      </w:r>
      <w:r>
        <w:t xml:space="preserve">,</w:t>
      </w:r>
      <w:r>
        <w:t xml:space="preserve"> </w:t>
      </w:r>
      <w:r>
        <w:rPr>
          <w:i/>
          <w:iCs/>
        </w:rPr>
        <w:t xml:space="preserve">177</w:t>
      </w:r>
      <w:r>
        <w:t xml:space="preserve">, 130–149.</w:t>
      </w:r>
      <w:r>
        <w:t xml:space="preserve"> </w:t>
      </w:r>
      <w:hyperlink r:id="rId262">
        <w:r>
          <w:rPr>
            <w:rStyle w:val="Hyperlink"/>
          </w:rPr>
          <w:t xml:space="preserve">https://doi.org/10.1016/j.cortex.2024.05.007</w:t>
        </w:r>
      </w:hyperlink>
    </w:p>
    <w:bookmarkEnd w:id="263"/>
    <w:bookmarkStart w:id="265" w:name="ref-king2014"/>
    <w:p>
      <w:pPr>
        <w:pStyle w:val="Bibliography"/>
      </w:pPr>
      <w:r>
        <w:t xml:space="preserve">King, J.-R., &amp; Dehaene, S. (2014). Characterizing the dynamics of mental representations: The temporal generalization method.</w:t>
      </w:r>
      <w:r>
        <w:t xml:space="preserve"> </w:t>
      </w:r>
      <w:r>
        <w:rPr>
          <w:i/>
          <w:iCs/>
        </w:rPr>
        <w:t xml:space="preserve">Trends in Cognitive Sciences</w:t>
      </w:r>
      <w:r>
        <w:t xml:space="preserve">,</w:t>
      </w:r>
      <w:r>
        <w:t xml:space="preserve"> </w:t>
      </w:r>
      <w:r>
        <w:rPr>
          <w:i/>
          <w:iCs/>
        </w:rPr>
        <w:t xml:space="preserve">18</w:t>
      </w:r>
      <w:r>
        <w:t xml:space="preserve">(4), 203–210.</w:t>
      </w:r>
      <w:r>
        <w:t xml:space="preserve"> </w:t>
      </w:r>
      <w:hyperlink r:id="rId264">
        <w:r>
          <w:rPr>
            <w:rStyle w:val="Hyperlink"/>
          </w:rPr>
          <w:t xml:space="preserve">https://doi.org/10.1016/j.tics.2014.01.002</w:t>
        </w:r>
      </w:hyperlink>
    </w:p>
    <w:bookmarkEnd w:id="265"/>
    <w:bookmarkStart w:id="267" w:name="ref-kriegeskorte2009"/>
    <w:p>
      <w:pPr>
        <w:pStyle w:val="Bibliography"/>
      </w:pPr>
      <w:r>
        <w:t xml:space="preserve">Kriegeskorte, N., Simmons, W. K., Bellgowan, P. S. F., &amp; Baker, C. I. (2009). Circular analysis in systems neuroscience: The dangers of double dipping.</w:t>
      </w:r>
      <w:r>
        <w:t xml:space="preserve"> </w:t>
      </w:r>
      <w:r>
        <w:rPr>
          <w:i/>
          <w:iCs/>
        </w:rPr>
        <w:t xml:space="preserve">Nature Neuroscience</w:t>
      </w:r>
      <w:r>
        <w:t xml:space="preserve">,</w:t>
      </w:r>
      <w:r>
        <w:t xml:space="preserve"> </w:t>
      </w:r>
      <w:r>
        <w:rPr>
          <w:i/>
          <w:iCs/>
        </w:rPr>
        <w:t xml:space="preserve">12</w:t>
      </w:r>
      <w:r>
        <w:t xml:space="preserve">(5), 535–540.</w:t>
      </w:r>
      <w:r>
        <w:t xml:space="preserve"> </w:t>
      </w:r>
      <w:hyperlink r:id="rId266">
        <w:r>
          <w:rPr>
            <w:rStyle w:val="Hyperlink"/>
          </w:rPr>
          <w:t xml:space="preserve">https://doi.org/10.1038/nn.2303</w:t>
        </w:r>
      </w:hyperlink>
    </w:p>
    <w:bookmarkEnd w:id="267"/>
    <w:bookmarkStart w:id="269" w:name="ref-kruschke2021"/>
    <w:p>
      <w:pPr>
        <w:pStyle w:val="Bibliography"/>
      </w:pPr>
      <w:r>
        <w:t xml:space="preserve">Kruschke, J. K. (2021).</w:t>
      </w:r>
      <w:r>
        <w:t xml:space="preserve"> </w:t>
      </w:r>
      <w:r>
        <w:t xml:space="preserve">Bayesian</w:t>
      </w:r>
      <w:r>
        <w:t xml:space="preserve"> </w:t>
      </w:r>
      <w:r>
        <w:t xml:space="preserve">analysis reporting guidelines.</w:t>
      </w:r>
      <w:r>
        <w:t xml:space="preserve"> </w:t>
      </w:r>
      <w:r>
        <w:rPr>
          <w:i/>
          <w:iCs/>
        </w:rPr>
        <w:t xml:space="preserve">Nature Human Behaviour</w:t>
      </w:r>
      <w:r>
        <w:t xml:space="preserve">,</w:t>
      </w:r>
      <w:r>
        <w:t xml:space="preserve"> </w:t>
      </w:r>
      <w:r>
        <w:rPr>
          <w:i/>
          <w:iCs/>
        </w:rPr>
        <w:t xml:space="preserve">5</w:t>
      </w:r>
      <w:r>
        <w:t xml:space="preserve">(10), 1282–1291.</w:t>
      </w:r>
      <w:r>
        <w:t xml:space="preserve"> </w:t>
      </w:r>
      <w:hyperlink r:id="rId268">
        <w:r>
          <w:rPr>
            <w:rStyle w:val="Hyperlink"/>
          </w:rPr>
          <w:t xml:space="preserve">https://doi.org/10.1038/s41562-021-01177-7</w:t>
        </w:r>
      </w:hyperlink>
    </w:p>
    <w:bookmarkEnd w:id="269"/>
    <w:bookmarkStart w:id="271" w:name="ref-kruschke2018"/>
    <w:p>
      <w:pPr>
        <w:pStyle w:val="Bibliography"/>
      </w:pPr>
      <w:r>
        <w:t xml:space="preserve">Kruschke, J. K., &amp; Liddell, T. M. (2018). The</w:t>
      </w:r>
      <w:r>
        <w:t xml:space="preserve"> </w:t>
      </w:r>
      <w:r>
        <w:t xml:space="preserve">Bayesian</w:t>
      </w:r>
      <w:r>
        <w:t xml:space="preserve"> </w:t>
      </w:r>
      <w:r>
        <w:t xml:space="preserve">New</w:t>
      </w:r>
      <w:r>
        <w:t xml:space="preserve"> </w:t>
      </w:r>
      <w:r>
        <w:t xml:space="preserve">Statistics</w:t>
      </w:r>
      <w:r>
        <w:t xml:space="preserve">: Hypothesis testing, estimation, meta-analysis, and power analysis from a</w:t>
      </w:r>
      <w:r>
        <w:t xml:space="preserve"> </w:t>
      </w:r>
      <w:r>
        <w:t xml:space="preserve">Bayesian</w:t>
      </w:r>
      <w:r>
        <w:t xml:space="preserve"> </w:t>
      </w:r>
      <w:r>
        <w:t xml:space="preserve">perspective.</w:t>
      </w:r>
      <w:r>
        <w:t xml:space="preserve"> </w:t>
      </w:r>
      <w:r>
        <w:rPr>
          <w:i/>
          <w:iCs/>
        </w:rPr>
        <w:t xml:space="preserve">Psychonomic Bulletin &amp; Review</w:t>
      </w:r>
      <w:r>
        <w:t xml:space="preserve">,</w:t>
      </w:r>
      <w:r>
        <w:t xml:space="preserve"> </w:t>
      </w:r>
      <w:r>
        <w:rPr>
          <w:i/>
          <w:iCs/>
        </w:rPr>
        <w:t xml:space="preserve">25</w:t>
      </w:r>
      <w:r>
        <w:t xml:space="preserve">(1), 178–206.</w:t>
      </w:r>
      <w:r>
        <w:t xml:space="preserve"> </w:t>
      </w:r>
      <w:hyperlink r:id="rId270">
        <w:r>
          <w:rPr>
            <w:rStyle w:val="Hyperlink"/>
          </w:rPr>
          <w:t xml:space="preserve">https://doi.org/10.3758/s13423-016-1221-4</w:t>
        </w:r>
      </w:hyperlink>
    </w:p>
    <w:bookmarkEnd w:id="271"/>
    <w:bookmarkStart w:id="273" w:name="ref-lazic2010"/>
    <w:p>
      <w:pPr>
        <w:pStyle w:val="Bibliography"/>
      </w:pPr>
      <w:r>
        <w:t xml:space="preserve">Lazic, S. E. (2010). The problem of pseudoreplication in neuroscientific studies: Is it affecting your analysis?</w:t>
      </w:r>
      <w:r>
        <w:t xml:space="preserve"> </w:t>
      </w:r>
      <w:r>
        <w:rPr>
          <w:i/>
          <w:iCs/>
        </w:rPr>
        <w:t xml:space="preserve">BMC Neuroscience</w:t>
      </w:r>
      <w:r>
        <w:t xml:space="preserve">,</w:t>
      </w:r>
      <w:r>
        <w:t xml:space="preserve"> </w:t>
      </w:r>
      <w:r>
        <w:rPr>
          <w:i/>
          <w:iCs/>
        </w:rPr>
        <w:t xml:space="preserve">11</w:t>
      </w:r>
      <w:r>
        <w:t xml:space="preserve">, 5.</w:t>
      </w:r>
      <w:r>
        <w:t xml:space="preserve"> </w:t>
      </w:r>
      <w:hyperlink r:id="rId272">
        <w:r>
          <w:rPr>
            <w:rStyle w:val="Hyperlink"/>
          </w:rPr>
          <w:t xml:space="preserve">https://doi.org/10.1186/1471-2202-11-5</w:t>
        </w:r>
      </w:hyperlink>
    </w:p>
    <w:bookmarkEnd w:id="273"/>
    <w:bookmarkStart w:id="275" w:name="ref-lewandowski2009"/>
    <w:p>
      <w:pPr>
        <w:pStyle w:val="Bibliography"/>
      </w:pPr>
      <w:r>
        <w:t xml:space="preserve">Lewandowski, D., Kurowicka, D., &amp; Joe, H. (2009). Generating random correlation matrices based on vines and extended onion method.</w:t>
      </w:r>
      <w:r>
        <w:t xml:space="preserve"> </w:t>
      </w:r>
      <w:r>
        <w:rPr>
          <w:i/>
          <w:iCs/>
        </w:rPr>
        <w:t xml:space="preserve">Journal of Multivariate Analysis</w:t>
      </w:r>
      <w:r>
        <w:t xml:space="preserve">,</w:t>
      </w:r>
      <w:r>
        <w:t xml:space="preserve"> </w:t>
      </w:r>
      <w:r>
        <w:rPr>
          <w:i/>
          <w:iCs/>
        </w:rPr>
        <w:t xml:space="preserve">100</w:t>
      </w:r>
      <w:r>
        <w:t xml:space="preserve">(9), 1989–2001.</w:t>
      </w:r>
      <w:r>
        <w:t xml:space="preserve"> </w:t>
      </w:r>
      <w:hyperlink r:id="rId274">
        <w:r>
          <w:rPr>
            <w:rStyle w:val="Hyperlink"/>
          </w:rPr>
          <w:t xml:space="preserve">https://doi.org/10.1016/j.jmva.2009.04.008</w:t>
        </w:r>
      </w:hyperlink>
    </w:p>
    <w:bookmarkEnd w:id="275"/>
    <w:bookmarkStart w:id="277" w:name="ref-lhq3"/>
    <w:p>
      <w:pPr>
        <w:pStyle w:val="Bibliography"/>
      </w:pPr>
      <w:r>
        <w:t xml:space="preserve">Li, P., Zhang, F., Yu, A., &amp; Zhao, X. (2020).</w:t>
      </w:r>
      <w:r>
        <w:t xml:space="preserve"> </w:t>
      </w:r>
      <w:r>
        <w:t xml:space="preserve">Language History Questionnaire</w:t>
      </w:r>
      <w:r>
        <w:t xml:space="preserve"> </w:t>
      </w:r>
      <w:r>
        <w:t xml:space="preserve">(</w:t>
      </w:r>
      <w:r>
        <w:t xml:space="preserve">LHQ3</w:t>
      </w:r>
      <w:r>
        <w:t xml:space="preserve">): An enhanced tool for assessing multilingual experience.</w:t>
      </w:r>
      <w:r>
        <w:t xml:space="preserve"> </w:t>
      </w:r>
      <w:r>
        <w:rPr>
          <w:i/>
          <w:iCs/>
        </w:rPr>
        <w:t xml:space="preserve">Bilingualism: Language and Cognition</w:t>
      </w:r>
      <w:r>
        <w:t xml:space="preserve">,</w:t>
      </w:r>
      <w:r>
        <w:t xml:space="preserve"> </w:t>
      </w:r>
      <w:r>
        <w:rPr>
          <w:i/>
          <w:iCs/>
        </w:rPr>
        <w:t xml:space="preserve">23</w:t>
      </w:r>
      <w:r>
        <w:t xml:space="preserve">(5), 938–944.</w:t>
      </w:r>
      <w:r>
        <w:t xml:space="preserve"> </w:t>
      </w:r>
      <w:hyperlink r:id="rId276">
        <w:r>
          <w:rPr>
            <w:rStyle w:val="Hyperlink"/>
          </w:rPr>
          <w:t xml:space="preserve">https://doi.org/10.1017/S1366728918001153</w:t>
        </w:r>
      </w:hyperlink>
    </w:p>
    <w:bookmarkEnd w:id="277"/>
    <w:bookmarkStart w:id="279" w:name="ref-loken2017"/>
    <w:p>
      <w:pPr>
        <w:pStyle w:val="Bibliography"/>
      </w:pPr>
      <w:r>
        <w:t xml:space="preserve">Loken, E., &amp; Gelman, A. (2017). Measurement error and the replication crisis.</w:t>
      </w:r>
      <w:r>
        <w:t xml:space="preserve"> </w:t>
      </w:r>
      <w:r>
        <w:rPr>
          <w:i/>
          <w:iCs/>
        </w:rPr>
        <w:t xml:space="preserve">Science</w:t>
      </w:r>
      <w:r>
        <w:t xml:space="preserve">,</w:t>
      </w:r>
      <w:r>
        <w:t xml:space="preserve"> </w:t>
      </w:r>
      <w:r>
        <w:rPr>
          <w:i/>
          <w:iCs/>
        </w:rPr>
        <w:t xml:space="preserve">355</w:t>
      </w:r>
      <w:r>
        <w:t xml:space="preserve">(6325), 584–585.</w:t>
      </w:r>
      <w:r>
        <w:t xml:space="preserve"> </w:t>
      </w:r>
      <w:hyperlink r:id="rId278">
        <w:r>
          <w:rPr>
            <w:rStyle w:val="Hyperlink"/>
          </w:rPr>
          <w:t xml:space="preserve">https://doi.org/10.1126/science.aal3618</w:t>
        </w:r>
      </w:hyperlink>
    </w:p>
    <w:bookmarkEnd w:id="279"/>
    <w:bookmarkStart w:id="281" w:name="ref-macmillan2005"/>
    <w:p>
      <w:pPr>
        <w:pStyle w:val="Bibliography"/>
      </w:pPr>
      <w:r>
        <w:t xml:space="preserve">Macmillan, N. A., &amp; Creelman, C. D. (2005).</w:t>
      </w:r>
      <w:r>
        <w:t xml:space="preserve"> </w:t>
      </w:r>
      <w:r>
        <w:rPr>
          <w:i/>
          <w:iCs/>
        </w:rPr>
        <w:t xml:space="preserve">Detection theory:</w:t>
      </w:r>
      <w:r>
        <w:rPr>
          <w:i/>
          <w:iCs/>
        </w:rPr>
        <w:t xml:space="preserve"> </w:t>
      </w:r>
      <w:r>
        <w:rPr>
          <w:i/>
          <w:iCs/>
        </w:rPr>
        <w:t xml:space="preserve">A</w:t>
      </w:r>
      <w:r>
        <w:rPr>
          <w:i/>
          <w:iCs/>
        </w:rPr>
        <w:t xml:space="preserve"> </w:t>
      </w:r>
      <w:r>
        <w:rPr>
          <w:i/>
          <w:iCs/>
        </w:rPr>
        <w:t xml:space="preserve">user’s guide</w:t>
      </w:r>
      <w:r>
        <w:t xml:space="preserve"> </w:t>
      </w:r>
      <w:r>
        <w:t xml:space="preserve">(2nd ed.). Lawrence Erlbaum Associates.</w:t>
      </w:r>
      <w:r>
        <w:t xml:space="preserve"> </w:t>
      </w:r>
      <w:hyperlink r:id="rId280">
        <w:r>
          <w:rPr>
            <w:rStyle w:val="Hyperlink"/>
          </w:rPr>
          <w:t xml:space="preserve">https://doi.org/10.4324/9781410611147</w:t>
        </w:r>
      </w:hyperlink>
    </w:p>
    <w:bookmarkEnd w:id="281"/>
    <w:bookmarkStart w:id="283" w:name="ref-makowski2019"/>
    <w:p>
      <w:pPr>
        <w:pStyle w:val="Bibliography"/>
      </w:pPr>
      <w:r>
        <w:t xml:space="preserve">Makowski, D., Ben-Shachar, M. S., Chen, S. H. A., &amp; Lüdecke, D. (2019). Indices of effect existence and significance in the</w:t>
      </w:r>
      <w:r>
        <w:t xml:space="preserve"> </w:t>
      </w:r>
      <w:r>
        <w:t xml:space="preserve">Bayesian</w:t>
      </w:r>
      <w:r>
        <w:t xml:space="preserve"> </w:t>
      </w:r>
      <w:r>
        <w:t xml:space="preserve">framework.</w:t>
      </w:r>
      <w:r>
        <w:t xml:space="preserve"> </w:t>
      </w:r>
      <w:r>
        <w:rPr>
          <w:i/>
          <w:iCs/>
        </w:rPr>
        <w:t xml:space="preserve">Frontiers in Psychology</w:t>
      </w:r>
      <w:r>
        <w:t xml:space="preserve">,</w:t>
      </w:r>
      <w:r>
        <w:t xml:space="preserve"> </w:t>
      </w:r>
      <w:r>
        <w:rPr>
          <w:i/>
          <w:iCs/>
        </w:rPr>
        <w:t xml:space="preserve">10</w:t>
      </w:r>
      <w:r>
        <w:t xml:space="preserve">, 2767.</w:t>
      </w:r>
      <w:r>
        <w:t xml:space="preserve"> </w:t>
      </w:r>
      <w:hyperlink r:id="rId282">
        <w:r>
          <w:rPr>
            <w:rStyle w:val="Hyperlink"/>
          </w:rPr>
          <w:t xml:space="preserve">https://doi.org/10.3389/fpsyg.2019.02767</w:t>
        </w:r>
      </w:hyperlink>
    </w:p>
    <w:bookmarkEnd w:id="283"/>
    <w:bookmarkStart w:id="285" w:name="ref-maris2007"/>
    <w:p>
      <w:pPr>
        <w:pStyle w:val="Bibliography"/>
      </w:pPr>
      <w:r>
        <w:t xml:space="preserve">Maris, E., &amp; Oostenveld, R. (2007). Nonparametric statistical testing of</w:t>
      </w:r>
      <w:r>
        <w:t xml:space="preserve"> </w:t>
      </w:r>
      <w:r>
        <w:t xml:space="preserve">EEG</w:t>
      </w:r>
      <w:r>
        <w:t xml:space="preserve">- and</w:t>
      </w:r>
      <w:r>
        <w:t xml:space="preserve"> </w:t>
      </w:r>
      <w:r>
        <w:t xml:space="preserve">MEG</w:t>
      </w:r>
      <w:r>
        <w:t xml:space="preserve">-data.</w:t>
      </w:r>
      <w:r>
        <w:t xml:space="preserve"> </w:t>
      </w:r>
      <w:r>
        <w:rPr>
          <w:i/>
          <w:iCs/>
        </w:rPr>
        <w:t xml:space="preserve">Journal of Neuroscience Methods</w:t>
      </w:r>
      <w:r>
        <w:t xml:space="preserve">,</w:t>
      </w:r>
      <w:r>
        <w:t xml:space="preserve"> </w:t>
      </w:r>
      <w:r>
        <w:rPr>
          <w:i/>
          <w:iCs/>
        </w:rPr>
        <w:t xml:space="preserve">164</w:t>
      </w:r>
      <w:r>
        <w:t xml:space="preserve">(1), 177–190.</w:t>
      </w:r>
      <w:r>
        <w:t xml:space="preserve"> </w:t>
      </w:r>
      <w:hyperlink r:id="rId284">
        <w:r>
          <w:rPr>
            <w:rStyle w:val="Hyperlink"/>
          </w:rPr>
          <w:t xml:space="preserve">https://doi.org/10.1016/j.jneumeth.2007.03.024</w:t>
        </w:r>
      </w:hyperlink>
    </w:p>
    <w:bookmarkEnd w:id="285"/>
    <w:bookmarkStart w:id="287" w:name="ref-marwick2018"/>
    <w:p>
      <w:pPr>
        <w:pStyle w:val="Bibliography"/>
      </w:pPr>
      <w:r>
        <w:t xml:space="preserve">Marwick, B., Boettiger, C., &amp; Mullen, L. (2018). Packaging data analytical work reproducibly using</w:t>
      </w:r>
      <w:r>
        <w:t xml:space="preserve"> </w:t>
      </w:r>
      <w:r>
        <w:t xml:space="preserve">R</w:t>
      </w:r>
      <w:r>
        <w:t xml:space="preserve"> </w:t>
      </w:r>
      <w:r>
        <w:t xml:space="preserve">(and friends).</w:t>
      </w:r>
      <w:r>
        <w:t xml:space="preserve"> </w:t>
      </w:r>
      <w:r>
        <w:rPr>
          <w:i/>
          <w:iCs/>
        </w:rPr>
        <w:t xml:space="preserve">The American Statistician</w:t>
      </w:r>
      <w:r>
        <w:t xml:space="preserve">,</w:t>
      </w:r>
      <w:r>
        <w:t xml:space="preserve"> </w:t>
      </w:r>
      <w:r>
        <w:rPr>
          <w:i/>
          <w:iCs/>
        </w:rPr>
        <w:t xml:space="preserve">72</w:t>
      </w:r>
      <w:r>
        <w:t xml:space="preserve">(1), 80–88.</w:t>
      </w:r>
      <w:r>
        <w:t xml:space="preserve"> </w:t>
      </w:r>
      <w:hyperlink r:id="rId286">
        <w:r>
          <w:rPr>
            <w:rStyle w:val="Hyperlink"/>
          </w:rPr>
          <w:t xml:space="preserve">https://doi.org/10.1080/00031305.2017.1375986</w:t>
        </w:r>
      </w:hyperlink>
    </w:p>
    <w:bookmarkEnd w:id="287"/>
    <w:bookmarkStart w:id="289" w:name="ref-matuschek2017"/>
    <w:p>
      <w:pPr>
        <w:pStyle w:val="Bibliography"/>
      </w:pPr>
      <w:r>
        <w:t xml:space="preserve">Matuschek, H., Kliegl, R., Vasishth, S., Baayen, H., &amp; Bates, D. (2017). Balancing</w:t>
      </w:r>
      <w:r>
        <w:t xml:space="preserve"> </w:t>
      </w:r>
      <w:r>
        <w:t xml:space="preserve">Type</w:t>
      </w:r>
      <w:r>
        <w:t xml:space="preserve"> </w:t>
      </w:r>
      <w:r>
        <w:t xml:space="preserve">I</w:t>
      </w:r>
      <w:r>
        <w:t xml:space="preserve"> </w:t>
      </w:r>
      <w:r>
        <w:t xml:space="preserve">error and power in linear mixed models.</w:t>
      </w:r>
      <w:r>
        <w:t xml:space="preserve"> </w:t>
      </w:r>
      <w:r>
        <w:rPr>
          <w:i/>
          <w:iCs/>
        </w:rPr>
        <w:t xml:space="preserve">Journal of Memory and Language</w:t>
      </w:r>
      <w:r>
        <w:t xml:space="preserve">,</w:t>
      </w:r>
      <w:r>
        <w:t xml:space="preserve"> </w:t>
      </w:r>
      <w:r>
        <w:rPr>
          <w:i/>
          <w:iCs/>
        </w:rPr>
        <w:t xml:space="preserve">94</w:t>
      </w:r>
      <w:r>
        <w:t xml:space="preserve">, 305–315.</w:t>
      </w:r>
      <w:r>
        <w:t xml:space="preserve"> </w:t>
      </w:r>
      <w:hyperlink r:id="rId288">
        <w:r>
          <w:rPr>
            <w:rStyle w:val="Hyperlink"/>
          </w:rPr>
          <w:t xml:space="preserve">https://doi.org/10.1016/j.jml.2017.01.001</w:t>
        </w:r>
      </w:hyperlink>
    </w:p>
    <w:bookmarkEnd w:id="289"/>
    <w:bookmarkStart w:id="291" w:name="ref-mitrofanova2023"/>
    <w:p>
      <w:pPr>
        <w:pStyle w:val="Bibliography"/>
      </w:pPr>
      <w:r>
        <w:t xml:space="preserve">Mitrofanova, N., Leivada, E., &amp; Westergaard, M. (2023). Crosslinguistic influence in</w:t>
      </w:r>
      <w:r>
        <w:t xml:space="preserve"> </w:t>
      </w:r>
      <w:r>
        <w:t xml:space="preserve">L3</w:t>
      </w:r>
      <w:r>
        <w:t xml:space="preserve"> </w:t>
      </w:r>
      <w:r>
        <w:t xml:space="preserve">acquisition: Evidence from artificial language learning.</w:t>
      </w:r>
      <w:r>
        <w:t xml:space="preserve"> </w:t>
      </w:r>
      <w:r>
        <w:rPr>
          <w:i/>
          <w:iCs/>
        </w:rPr>
        <w:t xml:space="preserve">Linguistic Approaches to Bilingualism</w:t>
      </w:r>
      <w:r>
        <w:t xml:space="preserve">,</w:t>
      </w:r>
      <w:r>
        <w:t xml:space="preserve"> </w:t>
      </w:r>
      <w:r>
        <w:rPr>
          <w:i/>
          <w:iCs/>
        </w:rPr>
        <w:t xml:space="preserve">13</w:t>
      </w:r>
      <w:r>
        <w:t xml:space="preserve">(5), 717–742.</w:t>
      </w:r>
      <w:r>
        <w:t xml:space="preserve"> </w:t>
      </w:r>
      <w:hyperlink r:id="rId290">
        <w:r>
          <w:rPr>
            <w:rStyle w:val="Hyperlink"/>
          </w:rPr>
          <w:t xml:space="preserve">https://doi.org/10.1075/lab.22063.mit</w:t>
        </w:r>
      </w:hyperlink>
    </w:p>
    <w:bookmarkEnd w:id="291"/>
    <w:bookmarkStart w:id="293" w:name="ref-morganshort2012plos"/>
    <w:p>
      <w:pPr>
        <w:pStyle w:val="Bibliography"/>
      </w:pPr>
      <w:r>
        <w:t xml:space="preserve">Morgan-Short, K., Finger, I., Grey, S., &amp; Ullman, M. T. (2012). Second language processing shows increased native-like neural responses after months of no exposure.</w:t>
      </w:r>
      <w:r>
        <w:t xml:space="preserve"> </w:t>
      </w:r>
      <w:r>
        <w:rPr>
          <w:i/>
          <w:iCs/>
        </w:rPr>
        <w:t xml:space="preserve">PLoS ONE</w:t>
      </w:r>
      <w:r>
        <w:t xml:space="preserve">,</w:t>
      </w:r>
      <w:r>
        <w:t xml:space="preserve"> </w:t>
      </w:r>
      <w:r>
        <w:rPr>
          <w:i/>
          <w:iCs/>
        </w:rPr>
        <w:t xml:space="preserve">7</w:t>
      </w:r>
      <w:r>
        <w:t xml:space="preserve">(3), e32974.</w:t>
      </w:r>
      <w:r>
        <w:t xml:space="preserve"> </w:t>
      </w:r>
      <w:hyperlink r:id="rId292">
        <w:r>
          <w:rPr>
            <w:rStyle w:val="Hyperlink"/>
          </w:rPr>
          <w:t xml:space="preserve">https://doi.org/10.1371/journal.pone.0032974</w:t>
        </w:r>
      </w:hyperlink>
    </w:p>
    <w:bookmarkEnd w:id="293"/>
    <w:bookmarkStart w:id="295" w:name="ref-morganshort2010"/>
    <w:p>
      <w:pPr>
        <w:pStyle w:val="Bibliography"/>
      </w:pPr>
      <w:r>
        <w:t xml:space="preserve">Morgan-Short, K., Sanz, C., Steinhauer, K., &amp; Ullman, M. T. (2010). Second language acquisition of gender agreement in explicit and implicit training conditions: An event-related potential study.</w:t>
      </w:r>
      <w:r>
        <w:t xml:space="preserve"> </w:t>
      </w:r>
      <w:r>
        <w:rPr>
          <w:i/>
          <w:iCs/>
        </w:rPr>
        <w:t xml:space="preserve">Language Learning</w:t>
      </w:r>
      <w:r>
        <w:t xml:space="preserve">,</w:t>
      </w:r>
      <w:r>
        <w:t xml:space="preserve"> </w:t>
      </w:r>
      <w:r>
        <w:rPr>
          <w:i/>
          <w:iCs/>
        </w:rPr>
        <w:t xml:space="preserve">60</w:t>
      </w:r>
      <w:r>
        <w:t xml:space="preserve">(1), 154–193.</w:t>
      </w:r>
      <w:r>
        <w:t xml:space="preserve"> </w:t>
      </w:r>
      <w:hyperlink r:id="rId294">
        <w:r>
          <w:rPr>
            <w:rStyle w:val="Hyperlink"/>
          </w:rPr>
          <w:t xml:space="preserve">https://doi.org/10.1111/j.1467-9922.2009.00554.x</w:t>
        </w:r>
      </w:hyperlink>
    </w:p>
    <w:bookmarkEnd w:id="295"/>
    <w:bookmarkStart w:id="297" w:name="ref-morganshort2012"/>
    <w:p>
      <w:pPr>
        <w:pStyle w:val="Bibliography"/>
      </w:pPr>
      <w:r>
        <w:t xml:space="preserve">Morgan-Short, K., Steinhauer, K., Sanz, C., &amp; Ullman, M. T. (2012). Explicit and implicit second language training differentially affect the achievement of native-like brain activation patterns.</w:t>
      </w:r>
      <w:r>
        <w:t xml:space="preserve"> </w:t>
      </w:r>
      <w:r>
        <w:rPr>
          <w:i/>
          <w:iCs/>
        </w:rPr>
        <w:t xml:space="preserve">Journal of Cognitive Neuroscience</w:t>
      </w:r>
      <w:r>
        <w:t xml:space="preserve">,</w:t>
      </w:r>
      <w:r>
        <w:t xml:space="preserve"> </w:t>
      </w:r>
      <w:r>
        <w:rPr>
          <w:i/>
          <w:iCs/>
        </w:rPr>
        <w:t xml:space="preserve">24</w:t>
      </w:r>
      <w:r>
        <w:t xml:space="preserve">(4), 933–947.</w:t>
      </w:r>
      <w:r>
        <w:t xml:space="preserve"> </w:t>
      </w:r>
      <w:hyperlink r:id="rId296">
        <w:r>
          <w:rPr>
            <w:rStyle w:val="Hyperlink"/>
          </w:rPr>
          <w:t xml:space="preserve">https://doi.org/10.1162/jocn_a_00119</w:t>
        </w:r>
      </w:hyperlink>
    </w:p>
    <w:bookmarkEnd w:id="297"/>
    <w:bookmarkStart w:id="299" w:name="ref-mueller2005"/>
    <w:p>
      <w:pPr>
        <w:pStyle w:val="Bibliography"/>
      </w:pPr>
      <w:r>
        <w:t xml:space="preserve">Mueller, J. L., Hahne, A., Fujii, Y., &amp; Friederici, A. D. (2005). Native and nonnative speakers’ processing of a miniature version of</w:t>
      </w:r>
      <w:r>
        <w:t xml:space="preserve"> </w:t>
      </w:r>
      <w:r>
        <w:t xml:space="preserve">Japanese</w:t>
      </w:r>
      <w:r>
        <w:t xml:space="preserve"> </w:t>
      </w:r>
      <w:r>
        <w:t xml:space="preserve">as revealed by</w:t>
      </w:r>
      <w:r>
        <w:t xml:space="preserve"> </w:t>
      </w:r>
      <w:r>
        <w:t xml:space="preserve">ERPs</w:t>
      </w:r>
      <w:r>
        <w:t xml:space="preserve">.</w:t>
      </w:r>
      <w:r>
        <w:t xml:space="preserve"> </w:t>
      </w:r>
      <w:r>
        <w:rPr>
          <w:i/>
          <w:iCs/>
        </w:rPr>
        <w:t xml:space="preserve">Journal of Cognitive Neuroscience</w:t>
      </w:r>
      <w:r>
        <w:t xml:space="preserve">,</w:t>
      </w:r>
      <w:r>
        <w:t xml:space="preserve"> </w:t>
      </w:r>
      <w:r>
        <w:rPr>
          <w:i/>
          <w:iCs/>
        </w:rPr>
        <w:t xml:space="preserve">17</w:t>
      </w:r>
      <w:r>
        <w:t xml:space="preserve">(8), 1229–1244.</w:t>
      </w:r>
      <w:r>
        <w:t xml:space="preserve"> </w:t>
      </w:r>
      <w:hyperlink r:id="rId298">
        <w:r>
          <w:rPr>
            <w:rStyle w:val="Hyperlink"/>
          </w:rPr>
          <w:t xml:space="preserve">https://doi.org/10.1162/0898929055002463</w:t>
        </w:r>
      </w:hyperlink>
    </w:p>
    <w:bookmarkEnd w:id="299"/>
    <w:bookmarkStart w:id="301" w:name="ref-mueller2007"/>
    <w:p>
      <w:pPr>
        <w:pStyle w:val="Bibliography"/>
      </w:pPr>
      <w:r>
        <w:t xml:space="preserve">Mueller, J. L., Hirotani, M., &amp; Friederici, A. D. (2007).</w:t>
      </w:r>
      <w:r>
        <w:t xml:space="preserve"> </w:t>
      </w:r>
      <w:r>
        <w:t xml:space="preserve">ERP</w:t>
      </w:r>
      <w:r>
        <w:t xml:space="preserve"> </w:t>
      </w:r>
      <w:r>
        <w:t xml:space="preserve">evidence for different strategies in the processing of case markers in native speakers and non-native learners.</w:t>
      </w:r>
      <w:r>
        <w:t xml:space="preserve"> </w:t>
      </w:r>
      <w:r>
        <w:rPr>
          <w:i/>
          <w:iCs/>
        </w:rPr>
        <w:t xml:space="preserve">BMC Neuroscience</w:t>
      </w:r>
      <w:r>
        <w:t xml:space="preserve">,</w:t>
      </w:r>
      <w:r>
        <w:t xml:space="preserve"> </w:t>
      </w:r>
      <w:r>
        <w:rPr>
          <w:i/>
          <w:iCs/>
        </w:rPr>
        <w:t xml:space="preserve">8</w:t>
      </w:r>
      <w:r>
        <w:t xml:space="preserve">(1), 18.</w:t>
      </w:r>
      <w:r>
        <w:t xml:space="preserve"> </w:t>
      </w:r>
      <w:hyperlink r:id="rId300">
        <w:r>
          <w:rPr>
            <w:rStyle w:val="Hyperlink"/>
          </w:rPr>
          <w:t xml:space="preserve">https://doi.org/10.1186/1471-2202-8-18</w:t>
        </w:r>
      </w:hyperlink>
    </w:p>
    <w:bookmarkEnd w:id="301"/>
    <w:bookmarkStart w:id="303" w:name="ref-mueller2009"/>
    <w:p>
      <w:pPr>
        <w:pStyle w:val="Bibliography"/>
      </w:pPr>
      <w:r>
        <w:t xml:space="preserve">Mueller, J. L., Oberecker, R., &amp; Friederici, A. D. (2009). Syntactic learning by mere exposure: An</w:t>
      </w:r>
      <w:r>
        <w:t xml:space="preserve"> </w:t>
      </w:r>
      <w:r>
        <w:t xml:space="preserve">ERP</w:t>
      </w:r>
      <w:r>
        <w:t xml:space="preserve"> </w:t>
      </w:r>
      <w:r>
        <w:t xml:space="preserve">study in adult learners.</w:t>
      </w:r>
      <w:r>
        <w:t xml:space="preserve"> </w:t>
      </w:r>
      <w:r>
        <w:rPr>
          <w:i/>
          <w:iCs/>
        </w:rPr>
        <w:t xml:space="preserve">BMC Neuroscience</w:t>
      </w:r>
      <w:r>
        <w:t xml:space="preserve">,</w:t>
      </w:r>
      <w:r>
        <w:t xml:space="preserve"> </w:t>
      </w:r>
      <w:r>
        <w:rPr>
          <w:i/>
          <w:iCs/>
        </w:rPr>
        <w:t xml:space="preserve">10</w:t>
      </w:r>
      <w:r>
        <w:t xml:space="preserve">(1), 89.</w:t>
      </w:r>
      <w:r>
        <w:t xml:space="preserve"> </w:t>
      </w:r>
      <w:hyperlink r:id="rId302">
        <w:r>
          <w:rPr>
            <w:rStyle w:val="Hyperlink"/>
          </w:rPr>
          <w:t xml:space="preserve">https://doi.org/10.1186/1471-2202-10-89</w:t>
        </w:r>
      </w:hyperlink>
    </w:p>
    <w:bookmarkEnd w:id="303"/>
    <w:bookmarkStart w:id="305" w:name="ref-nichols2019"/>
    <w:p>
      <w:pPr>
        <w:pStyle w:val="Bibliography"/>
      </w:pPr>
      <w:r>
        <w:t xml:space="preserve">Nichols, E. S., &amp; Joanisse, M. F. (2019). Individual differences predict</w:t>
      </w:r>
      <w:r>
        <w:t xml:space="preserve"> </w:t>
      </w:r>
      <w:r>
        <w:t xml:space="preserve">ERP</w:t>
      </w:r>
      <w:r>
        <w:t xml:space="preserve"> </w:t>
      </w:r>
      <w:r>
        <w:t xml:space="preserve">signatures of second language learning of novel grammatical rules.</w:t>
      </w:r>
      <w:r>
        <w:t xml:space="preserve"> </w:t>
      </w:r>
      <w:r>
        <w:rPr>
          <w:i/>
          <w:iCs/>
        </w:rPr>
        <w:t xml:space="preserve">Bilingualism: Language and Cognition</w:t>
      </w:r>
      <w:r>
        <w:t xml:space="preserve">,</w:t>
      </w:r>
      <w:r>
        <w:t xml:space="preserve"> </w:t>
      </w:r>
      <w:r>
        <w:rPr>
          <w:i/>
          <w:iCs/>
        </w:rPr>
        <w:t xml:space="preserve">22</w:t>
      </w:r>
      <w:r>
        <w:t xml:space="preserve">(1), 78–92.</w:t>
      </w:r>
      <w:r>
        <w:t xml:space="preserve"> </w:t>
      </w:r>
      <w:hyperlink r:id="rId304">
        <w:r>
          <w:rPr>
            <w:rStyle w:val="Hyperlink"/>
          </w:rPr>
          <w:t xml:space="preserve">https://doi.org/10.1017/S1366728917000566</w:t>
        </w:r>
      </w:hyperlink>
    </w:p>
    <w:bookmarkEnd w:id="305"/>
    <w:bookmarkStart w:id="307" w:name="ref-nichols2002"/>
    <w:p>
      <w:pPr>
        <w:pStyle w:val="Bibliography"/>
      </w:pPr>
      <w:r>
        <w:t xml:space="preserve">Nichols, T. E., &amp; Holmes, A. P. (2002). Nonparametric permutation tests for functional neuroimaging: A primer with examples.</w:t>
      </w:r>
      <w:r>
        <w:t xml:space="preserve"> </w:t>
      </w:r>
      <w:r>
        <w:rPr>
          <w:i/>
          <w:iCs/>
        </w:rPr>
        <w:t xml:space="preserve">Human Brain Mapping</w:t>
      </w:r>
      <w:r>
        <w:t xml:space="preserve">,</w:t>
      </w:r>
      <w:r>
        <w:t xml:space="preserve"> </w:t>
      </w:r>
      <w:r>
        <w:rPr>
          <w:i/>
          <w:iCs/>
        </w:rPr>
        <w:t xml:space="preserve">15</w:t>
      </w:r>
      <w:r>
        <w:t xml:space="preserve">(1), 1–25.</w:t>
      </w:r>
      <w:r>
        <w:t xml:space="preserve"> </w:t>
      </w:r>
      <w:hyperlink r:id="rId306">
        <w:r>
          <w:rPr>
            <w:rStyle w:val="Hyperlink"/>
          </w:rPr>
          <w:t xml:space="preserve">https://doi.org/10.1002/hbm.1058</w:t>
        </w:r>
      </w:hyperlink>
    </w:p>
    <w:bookmarkEnd w:id="307"/>
    <w:bookmarkStart w:id="309" w:name="ref-nieuwenhuis2011"/>
    <w:p>
      <w:pPr>
        <w:pStyle w:val="Bibliography"/>
      </w:pPr>
      <w:r>
        <w:t xml:space="preserve">Nieuwenhuis, S., Forstmann, B. U., &amp; Wagenmakers, E.-J. (2011). Erroneous analyses of interactions in neuroscience: A problem of significance.</w:t>
      </w:r>
      <w:r>
        <w:t xml:space="preserve"> </w:t>
      </w:r>
      <w:r>
        <w:rPr>
          <w:i/>
          <w:iCs/>
        </w:rPr>
        <w:t xml:space="preserve">Nature Neuroscience</w:t>
      </w:r>
      <w:r>
        <w:t xml:space="preserve">,</w:t>
      </w:r>
      <w:r>
        <w:t xml:space="preserve"> </w:t>
      </w:r>
      <w:r>
        <w:rPr>
          <w:i/>
          <w:iCs/>
        </w:rPr>
        <w:t xml:space="preserve">14</w:t>
      </w:r>
      <w:r>
        <w:t xml:space="preserve">(9), 1105–1107.</w:t>
      </w:r>
      <w:r>
        <w:t xml:space="preserve"> </w:t>
      </w:r>
      <w:hyperlink r:id="rId308">
        <w:r>
          <w:rPr>
            <w:rStyle w:val="Hyperlink"/>
          </w:rPr>
          <w:t xml:space="preserve">https://doi.org/10.1038/nn.2886</w:t>
        </w:r>
      </w:hyperlink>
    </w:p>
    <w:bookmarkEnd w:id="309"/>
    <w:bookmarkStart w:id="311" w:name="ref-nieuwland2013"/>
    <w:p>
      <w:pPr>
        <w:pStyle w:val="Bibliography"/>
      </w:pPr>
      <w:r>
        <w:t xml:space="preserve">Nieuwland, M. S., Martin, A. E., &amp; Carreiras, M. (2013). Event-related brain potential evidence for animacy processing asymmetries during sentence comprehension.</w:t>
      </w:r>
      <w:r>
        <w:t xml:space="preserve"> </w:t>
      </w:r>
      <w:r>
        <w:rPr>
          <w:i/>
          <w:iCs/>
        </w:rPr>
        <w:t xml:space="preserve">Brain and Language</w:t>
      </w:r>
      <w:r>
        <w:t xml:space="preserve">,</w:t>
      </w:r>
      <w:r>
        <w:t xml:space="preserve"> </w:t>
      </w:r>
      <w:r>
        <w:rPr>
          <w:i/>
          <w:iCs/>
        </w:rPr>
        <w:t xml:space="preserve">126</w:t>
      </w:r>
      <w:r>
        <w:t xml:space="preserve">(2), 151–158.</w:t>
      </w:r>
      <w:r>
        <w:t xml:space="preserve"> </w:t>
      </w:r>
      <w:hyperlink r:id="rId310">
        <w:r>
          <w:rPr>
            <w:rStyle w:val="Hyperlink"/>
          </w:rPr>
          <w:t xml:space="preserve">https://doi.org/10.1016/j.bandl.2013.04.005</w:t>
        </w:r>
      </w:hyperlink>
    </w:p>
    <w:bookmarkEnd w:id="311"/>
    <w:bookmarkStart w:id="313" w:name="ref-nosek2018"/>
    <w:p>
      <w:pPr>
        <w:pStyle w:val="Bibliography"/>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312">
        <w:r>
          <w:rPr>
            <w:rStyle w:val="Hyperlink"/>
          </w:rPr>
          <w:t xml:space="preserve">https://doi.org/10.1073/pnas.1708274114</w:t>
        </w:r>
      </w:hyperlink>
    </w:p>
    <w:bookmarkEnd w:id="313"/>
    <w:bookmarkStart w:id="315" w:name="ref-osterhout1992"/>
    <w:p>
      <w:pPr>
        <w:pStyle w:val="Bibliography"/>
      </w:pPr>
      <w:r>
        <w:t xml:space="preserve">Osterhout, L., &amp; Holcomb, P. J. (1992). Event-related brain potentials elicited by syntactic anomaly.</w:t>
      </w:r>
      <w:r>
        <w:t xml:space="preserve"> </w:t>
      </w:r>
      <w:r>
        <w:rPr>
          <w:i/>
          <w:iCs/>
        </w:rPr>
        <w:t xml:space="preserve">Journal of Memory and Language</w:t>
      </w:r>
      <w:r>
        <w:t xml:space="preserve">,</w:t>
      </w:r>
      <w:r>
        <w:t xml:space="preserve"> </w:t>
      </w:r>
      <w:r>
        <w:rPr>
          <w:i/>
          <w:iCs/>
        </w:rPr>
        <w:t xml:space="preserve">31</w:t>
      </w:r>
      <w:r>
        <w:t xml:space="preserve">(6), 785–806.</w:t>
      </w:r>
      <w:r>
        <w:t xml:space="preserve"> </w:t>
      </w:r>
      <w:hyperlink r:id="rId314">
        <w:r>
          <w:rPr>
            <w:rStyle w:val="Hyperlink"/>
          </w:rPr>
          <w:t xml:space="preserve">https://doi.org/10.1016/0749-596X(92)90039-Z</w:t>
        </w:r>
      </w:hyperlink>
    </w:p>
    <w:bookmarkEnd w:id="315"/>
    <w:bookmarkStart w:id="317" w:name="ref-osterhout2006"/>
    <w:p>
      <w:pPr>
        <w:pStyle w:val="Bibliography"/>
      </w:pPr>
      <w:r>
        <w:t xml:space="preserve">Osterhout, L., McLaughlin, J., Pitkänen, I., Frenck-Mestre, C., &amp; Molinaro, N. (2006). Novice learners, longitudinal designs, and event-related potentials: A means for exploring the neurocognition of second language processing.</w:t>
      </w:r>
      <w:r>
        <w:t xml:space="preserve"> </w:t>
      </w:r>
      <w:r>
        <w:rPr>
          <w:i/>
          <w:iCs/>
        </w:rPr>
        <w:t xml:space="preserve">Language Learning</w:t>
      </w:r>
      <w:r>
        <w:t xml:space="preserve">,</w:t>
      </w:r>
      <w:r>
        <w:t xml:space="preserve"> </w:t>
      </w:r>
      <w:r>
        <w:rPr>
          <w:i/>
          <w:iCs/>
        </w:rPr>
        <w:t xml:space="preserve">56</w:t>
      </w:r>
      <w:r>
        <w:t xml:space="preserve">(s1), 199–230.</w:t>
      </w:r>
      <w:r>
        <w:t xml:space="preserve"> </w:t>
      </w:r>
      <w:hyperlink r:id="rId316">
        <w:r>
          <w:rPr>
            <w:rStyle w:val="Hyperlink"/>
          </w:rPr>
          <w:t xml:space="preserve">https://doi.org/10.1111/j.1467-9922.2006.00361.x</w:t>
        </w:r>
      </w:hyperlink>
    </w:p>
    <w:bookmarkEnd w:id="317"/>
    <w:bookmarkStart w:id="319" w:name="ref-peelen2023"/>
    <w:p>
      <w:pPr>
        <w:pStyle w:val="Bibliography"/>
      </w:pPr>
      <w:r>
        <w:t xml:space="preserve">Peelen, M. V., &amp; Downing, P. E. (2023). Testing cognitive theories with multivariate pattern analysis of neuroimaging data.</w:t>
      </w:r>
      <w:r>
        <w:t xml:space="preserve"> </w:t>
      </w:r>
      <w:r>
        <w:rPr>
          <w:i/>
          <w:iCs/>
        </w:rPr>
        <w:t xml:space="preserve">Nature Human Behaviour</w:t>
      </w:r>
      <w:r>
        <w:t xml:space="preserve">,</w:t>
      </w:r>
      <w:r>
        <w:t xml:space="preserve"> </w:t>
      </w:r>
      <w:r>
        <w:rPr>
          <w:i/>
          <w:iCs/>
        </w:rPr>
        <w:t xml:space="preserve">7</w:t>
      </w:r>
      <w:r>
        <w:t xml:space="preserve">(9), 1430–1441.</w:t>
      </w:r>
      <w:r>
        <w:t xml:space="preserve"> </w:t>
      </w:r>
      <w:hyperlink r:id="rId318">
        <w:r>
          <w:rPr>
            <w:rStyle w:val="Hyperlink"/>
          </w:rPr>
          <w:t xml:space="preserve">https://doi.org/10.1038/s41562-023-01680-z</w:t>
        </w:r>
      </w:hyperlink>
    </w:p>
    <w:bookmarkEnd w:id="319"/>
    <w:bookmarkStart w:id="321" w:name="ref-pereirasoares2022"/>
    <w:p>
      <w:pPr>
        <w:pStyle w:val="Bibliography"/>
      </w:pPr>
      <w:r>
        <w:t xml:space="preserve">Pereira Soares, S. M., Kupisch, T., &amp; Rothman, J. (2022). Testing potential transfer effects in heritage and adult</w:t>
      </w:r>
      <w:r>
        <w:t xml:space="preserve"> </w:t>
      </w:r>
      <w:r>
        <w:t xml:space="preserve">L2</w:t>
      </w:r>
      <w:r>
        <w:t xml:space="preserve"> </w:t>
      </w:r>
      <w:r>
        <w:t xml:space="preserve">bilinguals acquiring a mini grammar as an additional language: An</w:t>
      </w:r>
      <w:r>
        <w:t xml:space="preserve"> </w:t>
      </w:r>
      <w:r>
        <w:t xml:space="preserve">ERP</w:t>
      </w:r>
      <w:r>
        <w:t xml:space="preserve"> </w:t>
      </w:r>
      <w:r>
        <w:t xml:space="preserve">approach.</w:t>
      </w:r>
      <w:r>
        <w:t xml:space="preserve"> </w:t>
      </w:r>
      <w:r>
        <w:rPr>
          <w:i/>
          <w:iCs/>
        </w:rPr>
        <w:t xml:space="preserve">Brain Sciences</w:t>
      </w:r>
      <w:r>
        <w:t xml:space="preserve">,</w:t>
      </w:r>
      <w:r>
        <w:t xml:space="preserve"> </w:t>
      </w:r>
      <w:r>
        <w:rPr>
          <w:i/>
          <w:iCs/>
        </w:rPr>
        <w:t xml:space="preserve">12</w:t>
      </w:r>
      <w:r>
        <w:t xml:space="preserve">(5), 669.</w:t>
      </w:r>
      <w:r>
        <w:t xml:space="preserve"> </w:t>
      </w:r>
      <w:hyperlink r:id="rId320">
        <w:r>
          <w:rPr>
            <w:rStyle w:val="Hyperlink"/>
          </w:rPr>
          <w:t xml:space="preserve">https://doi.org/10.3390/brainsci12050669</w:t>
        </w:r>
      </w:hyperlink>
    </w:p>
    <w:bookmarkEnd w:id="321"/>
    <w:bookmarkStart w:id="323" w:name="ref-phipson2010"/>
    <w:p>
      <w:pPr>
        <w:pStyle w:val="Bibliography"/>
      </w:pPr>
      <w:r>
        <w:t xml:space="preserve">Phipson, B., &amp; Smyth, G. K. (2010). Permutation</w:t>
      </w:r>
      <w:r>
        <w:t xml:space="preserve"> </w:t>
      </w:r>
      <w:r>
        <w:t xml:space="preserve">P</w:t>
      </w:r>
      <w:r>
        <w:t xml:space="preserve">-values should never be zero: Calculating exact</w:t>
      </w:r>
      <w:r>
        <w:t xml:space="preserve"> </w:t>
      </w:r>
      <w:r>
        <w:t xml:space="preserve">P</w:t>
      </w:r>
      <w:r>
        <w:t xml:space="preserve">-values when permutations are randomly drawn.</w:t>
      </w:r>
      <w:r>
        <w:t xml:space="preserve"> </w:t>
      </w:r>
      <w:r>
        <w:rPr>
          <w:i/>
          <w:iCs/>
        </w:rPr>
        <w:t xml:space="preserve">Statistical Applications in Genetics and Molecular Biology</w:t>
      </w:r>
      <w:r>
        <w:t xml:space="preserve">,</w:t>
      </w:r>
      <w:r>
        <w:t xml:space="preserve"> </w:t>
      </w:r>
      <w:r>
        <w:rPr>
          <w:i/>
          <w:iCs/>
        </w:rPr>
        <w:t xml:space="preserve">9</w:t>
      </w:r>
      <w:r>
        <w:t xml:space="preserve">(1), Article 39.</w:t>
      </w:r>
      <w:r>
        <w:t xml:space="preserve"> </w:t>
      </w:r>
      <w:hyperlink r:id="rId322">
        <w:r>
          <w:rPr>
            <w:rStyle w:val="Hyperlink"/>
          </w:rPr>
          <w:t xml:space="preserve">https://doi.org/10.2202/1544-6115.1585</w:t>
        </w:r>
      </w:hyperlink>
    </w:p>
    <w:bookmarkEnd w:id="323"/>
    <w:bookmarkStart w:id="325" w:name="ref-puigmayenco2025"/>
    <w:p>
      <w:pPr>
        <w:pStyle w:val="Bibliography"/>
      </w:pPr>
      <w:r>
        <w:t xml:space="preserve">Puig-Mayenco, E. (2025). Moving beyond the initial stages in</w:t>
      </w:r>
      <w:r>
        <w:t xml:space="preserve"> </w:t>
      </w:r>
      <w:r>
        <w:t xml:space="preserve">L3/Ln</w:t>
      </w:r>
      <w:r>
        <w:t xml:space="preserve"> </w:t>
      </w:r>
      <w:r>
        <w:t xml:space="preserve">research: Toward theorising</w:t>
      </w:r>
      <w:r>
        <w:t xml:space="preserve"> </w:t>
      </w:r>
      <w:r>
        <w:t xml:space="preserve">L3</w:t>
      </w:r>
      <w:r>
        <w:t xml:space="preserve"> </w:t>
      </w:r>
      <w:r>
        <w:t xml:space="preserve">development.</w:t>
      </w:r>
      <w:r>
        <w:t xml:space="preserve"> </w:t>
      </w:r>
      <w:r>
        <w:rPr>
          <w:i/>
          <w:iCs/>
        </w:rPr>
        <w:t xml:space="preserve">International Journal of Multilingualism</w:t>
      </w:r>
      <w:r>
        <w:t xml:space="preserve">,</w:t>
      </w:r>
      <w:r>
        <w:t xml:space="preserve"> </w:t>
      </w:r>
      <w:r>
        <w:rPr>
          <w:i/>
          <w:iCs/>
        </w:rPr>
        <w:t xml:space="preserve">22</w:t>
      </w:r>
      <w:r>
        <w:t xml:space="preserve">(1), 1–12.</w:t>
      </w:r>
      <w:r>
        <w:t xml:space="preserve"> </w:t>
      </w:r>
      <w:hyperlink r:id="rId324">
        <w:r>
          <w:rPr>
            <w:rStyle w:val="Hyperlink"/>
          </w:rPr>
          <w:t xml:space="preserve">https://doi.org/10.1080/14790718.2024.2418013</w:t>
        </w:r>
      </w:hyperlink>
    </w:p>
    <w:bookmarkEnd w:id="325"/>
    <w:bookmarkStart w:id="327" w:name="ref-puigmayenco2020"/>
    <w:p>
      <w:pPr>
        <w:pStyle w:val="Bibliography"/>
      </w:pPr>
      <w:r>
        <w:t xml:space="preserve">Puig-Mayenco, E., González Alonso, J., &amp; Rothman, J. (2020). A systematic review of transfer studies in third language acquisition.</w:t>
      </w:r>
      <w:r>
        <w:t xml:space="preserve"> </w:t>
      </w:r>
      <w:r>
        <w:rPr>
          <w:i/>
          <w:iCs/>
        </w:rPr>
        <w:t xml:space="preserve">Second Language Research</w:t>
      </w:r>
      <w:r>
        <w:t xml:space="preserve">,</w:t>
      </w:r>
      <w:r>
        <w:t xml:space="preserve"> </w:t>
      </w:r>
      <w:r>
        <w:rPr>
          <w:i/>
          <w:iCs/>
        </w:rPr>
        <w:t xml:space="preserve">36</w:t>
      </w:r>
      <w:r>
        <w:t xml:space="preserve">(1), 31–64.</w:t>
      </w:r>
      <w:r>
        <w:t xml:space="preserve"> </w:t>
      </w:r>
      <w:hyperlink r:id="rId326">
        <w:r>
          <w:rPr>
            <w:rStyle w:val="Hyperlink"/>
          </w:rPr>
          <w:t xml:space="preserve">https://doi.org/10.1177/0267658318809147</w:t>
        </w:r>
      </w:hyperlink>
    </w:p>
    <w:bookmarkEnd w:id="327"/>
    <w:bookmarkStart w:id="329" w:name="ref-rcoreteam"/>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328">
        <w:r>
          <w:rPr>
            <w:rStyle w:val="Hyperlink"/>
          </w:rPr>
          <w:t xml:space="preserve">https://www.R-project.org/</w:t>
        </w:r>
      </w:hyperlink>
    </w:p>
    <w:bookmarkEnd w:id="329"/>
    <w:bookmarkStart w:id="331" w:name="ref-ritchie2019"/>
    <w:p>
      <w:pPr>
        <w:pStyle w:val="Bibliography"/>
      </w:pPr>
      <w:r>
        <w:t xml:space="preserve">Ritchie, J. B., Kaplan, D. M., &amp; Klein, C. (2019). Decoding the brain: Neural representation and the limits of multivariate pattern analysis in cognitive neuroscience.</w:t>
      </w:r>
      <w:r>
        <w:t xml:space="preserve"> </w:t>
      </w:r>
      <w:r>
        <w:rPr>
          <w:i/>
          <w:iCs/>
        </w:rPr>
        <w:t xml:space="preserve">The British Journal for the Philosophy of Science</w:t>
      </w:r>
      <w:r>
        <w:t xml:space="preserve">,</w:t>
      </w:r>
      <w:r>
        <w:t xml:space="preserve"> </w:t>
      </w:r>
      <w:r>
        <w:rPr>
          <w:i/>
          <w:iCs/>
        </w:rPr>
        <w:t xml:space="preserve">70</w:t>
      </w:r>
      <w:r>
        <w:t xml:space="preserve">(2), 581–607.</w:t>
      </w:r>
      <w:r>
        <w:t xml:space="preserve"> </w:t>
      </w:r>
      <w:hyperlink r:id="rId330">
        <w:r>
          <w:rPr>
            <w:rStyle w:val="Hyperlink"/>
          </w:rPr>
          <w:t xml:space="preserve">https://doi.org/10.1093/bjps/axx023</w:t>
        </w:r>
      </w:hyperlink>
    </w:p>
    <w:bookmarkEnd w:id="331"/>
    <w:bookmarkStart w:id="333" w:name="ref-rothman2011"/>
    <w:p>
      <w:pPr>
        <w:pStyle w:val="Bibliography"/>
      </w:pPr>
      <w:r>
        <w:t xml:space="preserve">Rothman, J. (2011).</w:t>
      </w:r>
      <w:r>
        <w:t xml:space="preserve"> </w:t>
      </w:r>
      <w:r>
        <w:t xml:space="preserve">L3</w:t>
      </w:r>
      <w:r>
        <w:t xml:space="preserve"> </w:t>
      </w:r>
      <w:r>
        <w:t xml:space="preserve">syntactic transfer selectivity and typological determinacy: The typological primacy model.</w:t>
      </w:r>
      <w:r>
        <w:t xml:space="preserve"> </w:t>
      </w:r>
      <w:r>
        <w:rPr>
          <w:i/>
          <w:iCs/>
        </w:rPr>
        <w:t xml:space="preserve">Second Language Research</w:t>
      </w:r>
      <w:r>
        <w:t xml:space="preserve">,</w:t>
      </w:r>
      <w:r>
        <w:t xml:space="preserve"> </w:t>
      </w:r>
      <w:r>
        <w:rPr>
          <w:i/>
          <w:iCs/>
        </w:rPr>
        <w:t xml:space="preserve">27</w:t>
      </w:r>
      <w:r>
        <w:t xml:space="preserve">(1), 107–127.</w:t>
      </w:r>
      <w:r>
        <w:t xml:space="preserve"> </w:t>
      </w:r>
      <w:hyperlink r:id="rId332">
        <w:r>
          <w:rPr>
            <w:rStyle w:val="Hyperlink"/>
          </w:rPr>
          <w:t xml:space="preserve">https://doi.org/10.1177/0267658310386439</w:t>
        </w:r>
      </w:hyperlink>
    </w:p>
    <w:bookmarkEnd w:id="333"/>
    <w:bookmarkStart w:id="335" w:name="ref-rothman2015"/>
    <w:p>
      <w:pPr>
        <w:pStyle w:val="Bibliography"/>
      </w:pPr>
      <w:r>
        <w:t xml:space="preserve">Rothman, J. (2015). Linguistic and cognitive motivations for the</w:t>
      </w:r>
      <w:r>
        <w:t xml:space="preserve"> </w:t>
      </w:r>
      <w:r>
        <w:t xml:space="preserve">Typological Primacy Model</w:t>
      </w:r>
      <w:r>
        <w:t xml:space="preserve"> </w:t>
      </w:r>
      <w:r>
        <w:t xml:space="preserve">(</w:t>
      </w:r>
      <w:r>
        <w:t xml:space="preserve">TPM</w:t>
      </w:r>
      <w:r>
        <w:t xml:space="preserve">) of third language (</w:t>
      </w:r>
      <w:r>
        <w:t xml:space="preserve">L3</w:t>
      </w:r>
      <w:r>
        <w:t xml:space="preserve">) transfer: Timing of acquisition and proficiency considered.</w:t>
      </w:r>
      <w:r>
        <w:t xml:space="preserve"> </w:t>
      </w:r>
      <w:r>
        <w:rPr>
          <w:i/>
          <w:iCs/>
        </w:rPr>
        <w:t xml:space="preserve">Bilingualism: Language and Cognition</w:t>
      </w:r>
      <w:r>
        <w:t xml:space="preserve">,</w:t>
      </w:r>
      <w:r>
        <w:t xml:space="preserve"> </w:t>
      </w:r>
      <w:r>
        <w:rPr>
          <w:i/>
          <w:iCs/>
        </w:rPr>
        <w:t xml:space="preserve">18</w:t>
      </w:r>
      <w:r>
        <w:t xml:space="preserve">(2), 179–190.</w:t>
      </w:r>
      <w:r>
        <w:t xml:space="preserve"> </w:t>
      </w:r>
      <w:hyperlink r:id="rId334">
        <w:r>
          <w:rPr>
            <w:rStyle w:val="Hyperlink"/>
          </w:rPr>
          <w:t xml:space="preserve">https://doi.org/10.1017/S136672891300059X</w:t>
        </w:r>
      </w:hyperlink>
    </w:p>
    <w:bookmarkEnd w:id="335"/>
    <w:bookmarkStart w:id="337" w:name="ref-rothmanalemanbanon2015"/>
    <w:p>
      <w:pPr>
        <w:pStyle w:val="Bibliography"/>
      </w:pPr>
      <w:r>
        <w:t xml:space="preserve">Rothman, J., Alemán Bañón, J., &amp; González Alonso, J. (2015). Neurolinguistic measures of typological effects in multilingual transfer: Introducing an</w:t>
      </w:r>
      <w:r>
        <w:t xml:space="preserve"> </w:t>
      </w:r>
      <w:r>
        <w:t xml:space="preserve">ERP</w:t>
      </w:r>
      <w:r>
        <w:t xml:space="preserve"> </w:t>
      </w:r>
      <w:r>
        <w:t xml:space="preserve">methodology.</w:t>
      </w:r>
      <w:r>
        <w:t xml:space="preserve"> </w:t>
      </w:r>
      <w:r>
        <w:rPr>
          <w:i/>
          <w:iCs/>
        </w:rPr>
        <w:t xml:space="preserve">Frontiers in Psychology</w:t>
      </w:r>
      <w:r>
        <w:t xml:space="preserve">,</w:t>
      </w:r>
      <w:r>
        <w:t xml:space="preserve"> </w:t>
      </w:r>
      <w:r>
        <w:rPr>
          <w:i/>
          <w:iCs/>
        </w:rPr>
        <w:t xml:space="preserve">6</w:t>
      </w:r>
      <w:r>
        <w:t xml:space="preserve">, 1087.</w:t>
      </w:r>
      <w:r>
        <w:t xml:space="preserve"> </w:t>
      </w:r>
      <w:hyperlink r:id="rId336">
        <w:r>
          <w:rPr>
            <w:rStyle w:val="Hyperlink"/>
          </w:rPr>
          <w:t xml:space="preserve">https://doi.org/10.3389/fpsyg.2015.01087</w:t>
        </w:r>
      </w:hyperlink>
    </w:p>
    <w:bookmarkEnd w:id="337"/>
    <w:bookmarkStart w:id="339" w:name="ref-rothman2019"/>
    <w:p>
      <w:pPr>
        <w:pStyle w:val="Bibliography"/>
      </w:pPr>
      <w:r>
        <w:t xml:space="preserve">Rothman, J., González Alonso, J., &amp; Puig-Mayenco, E. (2019).</w:t>
      </w:r>
      <w:r>
        <w:t xml:space="preserve"> </w:t>
      </w:r>
      <w:r>
        <w:rPr>
          <w:i/>
          <w:iCs/>
        </w:rPr>
        <w:t xml:space="preserve">Third language acquisition and linguistic transfer</w:t>
      </w:r>
      <w:r>
        <w:t xml:space="preserve">. Cambridge University Press.</w:t>
      </w:r>
      <w:r>
        <w:t xml:space="preserve"> </w:t>
      </w:r>
      <w:hyperlink r:id="rId338">
        <w:r>
          <w:rPr>
            <w:rStyle w:val="Hyperlink"/>
          </w:rPr>
          <w:t xml:space="preserve">https://doi.org/10.1017/9781316014660</w:t>
        </w:r>
      </w:hyperlink>
    </w:p>
    <w:bookmarkEnd w:id="339"/>
    <w:bookmarkStart w:id="341" w:name="ref-rubin2021"/>
    <w:p>
      <w:pPr>
        <w:pStyle w:val="Bibliography"/>
      </w:pPr>
      <w:r>
        <w:t xml:space="preserve">Rubin, M. (2021). When to adjust alpha during multiple testing: A consideration of disjunction, conjunction, and individual testing.</w:t>
      </w:r>
      <w:r>
        <w:t xml:space="preserve"> </w:t>
      </w:r>
      <w:r>
        <w:rPr>
          <w:i/>
          <w:iCs/>
        </w:rPr>
        <w:t xml:space="preserve">Synthese</w:t>
      </w:r>
      <w:r>
        <w:t xml:space="preserve">,</w:t>
      </w:r>
      <w:r>
        <w:t xml:space="preserve"> </w:t>
      </w:r>
      <w:r>
        <w:rPr>
          <w:i/>
          <w:iCs/>
        </w:rPr>
        <w:t xml:space="preserve">199</w:t>
      </w:r>
      <w:r>
        <w:t xml:space="preserve">(3-4), 10969–11000.</w:t>
      </w:r>
      <w:r>
        <w:t xml:space="preserve"> </w:t>
      </w:r>
      <w:hyperlink r:id="rId340">
        <w:r>
          <w:rPr>
            <w:rStyle w:val="Hyperlink"/>
          </w:rPr>
          <w:t xml:space="preserve">https://doi.org/10.1007/s11229-021-03276-4</w:t>
        </w:r>
      </w:hyperlink>
    </w:p>
    <w:bookmarkEnd w:id="341"/>
    <w:bookmarkStart w:id="343" w:name="ref-sassenhagen2019cluster"/>
    <w:p>
      <w:pPr>
        <w:pStyle w:val="Bibliography"/>
      </w:pPr>
      <w:r>
        <w:t xml:space="preserve">Sassenhagen, J., &amp; Draschkow, D. (2019). Cluster-based permutation tests of</w:t>
      </w:r>
      <w:r>
        <w:t xml:space="preserve"> </w:t>
      </w:r>
      <w:r>
        <w:t xml:space="preserve">MEG</w:t>
      </w:r>
      <w:r>
        <w:t xml:space="preserve">/</w:t>
      </w:r>
      <w:r>
        <w:t xml:space="preserve">EEG</w:t>
      </w:r>
      <w:r>
        <w:t xml:space="preserve"> </w:t>
      </w:r>
      <w:r>
        <w:t xml:space="preserve">data do not establish significance of effect latency or location.</w:t>
      </w:r>
      <w:r>
        <w:t xml:space="preserve"> </w:t>
      </w:r>
      <w:r>
        <w:rPr>
          <w:i/>
          <w:iCs/>
        </w:rPr>
        <w:t xml:space="preserve">Psychophysiology</w:t>
      </w:r>
      <w:r>
        <w:t xml:space="preserve">,</w:t>
      </w:r>
      <w:r>
        <w:t xml:space="preserve"> </w:t>
      </w:r>
      <w:r>
        <w:rPr>
          <w:i/>
          <w:iCs/>
        </w:rPr>
        <w:t xml:space="preserve">56</w:t>
      </w:r>
      <w:r>
        <w:t xml:space="preserve">(6), e13335.</w:t>
      </w:r>
      <w:r>
        <w:t xml:space="preserve"> </w:t>
      </w:r>
      <w:hyperlink r:id="rId342">
        <w:r>
          <w:rPr>
            <w:rStyle w:val="Hyperlink"/>
          </w:rPr>
          <w:t xml:space="preserve">https://doi.org/10.1111/psyp.13335</w:t>
        </w:r>
      </w:hyperlink>
    </w:p>
    <w:bookmarkEnd w:id="343"/>
    <w:bookmarkStart w:id="345" w:name="ref-sassenhagen2019"/>
    <w:p>
      <w:pPr>
        <w:pStyle w:val="Bibliography"/>
      </w:pPr>
      <w:r>
        <w:t xml:space="preserve">Sassenhagen, J., &amp; Fiebach, C. J. (2019). Finding the</w:t>
      </w:r>
      <w:r>
        <w:t xml:space="preserve"> </w:t>
      </w:r>
      <w:r>
        <w:t xml:space="preserve">P3</w:t>
      </w:r>
      <w:r>
        <w:t xml:space="preserve"> </w:t>
      </w:r>
      <w:r>
        <w:t xml:space="preserve">in the</w:t>
      </w:r>
      <w:r>
        <w:t xml:space="preserve"> </w:t>
      </w:r>
      <w:r>
        <w:t xml:space="preserve">P600</w:t>
      </w:r>
      <w:r>
        <w:t xml:space="preserve">: Decoding shared neural mechanisms of responses to syntactic violations and oddball targets.</w:t>
      </w:r>
      <w:r>
        <w:t xml:space="preserve"> </w:t>
      </w:r>
      <w:r>
        <w:rPr>
          <w:i/>
          <w:iCs/>
        </w:rPr>
        <w:t xml:space="preserve">NeuroImage</w:t>
      </w:r>
      <w:r>
        <w:t xml:space="preserve">,</w:t>
      </w:r>
      <w:r>
        <w:t xml:space="preserve"> </w:t>
      </w:r>
      <w:r>
        <w:rPr>
          <w:i/>
          <w:iCs/>
        </w:rPr>
        <w:t xml:space="preserve">200</w:t>
      </w:r>
      <w:r>
        <w:t xml:space="preserve">, 425–436.</w:t>
      </w:r>
      <w:r>
        <w:t xml:space="preserve"> </w:t>
      </w:r>
      <w:hyperlink r:id="rId344">
        <w:r>
          <w:rPr>
            <w:rStyle w:val="Hyperlink"/>
          </w:rPr>
          <w:t xml:space="preserve">https://doi.org/10.1016/j.neuroimage.2019.06.048</w:t>
        </w:r>
      </w:hyperlink>
    </w:p>
    <w:bookmarkEnd w:id="345"/>
    <w:bookmarkStart w:id="347" w:name="ref-schad2021"/>
    <w:p>
      <w:pPr>
        <w:pStyle w:val="Bibliography"/>
      </w:pPr>
      <w:r>
        <w:t xml:space="preserve">Schad, D. J., Betancourt, M., &amp; Vasishth, S. (2021). Toward a principled</w:t>
      </w:r>
      <w:r>
        <w:t xml:space="preserve"> </w:t>
      </w:r>
      <w:r>
        <w:t xml:space="preserve">Bayesian</w:t>
      </w:r>
      <w:r>
        <w:t xml:space="preserve"> </w:t>
      </w:r>
      <w:r>
        <w:t xml:space="preserve">workflow in cognitive science.</w:t>
      </w:r>
      <w:r>
        <w:t xml:space="preserve"> </w:t>
      </w:r>
      <w:r>
        <w:rPr>
          <w:i/>
          <w:iCs/>
        </w:rPr>
        <w:t xml:space="preserve">Psychological Methods</w:t>
      </w:r>
      <w:r>
        <w:t xml:space="preserve">,</w:t>
      </w:r>
      <w:r>
        <w:t xml:space="preserve"> </w:t>
      </w:r>
      <w:r>
        <w:rPr>
          <w:i/>
          <w:iCs/>
        </w:rPr>
        <w:t xml:space="preserve">26</w:t>
      </w:r>
      <w:r>
        <w:t xml:space="preserve">(1), 103–126.</w:t>
      </w:r>
      <w:r>
        <w:t xml:space="preserve"> </w:t>
      </w:r>
      <w:hyperlink r:id="rId346">
        <w:r>
          <w:rPr>
            <w:rStyle w:val="Hyperlink"/>
          </w:rPr>
          <w:t xml:space="preserve">https://doi.org/10.1037/met0000275</w:t>
        </w:r>
      </w:hyperlink>
    </w:p>
    <w:bookmarkEnd w:id="347"/>
    <w:bookmarkStart w:id="349" w:name="ref-schielzeth2010"/>
    <w:p>
      <w:pPr>
        <w:pStyle w:val="Bibliography"/>
      </w:pPr>
      <w:r>
        <w:t xml:space="preserve">Schielzeth, H. (2010). Simple means to improve the interpretability of regression coefficients.</w:t>
      </w:r>
      <w:r>
        <w:t xml:space="preserve"> </w:t>
      </w:r>
      <w:r>
        <w:rPr>
          <w:i/>
          <w:iCs/>
        </w:rPr>
        <w:t xml:space="preserve">Methods in Ecology and Evolution</w:t>
      </w:r>
      <w:r>
        <w:t xml:space="preserve">,</w:t>
      </w:r>
      <w:r>
        <w:t xml:space="preserve"> </w:t>
      </w:r>
      <w:r>
        <w:rPr>
          <w:i/>
          <w:iCs/>
        </w:rPr>
        <w:t xml:space="preserve">1</w:t>
      </w:r>
      <w:r>
        <w:t xml:space="preserve">(2), 103–113.</w:t>
      </w:r>
      <w:r>
        <w:t xml:space="preserve"> </w:t>
      </w:r>
      <w:hyperlink r:id="rId348">
        <w:r>
          <w:rPr>
            <w:rStyle w:val="Hyperlink"/>
          </w:rPr>
          <w:t xml:space="preserve">https://doi.org/10.1111/j.2041-210X.2010.00012.x</w:t>
        </w:r>
      </w:hyperlink>
    </w:p>
    <w:bookmarkEnd w:id="349"/>
    <w:bookmarkStart w:id="351" w:name="ref-schwartzsprouse2021"/>
    <w:p>
      <w:pPr>
        <w:pStyle w:val="Bibliography"/>
      </w:pPr>
      <w:r>
        <w:t xml:space="preserve">Schwartz, B. D., &amp; Sprouse, R. A. (2021). The</w:t>
      </w:r>
      <w:r>
        <w:t xml:space="preserve"> </w:t>
      </w:r>
      <w:r>
        <w:t xml:space="preserve">Full Transfer/Full Access</w:t>
      </w:r>
      <w:r>
        <w:t xml:space="preserve"> </w:t>
      </w:r>
      <w:r>
        <w:t xml:space="preserve">model and</w:t>
      </w:r>
      <w:r>
        <w:t xml:space="preserve"> </w:t>
      </w:r>
      <w:r>
        <w:t xml:space="preserve">L3</w:t>
      </w:r>
      <w:r>
        <w:t xml:space="preserve"> </w:t>
      </w:r>
      <w:r>
        <w:t xml:space="preserve">cognitive states.</w:t>
      </w:r>
      <w:r>
        <w:t xml:space="preserve"> </w:t>
      </w:r>
      <w:r>
        <w:rPr>
          <w:i/>
          <w:iCs/>
        </w:rPr>
        <w:t xml:space="preserve">Linguistic Approaches to Bilingualism</w:t>
      </w:r>
      <w:r>
        <w:t xml:space="preserve">,</w:t>
      </w:r>
      <w:r>
        <w:t xml:space="preserve"> </w:t>
      </w:r>
      <w:r>
        <w:rPr>
          <w:i/>
          <w:iCs/>
        </w:rPr>
        <w:t xml:space="preserve">11</w:t>
      </w:r>
      <w:r>
        <w:t xml:space="preserve">(1), 1–29.</w:t>
      </w:r>
      <w:r>
        <w:t xml:space="preserve"> </w:t>
      </w:r>
      <w:hyperlink r:id="rId350">
        <w:r>
          <w:rPr>
            <w:rStyle w:val="Hyperlink"/>
          </w:rPr>
          <w:t xml:space="preserve">https://doi.org/10.1075/lab.20055.sch</w:t>
        </w:r>
      </w:hyperlink>
    </w:p>
    <w:bookmarkEnd w:id="351"/>
    <w:bookmarkStart w:id="353" w:name="ref-scott2010"/>
    <w:p>
      <w:pPr>
        <w:pStyle w:val="Bibliography"/>
      </w:pPr>
      <w:r>
        <w:t xml:space="preserve">Scott, R. B., &amp; Dienes, Z. (2010). Fluency does not express implicit knowledge of artificial grammars.</w:t>
      </w:r>
      <w:r>
        <w:t xml:space="preserve"> </w:t>
      </w:r>
      <w:r>
        <w:rPr>
          <w:i/>
          <w:iCs/>
        </w:rPr>
        <w:t xml:space="preserve">Cognition</w:t>
      </w:r>
      <w:r>
        <w:t xml:space="preserve">,</w:t>
      </w:r>
      <w:r>
        <w:t xml:space="preserve"> </w:t>
      </w:r>
      <w:r>
        <w:rPr>
          <w:i/>
          <w:iCs/>
        </w:rPr>
        <w:t xml:space="preserve">114</w:t>
      </w:r>
      <w:r>
        <w:t xml:space="preserve">(3), 372–388.</w:t>
      </w:r>
      <w:r>
        <w:t xml:space="preserve"> </w:t>
      </w:r>
      <w:hyperlink r:id="rId352">
        <w:r>
          <w:rPr>
            <w:rStyle w:val="Hyperlink"/>
          </w:rPr>
          <w:t xml:space="preserve">https://doi.org/10.1016/j.cognition.2009.10.010</w:t>
        </w:r>
      </w:hyperlink>
    </w:p>
    <w:bookmarkEnd w:id="353"/>
    <w:bookmarkStart w:id="355" w:name="ref-silva2017"/>
    <w:p>
      <w:pPr>
        <w:pStyle w:val="Bibliography"/>
      </w:pPr>
      <w:r>
        <w:t xml:space="preserve">Silva, S., Folia, V., Hagoort, P., &amp; Petersson, K. M. (2017). The</w:t>
      </w:r>
      <w:r>
        <w:t xml:space="preserve"> </w:t>
      </w:r>
      <w:r>
        <w:t xml:space="preserve">P600</w:t>
      </w:r>
      <w:r>
        <w:t xml:space="preserve"> </w:t>
      </w:r>
      <w:r>
        <w:t xml:space="preserve">in implicit artificial grammar learning.</w:t>
      </w:r>
      <w:r>
        <w:t xml:space="preserve"> </w:t>
      </w:r>
      <w:r>
        <w:rPr>
          <w:i/>
          <w:iCs/>
        </w:rPr>
        <w:t xml:space="preserve">Cognitive Science</w:t>
      </w:r>
      <w:r>
        <w:t xml:space="preserve">,</w:t>
      </w:r>
      <w:r>
        <w:t xml:space="preserve"> </w:t>
      </w:r>
      <w:r>
        <w:rPr>
          <w:i/>
          <w:iCs/>
        </w:rPr>
        <w:t xml:space="preserve">41</w:t>
      </w:r>
      <w:r>
        <w:t xml:space="preserve">(1), 137–157.</w:t>
      </w:r>
      <w:r>
        <w:t xml:space="preserve"> </w:t>
      </w:r>
      <w:hyperlink r:id="rId354">
        <w:r>
          <w:rPr>
            <w:rStyle w:val="Hyperlink"/>
          </w:rPr>
          <w:t xml:space="preserve">https://doi.org/10.1111/cogs.12343</w:t>
        </w:r>
      </w:hyperlink>
    </w:p>
    <w:bookmarkEnd w:id="355"/>
    <w:bookmarkStart w:id="357" w:name="ref-skalba2026"/>
    <w:p>
      <w:pPr>
        <w:pStyle w:val="Bibliography"/>
      </w:pPr>
      <w:r>
        <w:t xml:space="preserve">Skałba, A., Żychliński, S., &amp; Wrembel, M. (2026). Selective cross-linguistic influence in</w:t>
      </w:r>
      <w:r>
        <w:t xml:space="preserve"> </w:t>
      </w:r>
      <w:r>
        <w:t xml:space="preserve">L3</w:t>
      </w:r>
      <w:r>
        <w:t xml:space="preserve"> </w:t>
      </w:r>
      <w:r>
        <w:t xml:space="preserve">acquisition ab initio: An eye-tracking study.</w:t>
      </w:r>
      <w:r>
        <w:t xml:space="preserve"> </w:t>
      </w:r>
      <w:r>
        <w:rPr>
          <w:i/>
          <w:iCs/>
        </w:rPr>
        <w:t xml:space="preserve">Second Language Research</w:t>
      </w:r>
      <w:r>
        <w:t xml:space="preserve">. Advance online publication.</w:t>
      </w:r>
      <w:r>
        <w:t xml:space="preserve"> </w:t>
      </w:r>
      <w:hyperlink r:id="rId356">
        <w:r>
          <w:rPr>
            <w:rStyle w:val="Hyperlink"/>
          </w:rPr>
          <w:t xml:space="preserve">https://doi.org/10.1177/02676583261426778</w:t>
        </w:r>
      </w:hyperlink>
    </w:p>
    <w:bookmarkEnd w:id="357"/>
    <w:bookmarkStart w:id="359" w:name="ref-slabakova2017"/>
    <w:p>
      <w:pPr>
        <w:pStyle w:val="Bibliography"/>
      </w:pPr>
      <w:r>
        <w:t xml:space="preserve">Slabakova, R. (2017). The scalpel model of third language acquisition.</w:t>
      </w:r>
      <w:r>
        <w:t xml:space="preserve"> </w:t>
      </w:r>
      <w:r>
        <w:rPr>
          <w:i/>
          <w:iCs/>
        </w:rPr>
        <w:t xml:space="preserve">International Journal of Bilingualism</w:t>
      </w:r>
      <w:r>
        <w:t xml:space="preserve">,</w:t>
      </w:r>
      <w:r>
        <w:t xml:space="preserve"> </w:t>
      </w:r>
      <w:r>
        <w:rPr>
          <w:i/>
          <w:iCs/>
        </w:rPr>
        <w:t xml:space="preserve">21</w:t>
      </w:r>
      <w:r>
        <w:t xml:space="preserve">(6), 651–665.</w:t>
      </w:r>
      <w:r>
        <w:t xml:space="preserve"> </w:t>
      </w:r>
      <w:hyperlink r:id="rId358">
        <w:r>
          <w:rPr>
            <w:rStyle w:val="Hyperlink"/>
          </w:rPr>
          <w:t xml:space="preserve">https://doi.org/10.1177/1367006916655413</w:t>
        </w:r>
      </w:hyperlink>
    </w:p>
    <w:bookmarkEnd w:id="359"/>
    <w:bookmarkStart w:id="361" w:name="ref-tanner2013"/>
    <w:p>
      <w:pPr>
        <w:pStyle w:val="Bibliography"/>
      </w:pPr>
      <w:r>
        <w:t xml:space="preserve">Tanner, D., McLaughlin, J., Herschensohn, J., &amp; Osterhout, L. (2013). Individual differences reveal stages of</w:t>
      </w:r>
      <w:r>
        <w:t xml:space="preserve"> </w:t>
      </w:r>
      <w:r>
        <w:t xml:space="preserve">L2</w:t>
      </w:r>
      <w:r>
        <w:t xml:space="preserve"> </w:t>
      </w:r>
      <w:r>
        <w:t xml:space="preserve">grammatical acquisition:</w:t>
      </w:r>
      <w:r>
        <w:t xml:space="preserve"> </w:t>
      </w:r>
      <w:r>
        <w:t xml:space="preserve">ERP</w:t>
      </w:r>
      <w:r>
        <w:t xml:space="preserve"> </w:t>
      </w:r>
      <w:r>
        <w:t xml:space="preserve">evidence.</w:t>
      </w:r>
      <w:r>
        <w:t xml:space="preserve"> </w:t>
      </w:r>
      <w:r>
        <w:rPr>
          <w:i/>
          <w:iCs/>
        </w:rPr>
        <w:t xml:space="preserve">Bilingualism: Language and Cognition</w:t>
      </w:r>
      <w:r>
        <w:t xml:space="preserve">,</w:t>
      </w:r>
      <w:r>
        <w:t xml:space="preserve"> </w:t>
      </w:r>
      <w:r>
        <w:rPr>
          <w:i/>
          <w:iCs/>
        </w:rPr>
        <w:t xml:space="preserve">16</w:t>
      </w:r>
      <w:r>
        <w:t xml:space="preserve">(2), 367–382.</w:t>
      </w:r>
      <w:r>
        <w:t xml:space="preserve"> </w:t>
      </w:r>
      <w:hyperlink r:id="rId360">
        <w:r>
          <w:rPr>
            <w:rStyle w:val="Hyperlink"/>
          </w:rPr>
          <w:t xml:space="preserve">https://doi.org/10.1017/S1366728912000302</w:t>
        </w:r>
      </w:hyperlink>
    </w:p>
    <w:bookmarkEnd w:id="361"/>
    <w:bookmarkStart w:id="363" w:name="ref-tanner2015"/>
    <w:p>
      <w:pPr>
        <w:pStyle w:val="Bibliography"/>
      </w:pPr>
      <w:r>
        <w:t xml:space="preserve">Tanner, D., Morgan-Short, K., &amp; Luck, S. J. (2015). How inappropriate high-pass filters can produce artifactual effects and incorrect conclusions in</w:t>
      </w:r>
      <w:r>
        <w:t xml:space="preserve"> </w:t>
      </w:r>
      <w:r>
        <w:t xml:space="preserve">ERP</w:t>
      </w:r>
      <w:r>
        <w:t xml:space="preserve"> </w:t>
      </w:r>
      <w:r>
        <w:t xml:space="preserve">studies of language and cognition.</w:t>
      </w:r>
      <w:r>
        <w:t xml:space="preserve"> </w:t>
      </w:r>
      <w:r>
        <w:rPr>
          <w:i/>
          <w:iCs/>
        </w:rPr>
        <w:t xml:space="preserve">Psychophysiology</w:t>
      </w:r>
      <w:r>
        <w:t xml:space="preserve">,</w:t>
      </w:r>
      <w:r>
        <w:t xml:space="preserve"> </w:t>
      </w:r>
      <w:r>
        <w:rPr>
          <w:i/>
          <w:iCs/>
        </w:rPr>
        <w:t xml:space="preserve">52</w:t>
      </w:r>
      <w:r>
        <w:t xml:space="preserve">(8), 997–1009.</w:t>
      </w:r>
      <w:r>
        <w:t xml:space="preserve"> </w:t>
      </w:r>
      <w:hyperlink r:id="rId362">
        <w:r>
          <w:rPr>
            <w:rStyle w:val="Hyperlink"/>
          </w:rPr>
          <w:t xml:space="preserve">https://doi.org/10.1111/psyp.12437</w:t>
        </w:r>
      </w:hyperlink>
    </w:p>
    <w:bookmarkEnd w:id="363"/>
    <w:bookmarkStart w:id="365" w:name="ref-tanner2014"/>
    <w:p>
      <w:pPr>
        <w:pStyle w:val="Bibliography"/>
      </w:pPr>
      <w:r>
        <w:t xml:space="preserve">Tanner, D., &amp; Van Hell, J. G. (2014).</w:t>
      </w:r>
      <w:r>
        <w:t xml:space="preserve"> </w:t>
      </w:r>
      <w:r>
        <w:t xml:space="preserve">ERPs</w:t>
      </w:r>
      <w:r>
        <w:t xml:space="preserve"> </w:t>
      </w:r>
      <w:r>
        <w:t xml:space="preserve">reveal individual differences in morphosyntactic processing.</w:t>
      </w:r>
      <w:r>
        <w:t xml:space="preserve"> </w:t>
      </w:r>
      <w:r>
        <w:rPr>
          <w:i/>
          <w:iCs/>
        </w:rPr>
        <w:t xml:space="preserve">Neuropsychologia</w:t>
      </w:r>
      <w:r>
        <w:t xml:space="preserve">,</w:t>
      </w:r>
      <w:r>
        <w:t xml:space="preserve"> </w:t>
      </w:r>
      <w:r>
        <w:rPr>
          <w:i/>
          <w:iCs/>
        </w:rPr>
        <w:t xml:space="preserve">56</w:t>
      </w:r>
      <w:r>
        <w:t xml:space="preserve">, 289–301.</w:t>
      </w:r>
      <w:r>
        <w:t xml:space="preserve"> </w:t>
      </w:r>
      <w:hyperlink r:id="rId364">
        <w:r>
          <w:rPr>
            <w:rStyle w:val="Hyperlink"/>
          </w:rPr>
          <w:t xml:space="preserve">https://doi.org/10.1016/j.neuropsychologia.2014.02.002</w:t>
        </w:r>
      </w:hyperlink>
    </w:p>
    <w:bookmarkEnd w:id="365"/>
    <w:bookmarkStart w:id="367" w:name="ref-teichmann2022"/>
    <w:p>
      <w:pPr>
        <w:pStyle w:val="Bibliography"/>
      </w:pPr>
      <w:r>
        <w:t xml:space="preserve">Teichmann, L. (2022). An empirically driven guide on using</w:t>
      </w:r>
      <w:r>
        <w:t xml:space="preserve"> </w:t>
      </w:r>
      <w:r>
        <w:t xml:space="preserve">Bayes</w:t>
      </w:r>
      <w:r>
        <w:t xml:space="preserve"> </w:t>
      </w:r>
      <w:r>
        <w:t xml:space="preserve">factors for</w:t>
      </w:r>
      <w:r>
        <w:t xml:space="preserve"> </w:t>
      </w:r>
      <w:r>
        <w:t xml:space="preserve">M/EEG</w:t>
      </w:r>
      <w:r>
        <w:t xml:space="preserve"> </w:t>
      </w:r>
      <w:r>
        <w:t xml:space="preserve">decoding.</w:t>
      </w:r>
      <w:r>
        <w:t xml:space="preserve"> </w:t>
      </w:r>
      <w:r>
        <w:rPr>
          <w:i/>
          <w:iCs/>
        </w:rPr>
        <w:t xml:space="preserve">Aperture Neuro</w:t>
      </w:r>
      <w:r>
        <w:t xml:space="preserve">,</w:t>
      </w:r>
      <w:r>
        <w:t xml:space="preserve"> </w:t>
      </w:r>
      <w:r>
        <w:rPr>
          <w:i/>
          <w:iCs/>
        </w:rPr>
        <w:t xml:space="preserve">2</w:t>
      </w:r>
      <w:r>
        <w:t xml:space="preserve">, 1–10.</w:t>
      </w:r>
      <w:r>
        <w:t xml:space="preserve"> </w:t>
      </w:r>
      <w:hyperlink r:id="rId366">
        <w:r>
          <w:rPr>
            <w:rStyle w:val="Hyperlink"/>
          </w:rPr>
          <w:t xml:space="preserve">https://doi.org/10.52294/apertureneuro.2022.2.maoc6465</w:t>
        </w:r>
      </w:hyperlink>
    </w:p>
    <w:bookmarkEnd w:id="367"/>
    <w:bookmarkStart w:id="369" w:name="ref-topolinski2009"/>
    <w:p>
      <w:pPr>
        <w:pStyle w:val="Bibliography"/>
      </w:pPr>
      <w:r>
        <w:t xml:space="preserve">Topolinski, S., &amp; Strack, F. (2009). The architecture of intuition: Fluency and affect determine intuitive judgments of semantic and visual coherence and judgments of grammaticality in artificial grammar learning.</w:t>
      </w:r>
      <w:r>
        <w:t xml:space="preserve"> </w:t>
      </w:r>
      <w:r>
        <w:rPr>
          <w:i/>
          <w:iCs/>
        </w:rPr>
        <w:t xml:space="preserve">Journal of Experimental Psychology: General</w:t>
      </w:r>
      <w:r>
        <w:t xml:space="preserve">,</w:t>
      </w:r>
      <w:r>
        <w:t xml:space="preserve"> </w:t>
      </w:r>
      <w:r>
        <w:rPr>
          <w:i/>
          <w:iCs/>
        </w:rPr>
        <w:t xml:space="preserve">138</w:t>
      </w:r>
      <w:r>
        <w:t xml:space="preserve">(1), 39–63.</w:t>
      </w:r>
      <w:r>
        <w:t xml:space="preserve"> </w:t>
      </w:r>
      <w:hyperlink r:id="rId368">
        <w:r>
          <w:rPr>
            <w:rStyle w:val="Hyperlink"/>
          </w:rPr>
          <w:t xml:space="preserve">https://doi.org/10.1037/a0014678</w:t>
        </w:r>
      </w:hyperlink>
    </w:p>
    <w:bookmarkEnd w:id="369"/>
    <w:bookmarkStart w:id="371" w:name="ref-vandeschoot2021"/>
    <w:p>
      <w:pPr>
        <w:pStyle w:val="Bibliography"/>
      </w:pPr>
      <w:r>
        <w:t xml:space="preserve">van de Schoot, R., Depaoli, S., King, R., Kramer, B., Märtens, K., Tadesse, M. G., Vannucci, M., Gelman, A., Veen, D., Willemsen, J., &amp; Yau, C. (2021).</w:t>
      </w:r>
      <w:r>
        <w:t xml:space="preserve"> </w:t>
      </w:r>
      <w:r>
        <w:t xml:space="preserve">Bayesian</w:t>
      </w:r>
      <w:r>
        <w:t xml:space="preserve"> </w:t>
      </w:r>
      <w:r>
        <w:t xml:space="preserve">statistics and modelling.</w:t>
      </w:r>
      <w:r>
        <w:t xml:space="preserve"> </w:t>
      </w:r>
      <w:r>
        <w:rPr>
          <w:i/>
          <w:iCs/>
        </w:rPr>
        <w:t xml:space="preserve">Nature Reviews Methods Primers</w:t>
      </w:r>
      <w:r>
        <w:t xml:space="preserve">,</w:t>
      </w:r>
      <w:r>
        <w:t xml:space="preserve"> </w:t>
      </w:r>
      <w:r>
        <w:rPr>
          <w:i/>
          <w:iCs/>
        </w:rPr>
        <w:t xml:space="preserve">1</w:t>
      </w:r>
      <w:r>
        <w:t xml:space="preserve">(1), 1.</w:t>
      </w:r>
      <w:r>
        <w:t xml:space="preserve"> </w:t>
      </w:r>
      <w:hyperlink r:id="rId370">
        <w:r>
          <w:rPr>
            <w:rStyle w:val="Hyperlink"/>
          </w:rPr>
          <w:t xml:space="preserve">https://doi.org/10.1038/s43586-020-00001-2</w:t>
        </w:r>
      </w:hyperlink>
    </w:p>
    <w:bookmarkEnd w:id="371"/>
    <w:bookmarkStart w:id="373" w:name="ref-varoquaux2018"/>
    <w:p>
      <w:pPr>
        <w:pStyle w:val="Bibliography"/>
      </w:pPr>
      <w:r>
        <w:t xml:space="preserve">Varoquaux, G. (2018). Cross-validation failure: Small sample sizes lead to large error bars.</w:t>
      </w:r>
      <w:r>
        <w:t xml:space="preserve"> </w:t>
      </w:r>
      <w:r>
        <w:rPr>
          <w:i/>
          <w:iCs/>
        </w:rPr>
        <w:t xml:space="preserve">NeuroImage</w:t>
      </w:r>
      <w:r>
        <w:t xml:space="preserve">,</w:t>
      </w:r>
      <w:r>
        <w:t xml:space="preserve"> </w:t>
      </w:r>
      <w:r>
        <w:rPr>
          <w:i/>
          <w:iCs/>
        </w:rPr>
        <w:t xml:space="preserve">180</w:t>
      </w:r>
      <w:r>
        <w:t xml:space="preserve">, 68–77.</w:t>
      </w:r>
      <w:r>
        <w:t xml:space="preserve"> </w:t>
      </w:r>
      <w:hyperlink r:id="rId372">
        <w:r>
          <w:rPr>
            <w:rStyle w:val="Hyperlink"/>
          </w:rPr>
          <w:t xml:space="preserve">https://doi.org/10.1016/j.neuroimage.2017.06.061</w:t>
        </w:r>
      </w:hyperlink>
    </w:p>
    <w:bookmarkEnd w:id="373"/>
    <w:bookmarkStart w:id="375" w:name="ref-varoquaux2017"/>
    <w:p>
      <w:pPr>
        <w:pStyle w:val="Bibliography"/>
      </w:pPr>
      <w:r>
        <w:t xml:space="preserve">Varoquaux, G., Raamana, P. R., Engemann, D. A., Hoyos-Idrobo, A., Schwartz, Y., &amp; Thirion, B. (2017). Assessing and tuning brain decoders: Cross-validation, caveats, and guidelines.</w:t>
      </w:r>
      <w:r>
        <w:t xml:space="preserve"> </w:t>
      </w:r>
      <w:r>
        <w:rPr>
          <w:i/>
          <w:iCs/>
        </w:rPr>
        <w:t xml:space="preserve">NeuroImage</w:t>
      </w:r>
      <w:r>
        <w:t xml:space="preserve">,</w:t>
      </w:r>
      <w:r>
        <w:t xml:space="preserve"> </w:t>
      </w:r>
      <w:r>
        <w:rPr>
          <w:i/>
          <w:iCs/>
        </w:rPr>
        <w:t xml:space="preserve">145</w:t>
      </w:r>
      <w:r>
        <w:t xml:space="preserve">, 166–179.</w:t>
      </w:r>
      <w:r>
        <w:t xml:space="preserve"> </w:t>
      </w:r>
      <w:hyperlink r:id="rId374">
        <w:r>
          <w:rPr>
            <w:rStyle w:val="Hyperlink"/>
          </w:rPr>
          <w:t xml:space="preserve">https://doi.org/10.1016/j.neuroimage.2016.10.038</w:t>
        </w:r>
      </w:hyperlink>
    </w:p>
    <w:bookmarkEnd w:id="375"/>
    <w:bookmarkStart w:id="377" w:name="ref-vasishth2018"/>
    <w:p>
      <w:pPr>
        <w:pStyle w:val="Bibliography"/>
      </w:pPr>
      <w:r>
        <w:t xml:space="preserve">Vasishth, S., Mertzen, D., Jäger, L. A., &amp; Gelman, A. (2018). The statistical significance filter leads to overoptimistic expectations of replicability.</w:t>
      </w:r>
      <w:r>
        <w:t xml:space="preserve"> </w:t>
      </w:r>
      <w:r>
        <w:rPr>
          <w:i/>
          <w:iCs/>
        </w:rPr>
        <w:t xml:space="preserve">Journal of Memory and Language</w:t>
      </w:r>
      <w:r>
        <w:t xml:space="preserve">,</w:t>
      </w:r>
      <w:r>
        <w:t xml:space="preserve"> </w:t>
      </w:r>
      <w:r>
        <w:rPr>
          <w:i/>
          <w:iCs/>
        </w:rPr>
        <w:t xml:space="preserve">103</w:t>
      </w:r>
      <w:r>
        <w:t xml:space="preserve">, 151–175.</w:t>
      </w:r>
      <w:r>
        <w:t xml:space="preserve"> </w:t>
      </w:r>
      <w:hyperlink r:id="rId376">
        <w:r>
          <w:rPr>
            <w:rStyle w:val="Hyperlink"/>
          </w:rPr>
          <w:t xml:space="preserve">https://doi.org/10.1016/j.jml.2018.07.004</w:t>
        </w:r>
      </w:hyperlink>
    </w:p>
    <w:bookmarkEnd w:id="377"/>
    <w:bookmarkStart w:id="379" w:name="ref-vehtari2021"/>
    <w:p>
      <w:pPr>
        <w:pStyle w:val="Bibliography"/>
      </w:pPr>
      <w:r>
        <w:t xml:space="preserve">Vehtari, A., Gelman, A., Simpson, D., Carpenter, B., &amp; Bürkner, P.-C. (2021). Rank-normalization, folding, and localization: An improved</w:t>
      </w:r>
      <w:r>
        <w:t xml:space="preserve"> </w:t>
      </w:r>
      <m:oMath>
        <m:acc>
          <m:accPr>
            <m:chr m:val="̂"/>
          </m:accPr>
          <m:e>
            <m:r>
              <m:t>R</m:t>
            </m:r>
          </m:e>
        </m:acc>
      </m:oMath>
      <w:r>
        <w:t xml:space="preserve"> </w:t>
      </w:r>
      <w:r>
        <w:t xml:space="preserve">for assessing convergence of</w:t>
      </w:r>
      <w:r>
        <w:t xml:space="preserve"> </w:t>
      </w:r>
      <w:r>
        <w:t xml:space="preserve">MCMC</w:t>
      </w:r>
      <w:r>
        <w:t xml:space="preserve"> </w:t>
      </w:r>
      <w:r>
        <w:t xml:space="preserve">(with discussion).</w:t>
      </w:r>
      <w:r>
        <w:t xml:space="preserve"> </w:t>
      </w:r>
      <w:r>
        <w:rPr>
          <w:i/>
          <w:iCs/>
        </w:rPr>
        <w:t xml:space="preserve">Bayesian Analysis</w:t>
      </w:r>
      <w:r>
        <w:t xml:space="preserve">,</w:t>
      </w:r>
      <w:r>
        <w:t xml:space="preserve"> </w:t>
      </w:r>
      <w:r>
        <w:rPr>
          <w:i/>
          <w:iCs/>
        </w:rPr>
        <w:t xml:space="preserve">16</w:t>
      </w:r>
      <w:r>
        <w:t xml:space="preserve">(2), 667–718.</w:t>
      </w:r>
      <w:r>
        <w:t xml:space="preserve"> </w:t>
      </w:r>
      <w:hyperlink r:id="rId378">
        <w:r>
          <w:rPr>
            <w:rStyle w:val="Hyperlink"/>
          </w:rPr>
          <w:t xml:space="preserve">https://doi.org/10.1214/20-BA1221</w:t>
        </w:r>
      </w:hyperlink>
    </w:p>
    <w:bookmarkEnd w:id="379"/>
    <w:bookmarkStart w:id="381" w:name="ref-volpertesmond2021"/>
    <w:p>
      <w:pPr>
        <w:pStyle w:val="Bibliography"/>
      </w:pPr>
      <w:r>
        <w:t xml:space="preserve">Volpert-Esmond, H. I., Page-Gould, E., &amp; Bartholow, B. D. (2021). Using multilevel models for the analysis of event-related potentials.</w:t>
      </w:r>
      <w:r>
        <w:t xml:space="preserve"> </w:t>
      </w:r>
      <w:r>
        <w:rPr>
          <w:i/>
          <w:iCs/>
        </w:rPr>
        <w:t xml:space="preserve">International Journal of Psychophysiology</w:t>
      </w:r>
      <w:r>
        <w:t xml:space="preserve">,</w:t>
      </w:r>
      <w:r>
        <w:t xml:space="preserve"> </w:t>
      </w:r>
      <w:r>
        <w:rPr>
          <w:i/>
          <w:iCs/>
        </w:rPr>
        <w:t xml:space="preserve">162</w:t>
      </w:r>
      <w:r>
        <w:t xml:space="preserve">, 145–156.</w:t>
      </w:r>
      <w:r>
        <w:t xml:space="preserve"> </w:t>
      </w:r>
      <w:hyperlink r:id="rId380">
        <w:r>
          <w:rPr>
            <w:rStyle w:val="Hyperlink"/>
          </w:rPr>
          <w:t xml:space="preserve">https://doi.org/10.1016/j.ijpsycho.2021.02.006</w:t>
        </w:r>
      </w:hyperlink>
    </w:p>
    <w:bookmarkEnd w:id="381"/>
    <w:bookmarkStart w:id="383" w:name="ref-wagenmakers2012"/>
    <w:p>
      <w:pPr>
        <w:pStyle w:val="Bibliography"/>
      </w:pPr>
      <w:r>
        <w:t xml:space="preserve">Wagenmakers, E.-J., Wetzels, R., Borsboom, D., van der Maas, H. L. J., &amp; Kievit, R. A. (2012). An agenda for purely confirmatory research.</w:t>
      </w:r>
      <w:r>
        <w:t xml:space="preserve"> </w:t>
      </w:r>
      <w:r>
        <w:rPr>
          <w:i/>
          <w:iCs/>
        </w:rPr>
        <w:t xml:space="preserve">Perspectives on Psychological Science</w:t>
      </w:r>
      <w:r>
        <w:t xml:space="preserve">,</w:t>
      </w:r>
      <w:r>
        <w:t xml:space="preserve"> </w:t>
      </w:r>
      <w:r>
        <w:rPr>
          <w:i/>
          <w:iCs/>
        </w:rPr>
        <w:t xml:space="preserve">7</w:t>
      </w:r>
      <w:r>
        <w:t xml:space="preserve">(6), 632–638.</w:t>
      </w:r>
      <w:r>
        <w:t xml:space="preserve"> </w:t>
      </w:r>
      <w:hyperlink r:id="rId382">
        <w:r>
          <w:rPr>
            <w:rStyle w:val="Hyperlink"/>
          </w:rPr>
          <w:t xml:space="preserve">https://doi.org/10.1177/1745691612463078</w:t>
        </w:r>
      </w:hyperlink>
    </w:p>
    <w:bookmarkEnd w:id="383"/>
    <w:bookmarkStart w:id="385" w:name="ref-wang2024"/>
    <w:p>
      <w:pPr>
        <w:pStyle w:val="Bibliography"/>
      </w:pPr>
      <w:r>
        <w:t xml:space="preserve">Wang, L., &amp; Kuperberg, G. R. (2024). Better together: Integrating multivariate with univariate methods, and</w:t>
      </w:r>
      <w:r>
        <w:t xml:space="preserve"> </w:t>
      </w:r>
      <w:r>
        <w:t xml:space="preserve">MEG</w:t>
      </w:r>
      <w:r>
        <w:t xml:space="preserve"> </w:t>
      </w:r>
      <w:r>
        <w:t xml:space="preserve">with</w:t>
      </w:r>
      <w:r>
        <w:t xml:space="preserve"> </w:t>
      </w:r>
      <w:r>
        <w:t xml:space="preserve">EEG</w:t>
      </w:r>
      <w:r>
        <w:t xml:space="preserve"> </w:t>
      </w:r>
      <w:r>
        <w:t xml:space="preserve">to study language comprehension.</w:t>
      </w:r>
      <w:r>
        <w:t xml:space="preserve"> </w:t>
      </w:r>
      <w:r>
        <w:rPr>
          <w:i/>
          <w:iCs/>
        </w:rPr>
        <w:t xml:space="preserve">Language, Cognition and Neuroscience</w:t>
      </w:r>
      <w:r>
        <w:t xml:space="preserve">,</w:t>
      </w:r>
      <w:r>
        <w:t xml:space="preserve"> </w:t>
      </w:r>
      <w:r>
        <w:rPr>
          <w:i/>
          <w:iCs/>
        </w:rPr>
        <w:t xml:space="preserve">39</w:t>
      </w:r>
      <w:r>
        <w:t xml:space="preserve">(8), 991–1019.</w:t>
      </w:r>
      <w:r>
        <w:t xml:space="preserve"> </w:t>
      </w:r>
      <w:hyperlink r:id="rId384">
        <w:r>
          <w:rPr>
            <w:rStyle w:val="Hyperlink"/>
          </w:rPr>
          <w:t xml:space="preserve">https://doi.org/10.1080/23273798.2023.2223783</w:t>
        </w:r>
      </w:hyperlink>
    </w:p>
    <w:bookmarkEnd w:id="385"/>
    <w:bookmarkStart w:id="387" w:name="ref-westergaard2021"/>
    <w:p>
      <w:pPr>
        <w:pStyle w:val="Bibliography"/>
      </w:pPr>
      <w:r>
        <w:t xml:space="preserve">Westergaard, M. (2021). Microvariation in multilingual situations: The importance of property-by-property acquisition.</w:t>
      </w:r>
      <w:r>
        <w:t xml:space="preserve"> </w:t>
      </w:r>
      <w:r>
        <w:rPr>
          <w:i/>
          <w:iCs/>
        </w:rPr>
        <w:t xml:space="preserve">Second Language Research</w:t>
      </w:r>
      <w:r>
        <w:t xml:space="preserve">,</w:t>
      </w:r>
      <w:r>
        <w:t xml:space="preserve"> </w:t>
      </w:r>
      <w:r>
        <w:rPr>
          <w:i/>
          <w:iCs/>
        </w:rPr>
        <w:t xml:space="preserve">37</w:t>
      </w:r>
      <w:r>
        <w:t xml:space="preserve">(3), 379–407.</w:t>
      </w:r>
      <w:r>
        <w:t xml:space="preserve"> </w:t>
      </w:r>
      <w:hyperlink r:id="rId386">
        <w:r>
          <w:rPr>
            <w:rStyle w:val="Hyperlink"/>
          </w:rPr>
          <w:t xml:space="preserve">https://doi.org/10.1177/0267658319884116</w:t>
        </w:r>
      </w:hyperlink>
    </w:p>
    <w:bookmarkEnd w:id="387"/>
    <w:bookmarkStart w:id="389" w:name="ref-westergaard2017"/>
    <w:p>
      <w:pPr>
        <w:pStyle w:val="Bibliography"/>
      </w:pPr>
      <w:r>
        <w:t xml:space="preserve">Westergaard, M., Mitrofanova, N., Mykhaylyk, R., &amp; Rodina, Y. (2017). Crosslinguistic influence in the acquisition of a third language: The</w:t>
      </w:r>
      <w:r>
        <w:t xml:space="preserve"> </w:t>
      </w:r>
      <w:r>
        <w:t xml:space="preserve">Linguistic Proximity Model</w:t>
      </w:r>
      <w:r>
        <w:t xml:space="preserve">.</w:t>
      </w:r>
      <w:r>
        <w:t xml:space="preserve"> </w:t>
      </w:r>
      <w:r>
        <w:rPr>
          <w:i/>
          <w:iCs/>
        </w:rPr>
        <w:t xml:space="preserve">International Journal of Bilingualism</w:t>
      </w:r>
      <w:r>
        <w:t xml:space="preserve">,</w:t>
      </w:r>
      <w:r>
        <w:t xml:space="preserve"> </w:t>
      </w:r>
      <w:r>
        <w:rPr>
          <w:i/>
          <w:iCs/>
        </w:rPr>
        <w:t xml:space="preserve">21</w:t>
      </w:r>
      <w:r>
        <w:t xml:space="preserve">(6), 666–682.</w:t>
      </w:r>
      <w:r>
        <w:t xml:space="preserve"> </w:t>
      </w:r>
      <w:hyperlink r:id="rId388">
        <w:r>
          <w:rPr>
            <w:rStyle w:val="Hyperlink"/>
          </w:rPr>
          <w:t xml:space="preserve">https://doi.org/10.1177/1367006916648859</w:t>
        </w:r>
      </w:hyperlink>
    </w:p>
    <w:bookmarkEnd w:id="389"/>
    <w:bookmarkStart w:id="391" w:name="ref-westergaard2023"/>
    <w:p>
      <w:pPr>
        <w:pStyle w:val="Bibliography"/>
      </w:pPr>
      <w:r>
        <w:t xml:space="preserve">Westergaard, M., Mitrofanova, N., Rodina, Y., &amp; Slabakova, R. (2023). Full transfer potential in</w:t>
      </w:r>
      <w:r>
        <w:t xml:space="preserve"> </w:t>
      </w:r>
      <w:r>
        <w:t xml:space="preserve">L3/Ln</w:t>
      </w:r>
      <w:r>
        <w:t xml:space="preserve"> </w:t>
      </w:r>
      <w:r>
        <w:t xml:space="preserve">acquisition: Crosslinguistic influence as a property-by-property process. In</w:t>
      </w:r>
      <w:r>
        <w:t xml:space="preserve"> </w:t>
      </w:r>
      <w:r>
        <w:rPr>
          <w:i/>
          <w:iCs/>
        </w:rPr>
        <w:t xml:space="preserve">The cambridge handbook of third language acquisition</w:t>
      </w:r>
      <w:r>
        <w:t xml:space="preserve"> </w:t>
      </w:r>
      <w:r>
        <w:t xml:space="preserve">(pp. 219–242). Cambridge University Press.</w:t>
      </w:r>
      <w:r>
        <w:t xml:space="preserve"> </w:t>
      </w:r>
      <w:hyperlink r:id="rId390">
        <w:r>
          <w:rPr>
            <w:rStyle w:val="Hyperlink"/>
          </w:rPr>
          <w:t xml:space="preserve">https://doi.org/10.1017/9781108957823.010</w:t>
        </w:r>
      </w:hyperlink>
    </w:p>
    <w:bookmarkEnd w:id="391"/>
    <w:bookmarkStart w:id="393" w:name="ref-wickham2016"/>
    <w:p>
      <w:pPr>
        <w:pStyle w:val="Bibliography"/>
      </w:pPr>
      <w:r>
        <w:t xml:space="preserve">Wickham, H. (2016).</w:t>
      </w:r>
      <w:r>
        <w:t xml:space="preserve"> </w:t>
      </w:r>
      <w:r>
        <w:rPr>
          <w:i/>
          <w:iCs/>
        </w:rPr>
        <w:t xml:space="preserve">ggplot2</w:t>
      </w:r>
      <w:r>
        <w:rPr>
          <w:i/>
          <w:iCs/>
        </w:rPr>
        <w:t xml:space="preserve">: Elegant graphics for data analysis</w:t>
      </w:r>
      <w:r>
        <w:t xml:space="preserve">. Springer International Publishing.</w:t>
      </w:r>
      <w:r>
        <w:t xml:space="preserve"> </w:t>
      </w:r>
      <w:hyperlink r:id="rId392">
        <w:r>
          <w:rPr>
            <w:rStyle w:val="Hyperlink"/>
          </w:rPr>
          <w:t xml:space="preserve">https://doi.org/10.1007/978-3-319-24277-4</w:t>
        </w:r>
      </w:hyperlink>
    </w:p>
    <w:bookmarkEnd w:id="393"/>
    <w:bookmarkStart w:id="395" w:name="ref-widmann2015"/>
    <w:p>
      <w:pPr>
        <w:pStyle w:val="Bibliography"/>
      </w:pPr>
      <w:r>
        <w:t xml:space="preserve">Widmann, A., Schröger, E., &amp; Maess, B. (2015). Digital filter design for electrophysiological data – a practical approach.</w:t>
      </w:r>
      <w:r>
        <w:t xml:space="preserve"> </w:t>
      </w:r>
      <w:r>
        <w:rPr>
          <w:i/>
          <w:iCs/>
        </w:rPr>
        <w:t xml:space="preserve">Journal of Neuroscience Methods</w:t>
      </w:r>
      <w:r>
        <w:t xml:space="preserve">,</w:t>
      </w:r>
      <w:r>
        <w:t xml:space="preserve"> </w:t>
      </w:r>
      <w:r>
        <w:rPr>
          <w:i/>
          <w:iCs/>
        </w:rPr>
        <w:t xml:space="preserve">250</w:t>
      </w:r>
      <w:r>
        <w:t xml:space="preserve">, 34–46.</w:t>
      </w:r>
      <w:r>
        <w:t xml:space="preserve"> </w:t>
      </w:r>
      <w:hyperlink r:id="rId394">
        <w:r>
          <w:rPr>
            <w:rStyle w:val="Hyperlink"/>
          </w:rPr>
          <w:t xml:space="preserve">https://doi.org/10.1016/j.jneumeth.2014.08.002</w:t>
        </w:r>
      </w:hyperlink>
    </w:p>
    <w:bookmarkEnd w:id="395"/>
    <w:bookmarkStart w:id="397" w:name="ref-zhao2025"/>
    <w:p>
      <w:pPr>
        <w:pStyle w:val="Bibliography"/>
      </w:pPr>
      <w:r>
        <w:t xml:space="preserve">Zhao, J., Gao, R., &amp; Brennan, J. R. (2025). Decoding the neural dynamics of headed syntactic structure building.</w:t>
      </w:r>
      <w:r>
        <w:t xml:space="preserve"> </w:t>
      </w:r>
      <w:r>
        <w:rPr>
          <w:i/>
          <w:iCs/>
        </w:rPr>
        <w:t xml:space="preserve">The Journal of Neuroscience</w:t>
      </w:r>
      <w:r>
        <w:t xml:space="preserve">,</w:t>
      </w:r>
      <w:r>
        <w:t xml:space="preserve"> </w:t>
      </w:r>
      <w:r>
        <w:rPr>
          <w:i/>
          <w:iCs/>
        </w:rPr>
        <w:t xml:space="preserve">45</w:t>
      </w:r>
      <w:r>
        <w:t xml:space="preserve">(17), e2126242025.</w:t>
      </w:r>
      <w:r>
        <w:t xml:space="preserve"> </w:t>
      </w:r>
      <w:hyperlink r:id="rId396">
        <w:r>
          <w:rPr>
            <w:rStyle w:val="Hyperlink"/>
          </w:rPr>
          <w:t xml:space="preserve">https://doi.org/10.1523/JNEUROSCI.2126-24.2025</w:t>
        </w:r>
      </w:hyperlink>
    </w:p>
    <w:bookmarkEnd w:id="397"/>
    <w:bookmarkEnd w:id="398"/>
    <w:p>
      <w:pPr>
        <w:pStyle w:val="Heading1"/>
      </w:pPr>
      <w:r>
        <w:t xml:space="preserve">Appendix A</w:t>
      </w:r>
    </w:p>
    <w:bookmarkStart w:id="407" w:name="apx-analytic-decisions-in-detail"/>
    <w:p>
      <w:pPr>
        <w:pStyle w:val="Heading1"/>
      </w:pPr>
      <w:r>
        <w:t xml:space="preserve">Analytic decisions in detail</w:t>
      </w:r>
    </w:p>
    <w:p>
      <w:pPr>
        <w:pStyle w:val="FirstParagraph"/>
      </w:pPr>
      <w:r>
        <w:t xml:space="preserve">This appendix sets out the reasoning behind three analytic choices that the Method states</w:t>
      </w:r>
      <w:r>
        <w:t xml:space="preserve"> </w:t>
      </w:r>
      <w:r>
        <w:t xml:space="preserve">but does not argue in full: the retention of the by-item grammaticality slope in the ERP</w:t>
      </w:r>
      <w:r>
        <w:t xml:space="preserve"> </w:t>
      </w:r>
      <w:r>
        <w:t xml:space="preserve">models, the treatment of the recordings filtered at 1 Hz and of the mislabelled exports, and</w:t>
      </w:r>
      <w:r>
        <w:t xml:space="preserve"> </w:t>
      </w:r>
      <w:r>
        <w:t xml:space="preserve">the definition of the false-discovery-rate correction family for the decoding analyses. It</w:t>
      </w:r>
      <w:r>
        <w:t xml:space="preserve"> </w:t>
      </w:r>
      <w:r>
        <w:t xml:space="preserve">also reports a check on the trials that the segmentation’s trigger rule discards.</w:t>
      </w:r>
    </w:p>
    <w:bookmarkStart w:id="399" w:name="the-by-item-grammaticality-slope"/>
    <w:p>
      <w:pPr>
        <w:pStyle w:val="Heading2"/>
      </w:pPr>
      <w:r>
        <w:t xml:space="preserve">The by-item grammaticality slope</w:t>
      </w:r>
    </w:p>
    <w:p>
      <w:pPr>
        <w:pStyle w:val="FirstParagraph"/>
      </w:pPr>
      <w:r>
        <w:t xml:space="preserve">The reason for keeping the by-item grammaticality slope is that dropping it would bias the</w:t>
      </w:r>
      <w:r>
        <w:t xml:space="preserve"> </w:t>
      </w:r>
      <w:r>
        <w:t xml:space="preserve">test in the direction of the hypothesis.</w:t>
      </w:r>
      <w:r>
        <w:t xml:space="preserve"> </w:t>
      </w:r>
      <w:r>
        <w:t xml:space="preserve">Barr et al. (</w:t>
      </w:r>
      <w:hyperlink w:anchor="ref-barr2013">
        <w:r>
          <w:rPr>
            <w:rStyle w:val="Hyperlink"/>
          </w:rPr>
          <w:t xml:space="preserve">2013</w:t>
        </w:r>
      </w:hyperlink>
      <w:r>
        <w:t xml:space="preserve">)</w:t>
      </w:r>
      <w:r>
        <w:t xml:space="preserve"> </w:t>
      </w:r>
      <w:r>
        <w:t xml:space="preserve">show that omitting random-effect</w:t>
      </w:r>
      <w:r>
        <w:t xml:space="preserve"> </w:t>
      </w:r>
      <w:r>
        <w:t xml:space="preserve">structure that is present in the population inflates the Type I error rate. They add that,</w:t>
      </w:r>
      <w:r>
        <w:t xml:space="preserve"> </w:t>
      </w:r>
      <w:r>
        <w:t xml:space="preserve">for within-items manipulations specifically, an intercept-only by-item structure can inflate</w:t>
      </w:r>
      <w:r>
        <w:t xml:space="preserve"> </w:t>
      </w:r>
      <w:r>
        <w:t xml:space="preserve">it severely, whatever method is used to obtain</w:t>
      </w:r>
      <w:r>
        <w:t xml:space="preserve"> </w:t>
      </w:r>
      <m:oMath>
        <m:r>
          <m:t>p</m:t>
        </m:r>
      </m:oMath>
      <w:r>
        <w:t xml:space="preserve">-values or intervals. Grammaticality is a</w:t>
      </w:r>
      <w:r>
        <w:t xml:space="preserve"> </w:t>
      </w:r>
      <w:r>
        <w:t xml:space="preserve">within-item manipulation here, so an item term carrying only an intercept and a session</w:t>
      </w:r>
      <w:r>
        <w:t xml:space="preserve"> </w:t>
      </w:r>
      <w:r>
        <w:t xml:space="preserve">slope is exactly that case for the effect under test.</w:t>
      </w:r>
    </w:p>
    <w:p>
      <w:pPr>
        <w:pStyle w:val="BodyText"/>
      </w:pPr>
      <w:r>
        <w:t xml:space="preserve">Matuschek et al. (</w:t>
      </w:r>
      <w:hyperlink w:anchor="ref-matuschek2017">
        <w:r>
          <w:rPr>
            <w:rStyle w:val="Hyperlink"/>
          </w:rPr>
          <w:t xml:space="preserve">2017</w:t>
        </w:r>
      </w:hyperlink>
      <w:r>
        <w:t xml:space="preserve">)</w:t>
      </w:r>
      <w:r>
        <w:t xml:space="preserve"> </w:t>
      </w:r>
      <w:r>
        <w:t xml:space="preserve">argue the other side: a maximal model can cost power, and they recommend</w:t>
      </w:r>
      <w:r>
        <w:t xml:space="preserve"> </w:t>
      </w:r>
      <w:r>
        <w:t xml:space="preserve">reducing to a structure the data support. We report the maximal structure nonetheless, for</w:t>
      </w:r>
      <w:r>
        <w:t xml:space="preserve"> </w:t>
      </w:r>
      <w:r>
        <w:t xml:space="preserve">two reasons. Their argument is that a maximal structure the data do not support costs power, a</w:t>
      </w:r>
      <w:r>
        <w:t xml:space="preserve"> </w:t>
      </w:r>
      <w:r>
        <w:t xml:space="preserve">result they establish in simulations of models that converge, so it does not turn on</w:t>
      </w:r>
      <w:r>
        <w:t xml:space="preserve"> </w:t>
      </w:r>
      <w:r>
        <w:t xml:space="preserve">convergence failure. They themselves note that maximal models usually do converge when</w:t>
      </w:r>
      <w:r>
        <w:t xml:space="preserve"> </w:t>
      </w:r>
      <w:r>
        <w:t xml:space="preserve">fitted in a Bayesian framework such as Stan, while explicitly leaving open whether</w:t>
      </w:r>
      <w:r>
        <w:t xml:space="preserve"> </w:t>
      </w:r>
      <w:r>
        <w:t xml:space="preserve">fitting overparameterised maximal models makes sense there. Every cell of our reported</w:t>
      </w:r>
      <w:r>
        <w:t xml:space="preserve"> </w:t>
      </w:r>
      <w:r>
        <w:t xml:space="preserve">grid converged under the maximal structure, on the same criteria as under the reduced one.</w:t>
      </w:r>
      <w:r>
        <w:t xml:space="preserve"> </w:t>
      </w:r>
      <w:r>
        <w:t xml:space="preserve">The retention-free refits are diagnosed separately in</w:t>
      </w:r>
      <w:r>
        <w:t xml:space="preserve"> </w:t>
      </w:r>
      <w:hyperlink w:anchor="apx-convergence-diagnostics">
        <w:r>
          <w:rPr>
            <w:rStyle w:val="Hyperlink"/>
          </w:rPr>
          <w:t xml:space="preserve">Appendix D</w:t>
        </w:r>
      </w:hyperlink>
      <w:r>
        <w:t xml:space="preserve">, where</w:t>
      </w:r>
      <w:r>
        <w:t xml:space="preserve"> </w:t>
      </w:r>
      <w:r>
        <w:t xml:space="preserve">any fit that missed a criterion is marked. We also fit the whole grid a second time without the</w:t>
      </w:r>
      <w:r>
        <w:t xml:space="preserve"> </w:t>
      </w:r>
      <w:r>
        <w:t xml:space="preserve">by-item grammaticality slope, so a reader can see which conclusions depend on it. That</w:t>
      </w:r>
      <w:r>
        <w:t xml:space="preserve"> </w:t>
      </w:r>
      <w:r>
        <w:t xml:space="preserve">comparison follows.</w:t>
      </w:r>
    </w:p>
    <w:bookmarkEnd w:id="399"/>
    <w:bookmarkStart w:id="400" w:name="X61f9105b9c4f67c8a70721911d2ac0c431d2f53"/>
    <w:p>
      <w:pPr>
        <w:pStyle w:val="Heading2"/>
      </w:pPr>
      <w:r>
        <w:t xml:space="preserve">Sensitivity to the by-item grammaticality slope</w:t>
      </w:r>
    </w:p>
    <w:p>
      <w:pPr>
        <w:pStyle w:val="FirstParagraph"/>
      </w:pPr>
      <w:r>
        <w:t xml:space="preserve">To show what the maximal structure buys, we refitted the whole grid without the by-item</w:t>
      </w:r>
      <w:r>
        <w:t xml:space="preserve"> </w:t>
      </w:r>
      <w:r>
        <w:t xml:space="preserve">grammaticality slope, the structure a design in which grammaticality varied only within</w:t>
      </w:r>
      <w:r>
        <w:t xml:space="preserve"> </w:t>
      </w:r>
      <w:r>
        <w:t xml:space="preserve">participants would have justified. All eighteen cells met the same convergence criteria under both.</w:t>
      </w:r>
    </w:p>
    <w:p>
      <w:pPr>
        <w:pStyle w:val="BodyText"/>
      </w:pPr>
      <w:r>
        <w:t xml:space="preserve">In these data, the choice matters little. Posterior medians barely move between the two</w:t>
      </w:r>
      <w:r>
        <w:t xml:space="preserve"> </w:t>
      </w:r>
      <w:r>
        <w:t xml:space="preserve">structures, and at the median the maximal structure’s intervals are</w:t>
      </w:r>
      <w:r>
        <w:t xml:space="preserve"> </w:t>
      </w:r>
      <w:r>
        <w:t xml:space="preserve">1.01 times the simpler structure’s width</w:t>
      </w:r>
      <w:r>
        <w:t xml:space="preserve"> </w:t>
      </w:r>
      <w:r>
        <w:t xml:space="preserve">for the grammaticality main effect and 1.00 times for the</w:t>
      </w:r>
      <w:r>
        <w:t xml:space="preserve"> </w:t>
      </w:r>
      <w:r>
        <w:t xml:space="preserve">grammaticality</w:t>
      </w:r>
      <w:r>
        <w:t xml:space="preserve"> </w:t>
      </w:r>
      <m:oMath>
        <m:r>
          <m:rPr>
            <m:sty m:val="p"/>
          </m:rPr>
          <m:t>×</m:t>
        </m:r>
      </m:oMath>
      <w:r>
        <w:t xml:space="preserve"> </w:t>
      </w:r>
      <w:r>
        <w:t xml:space="preserve">session</w:t>
      </w:r>
      <w:r>
        <w:t xml:space="preserve"> </w:t>
      </w:r>
      <m:oMath>
        <m:r>
          <m:rPr>
            <m:sty m:val="p"/>
          </m:rPr>
          <m:t>×</m:t>
        </m:r>
      </m:oMath>
      <w:r>
        <w:t xml:space="preserve"> </w:t>
      </w:r>
      <w:r>
        <w:t xml:space="preserve">language interaction. The credible cells are the</w:t>
      </w:r>
      <w:r>
        <w:t xml:space="preserve"> </w:t>
      </w:r>
      <w:r>
        <w:t xml:space="preserve">same under both for the grammaticality main effect</w:t>
      </w:r>
      <w:r>
        <w:t xml:space="preserve"> </w:t>
      </w:r>
      <w:r>
        <w:t xml:space="preserve">(5 of 18 cells under the</w:t>
      </w:r>
      <w:r>
        <w:t xml:space="preserve"> </w:t>
      </w:r>
      <w:r>
        <w:t xml:space="preserve">maximal structure against 5 of 18</w:t>
      </w:r>
      <w:r>
        <w:t xml:space="preserve"> </w:t>
      </w:r>
      <w:r>
        <w:t xml:space="preserve">without the slope), for the grammaticality</w:t>
      </w:r>
      <w:r>
        <w:t xml:space="preserve"> </w:t>
      </w:r>
      <m:oMath>
        <m:r>
          <m:rPr>
            <m:sty m:val="p"/>
          </m:rPr>
          <m:t>×</m:t>
        </m:r>
      </m:oMath>
      <w:r>
        <w:t xml:space="preserve"> </w:t>
      </w:r>
      <w:r>
        <w:t xml:space="preserve">session interaction</w:t>
      </w:r>
      <w:r>
        <w:t xml:space="preserve"> </w:t>
      </w:r>
      <w:r>
        <w:t xml:space="preserve">(2 of 18</w:t>
      </w:r>
      <w:r>
        <w:t xml:space="preserve"> </w:t>
      </w:r>
      <w:r>
        <w:t xml:space="preserve">against 2 of 18)</w:t>
      </w:r>
      <w:r>
        <w:t xml:space="preserve"> </w:t>
      </w:r>
      <w:r>
        <w:t xml:space="preserve">and for the three-way interaction</w:t>
      </w:r>
      <w:r>
        <w:t xml:space="preserve"> </w:t>
      </w:r>
      <w:r>
        <w:t xml:space="preserve">(0 of 18</w:t>
      </w:r>
      <w:r>
        <w:t xml:space="preserve"> </w:t>
      </w:r>
      <w:r>
        <w:t xml:space="preserve">against</w:t>
      </w:r>
      <w:r>
        <w:t xml:space="preserve"> </w:t>
      </w:r>
      <w:r>
        <w:t xml:space="preserve">0 of 18).</w:t>
      </w:r>
      <w:r>
        <w:t xml:space="preserve"> </w:t>
      </w:r>
      <w:r>
        <w:t xml:space="preserve">The one difference is in the grammaticality</w:t>
      </w:r>
      <w:r>
        <w:t xml:space="preserve"> </w:t>
      </w:r>
      <m:oMath>
        <m:r>
          <m:rPr>
            <m:sty m:val="p"/>
          </m:rPr>
          <m:t>×</m:t>
        </m:r>
      </m:oMath>
      <w:r>
        <w:t xml:space="preserve"> </w:t>
      </w:r>
      <w:r>
        <w:t xml:space="preserve">language interaction for differential</w:t>
      </w:r>
      <w:r>
        <w:t xml:space="preserve"> </w:t>
      </w:r>
      <w:r>
        <w:t xml:space="preserve">object marking in the early lateral window, which is credible without the by-item slope</w:t>
      </w:r>
      <w:r>
        <w:t xml:space="preserve"> </w:t>
      </w:r>
      <w:r>
        <w:t xml:space="preserve">(</w:t>
      </w:r>
      <m:oMath>
        <m:r>
          <m:t>b</m:t>
        </m:r>
        <m:r>
          <m:rPr>
            <m:sty m:val="p"/>
          </m:rPr>
          <m:t>=</m:t>
        </m:r>
        <m:r>
          <m:t>0.0270</m:t>
        </m:r>
      </m:oMath>
      <w:r>
        <w:t xml:space="preserve">, 95% CrI</w:t>
      </w:r>
      <w:r>
        <w:t xml:space="preserve"> </w:t>
      </w:r>
      <m:oMath>
        <m:r>
          <m:rPr>
            <m:sty m:val="p"/>
          </m:rPr>
          <m:t>[</m:t>
        </m:r>
        <m:r>
          <m:t>0.0001</m:t>
        </m:r>
        <m:r>
          <m:rPr>
            <m:sty m:val="p"/>
          </m:rPr>
          <m:t>,</m:t>
        </m:r>
        <m:r>
          <m:t>0.0542</m:t>
        </m:r>
        <m:r>
          <m:rPr>
            <m:sty m:val="p"/>
          </m:rPr>
          <m:t>]</m:t>
        </m:r>
      </m:oMath>
      <w:r>
        <w:t xml:space="preserve">,</w:t>
      </w:r>
      <w:r>
        <w:t xml:space="preserve"> </w:t>
      </w:r>
      <m:oMath>
        <m:sSub>
          <m:e>
            <m:r>
              <m:t>p</m:t>
            </m:r>
          </m:e>
          <m:sub>
            <m:r>
              <m:t>d</m:t>
            </m:r>
          </m:sub>
        </m:sSub>
        <m:r>
          <m:rPr>
            <m:sty m:val="p"/>
          </m:rPr>
          <m:t>=</m:t>
        </m:r>
        <m:r>
          <m:t>.98</m:t>
        </m:r>
      </m:oMath>
      <w:r>
        <w:t xml:space="preserve">)</w:t>
      </w:r>
      <w:r>
        <w:t xml:space="preserve"> </w:t>
      </w:r>
      <w:r>
        <w:t xml:space="preserve">and falls just short of credibility with it</w:t>
      </w:r>
      <w:r>
        <w:t xml:space="preserve"> </w:t>
      </w:r>
      <w:r>
        <w:t xml:space="preserve">(</w:t>
      </w:r>
      <m:oMath>
        <m:r>
          <m:t>b</m:t>
        </m:r>
        <m:r>
          <m:rPr>
            <m:sty m:val="p"/>
          </m:rPr>
          <m:t>=</m:t>
        </m:r>
        <m:r>
          <m:t>0.0269</m:t>
        </m:r>
      </m:oMath>
      <w:r>
        <w:t xml:space="preserve">, 95% CrI</w:t>
      </w:r>
      <w:r>
        <w:t xml:space="preserve"> </w:t>
      </w:r>
      <m:oMath>
        <m:r>
          <m:rPr>
            <m:sty m:val="p"/>
          </m:rPr>
          <m:t>[</m:t>
        </m:r>
        <m:r>
          <m:rPr>
            <m:sty m:val="p"/>
          </m:rPr>
          <m:t>−</m:t>
        </m:r>
        <m:r>
          <m:t>0.0002</m:t>
        </m:r>
        <m:r>
          <m:rPr>
            <m:sty m:val="p"/>
          </m:rPr>
          <m:t>,</m:t>
        </m:r>
        <m:r>
          <m:t>0.0543</m:t>
        </m:r>
        <m:r>
          <m:rPr>
            <m:sty m:val="p"/>
          </m:rPr>
          <m:t>]</m:t>
        </m:r>
      </m:oMath>
      <w:r>
        <w:t xml:space="preserve">,</w:t>
      </w:r>
      <w:r>
        <w:t xml:space="preserve"> </w:t>
      </w:r>
      <m:oMath>
        <m:sSub>
          <m:e>
            <m:r>
              <m:t>p</m:t>
            </m:r>
          </m:e>
          <m:sub>
            <m:r>
              <m:t>d</m:t>
            </m:r>
          </m:sub>
        </m:sSub>
        <m:r>
          <m:rPr>
            <m:sty m:val="p"/>
          </m:rPr>
          <m:t>=</m:t>
        </m:r>
        <m:r>
          <m:t>.97</m:t>
        </m:r>
      </m:oMath>
      <w:r>
        <w:t xml:space="preserve">),</w:t>
      </w:r>
      <w:r>
        <w:t xml:space="preserve"> </w:t>
      </w:r>
      <w:r>
        <w:t xml:space="preserve">so that the count is</w:t>
      </w:r>
      <w:r>
        <w:t xml:space="preserve"> </w:t>
      </w:r>
      <w:r>
        <w:t xml:space="preserve">0 of 18</w:t>
      </w:r>
      <w:r>
        <w:t xml:space="preserve"> </w:t>
      </w:r>
      <w:r>
        <w:t xml:space="preserve">cells against</w:t>
      </w:r>
      <w:r>
        <w:t xml:space="preserve"> </w:t>
      </w:r>
      <w:r>
        <w:t xml:space="preserve">1 of 18.</w:t>
      </w:r>
      <w:r>
        <w:t xml:space="preserve"> </w:t>
      </w:r>
      <w:r>
        <w:t xml:space="preserve">No conclusion rests on that cell. By-item variability in the grammaticality response is</w:t>
      </w:r>
      <w:r>
        <w:t xml:space="preserve"> </w:t>
      </w:r>
      <w:r>
        <w:t xml:space="preserve">therefore small in these data, and the case for the maximal structure rests on the argument</w:t>
      </w:r>
      <w:r>
        <w:t xml:space="preserve"> </w:t>
      </w:r>
      <w:r>
        <w:t xml:space="preserve">of the previous section, not on what it changes here.</w:t>
      </w:r>
    </w:p>
    <w:bookmarkEnd w:id="400"/>
    <w:bookmarkStart w:id="403" w:name="X0cb40fff71d04a4628cb9bc90d22edf8d336941"/>
    <w:p>
      <w:pPr>
        <w:pStyle w:val="Heading2"/>
      </w:pPr>
      <w:r>
        <w:t xml:space="preserve">The reprocessed recordings and the mislabelled exports</w:t>
      </w:r>
    </w:p>
    <w:p>
      <w:pPr>
        <w:pStyle w:val="FirstParagraph"/>
      </w:pPr>
      <w:r>
        <w:t xml:space="preserve">The Session 3 recordings of nine participants were high-pass filtered at 1 Hz where every</w:t>
      </w:r>
      <w:r>
        <w:t xml:space="preserve"> </w:t>
      </w:r>
      <w:r>
        <w:t xml:space="preserve">other recording was filtered at 0.1 Hz. Four were identified when the analysis was first</w:t>
      </w:r>
      <w:r>
        <w:t xml:space="preserve"> </w:t>
      </w:r>
      <w:r>
        <w:t xml:space="preserve">assembled and five more when the archived processing histories of every recording were</w:t>
      </w:r>
      <w:r>
        <w:t xml:space="preserve"> </w:t>
      </w:r>
      <w:r>
        <w:t xml:space="preserve">audited. One further history, of a Session 2 recording, also reads 1 Hz, but its settings</w:t>
      </w:r>
      <w:r>
        <w:t xml:space="preserve"> </w:t>
      </w:r>
      <w:r>
        <w:t xml:space="preserve">were edited after the export was written: rebuilt from the raw data, that export is</w:t>
      </w:r>
      <w:r>
        <w:t xml:space="preserve"> </w:t>
      </w:r>
      <w:r>
        <w:t xml:space="preserve">reproduced only at 0.1 Hz, so it is used as it stands. We did not assess whether these</w:t>
      </w:r>
      <w:r>
        <w:t xml:space="preserve"> </w:t>
      </w:r>
      <w:r>
        <w:t xml:space="preserve">participants’ data look unusual, and the treatment of the 1 Hz data does not rest on that.</w:t>
      </w:r>
      <w:r>
        <w:t xml:space="preserve"> </w:t>
      </w:r>
      <w:r>
        <w:t xml:space="preserve">It rests on the setting itself, which is a documented generator of artefacts in this kind of</w:t>
      </w:r>
      <w:r>
        <w:t xml:space="preserve"> </w:t>
      </w:r>
      <w:r>
        <w:t xml:space="preserve">paradigm. Filtering data from a syntactic- and semantic-violation experiment at cutoffs of</w:t>
      </w:r>
      <w:r>
        <w:t xml:space="preserve"> </w:t>
      </w:r>
      <w:r>
        <w:t xml:space="preserve">0.3 Hz and above introduces spurious deflections of opposite polarity immediately before the</w:t>
      </w:r>
      <w:r>
        <w:t xml:space="preserve"> </w:t>
      </w:r>
      <w:r>
        <w:t xml:space="preserve">true N400 and P600 effects</w:t>
      </w:r>
      <w:r>
        <w:t xml:space="preserve"> </w:t>
      </w:r>
      <w:r>
        <w:t xml:space="preserve">(</w:t>
      </w:r>
      <w:hyperlink w:anchor="ref-tanner2015">
        <w:r>
          <w:rPr>
            <w:rStyle w:val="Hyperlink"/>
          </w:rPr>
          <w:t xml:space="preserve">Tanner et al., 2015</w:t>
        </w:r>
      </w:hyperlink>
      <w:r>
        <w:t xml:space="preserve">)</w:t>
      </w:r>
      <w:r>
        <w:t xml:space="preserve">, and 1 Hz lies well inside that range. The general</w:t>
      </w:r>
      <w:r>
        <w:t xml:space="preserve"> </w:t>
      </w:r>
      <w:r>
        <w:t xml:space="preserve">principle, that a high-pass cutoff must be matched to the analysis window because an</w:t>
      </w:r>
      <w:r>
        <w:t xml:space="preserve"> </w:t>
      </w:r>
      <w:r>
        <w:t xml:space="preserve">inappropriate one generates artefactual slow deflections, is set out by</w:t>
      </w:r>
      <w:r>
        <w:t xml:space="preserve"> </w:t>
      </w:r>
      <w:r>
        <w:t xml:space="preserve">Widmann et al. (</w:t>
      </w:r>
      <w:hyperlink w:anchor="ref-widmann2015">
        <w:r>
          <w:rPr>
            <w:rStyle w:val="Hyperlink"/>
          </w:rPr>
          <w:t xml:space="preserve">2015</w:t>
        </w:r>
      </w:hyperlink>
      <w:r>
        <w:t xml:space="preserve">)</w:t>
      </w:r>
      <w:r>
        <w:t xml:space="preserve">.</w:t>
      </w:r>
      <w:r>
        <w:t xml:space="preserve"> </w:t>
      </w:r>
      <w:r>
        <w:t xml:space="preserve">Because the decision follows from the filter’s known behaviour, and nothing observed in these</w:t>
      </w:r>
      <w:r>
        <w:t xml:space="preserve"> </w:t>
      </w:r>
      <w:r>
        <w:t xml:space="preserve">participants bore on it, it is not a results-contingent choice.</w:t>
      </w:r>
    </w:p>
    <w:p>
      <w:pPr>
        <w:pStyle w:val="BodyText"/>
      </w:pPr>
      <w:r>
        <w:t xml:space="preserve">Pooling the 1 Hz data with the rest would be the wrong remedy, because a distortion that</w:t>
      </w:r>
      <w:r>
        <w:t xml:space="preserve"> </w:t>
      </w:r>
      <w:r>
        <w:t xml:space="preserve">precedes and reshapes the component of interest does not cancel in the difference between</w:t>
      </w:r>
      <w:r>
        <w:t xml:space="preserve"> </w:t>
      </w:r>
      <w:r>
        <w:t xml:space="preserve">conditions</w:t>
      </w:r>
      <w:r>
        <w:t xml:space="preserve"> </w:t>
      </w:r>
      <w:r>
        <w:t xml:space="preserve">(</w:t>
      </w:r>
      <w:hyperlink w:anchor="ref-tanner2015">
        <w:r>
          <w:rPr>
            <w:rStyle w:val="Hyperlink"/>
          </w:rPr>
          <w:t xml:space="preserve">Tanner et al., 2015</w:t>
        </w:r>
      </w:hyperlink>
      <w:r>
        <w:t xml:space="preserve">)</w:t>
      </w:r>
      <w:r>
        <w:t xml:space="preserve">. Excluding them would remove about a sixth of the Session 3 ERP</w:t>
      </w:r>
      <w:r>
        <w:t xml:space="preserve"> </w:t>
      </w:r>
      <w:r>
        <w:t xml:space="preserve">trials, and four or five participants from each group at that session. The raw continuous</w:t>
      </w:r>
      <w:r>
        <w:t xml:space="preserve"> </w:t>
      </w:r>
      <w:r>
        <w:t xml:space="preserve">recordings of all nine sessions are archived, so they were instead reprocessed at 0.1 Hz,</w:t>
      </w:r>
      <w:r>
        <w:t xml:space="preserve"> </w:t>
      </w:r>
      <w:r>
        <w:t xml:space="preserve">under a protocol fixed before any reprocessed output was inspected. The archived processing</w:t>
      </w:r>
      <w:r>
        <w:t xml:space="preserve"> </w:t>
      </w:r>
      <w:r>
        <w:t xml:space="preserve">was first reconstructed by script and shown to reproduce every existing 1 Hz export to within</w:t>
      </w:r>
      <w:r>
        <w:t xml:space="preserve"> </w:t>
      </w:r>
      <w:r>
        <w:t xml:space="preserve">the rounding of the export, and only then was the high-pass cutoff changed, with every other</w:t>
      </w:r>
      <w:r>
        <w:t xml:space="preserve"> </w:t>
      </w:r>
      <w:r>
        <w:t xml:space="preserve">step and every retained trial kept as archived. The reprocessed data enter the primary</w:t>
      </w:r>
      <w:r>
        <w:t xml:space="preserve"> </w:t>
      </w:r>
      <w:r>
        <w:t xml:space="preserve">analysis, and their exclusion is the single sensitivity analysis. That analysis can qualify a</w:t>
      </w:r>
      <w:r>
        <w:t xml:space="preserve"> </w:t>
      </w:r>
      <w:r>
        <w:t xml:space="preserve">primary result but never create one, so running it adds no opportunity for a false positive.</w:t>
      </w:r>
      <w:r>
        <w:t xml:space="preserve"> </w:t>
      </w:r>
      <w:r>
        <w:t xml:space="preserve">A primary ERP result counts as sample-sensitive if, without the reprocessed and recovered</w:t>
      </w:r>
      <w:r>
        <w:t xml:space="preserve"> </w:t>
      </w:r>
      <w:r>
        <w:t xml:space="preserve">records, its median changes sign or its interval no longer excludes zero in the primary</w:t>
      </w:r>
      <w:r>
        <w:t xml:space="preserve"> </w:t>
      </w:r>
      <w:r>
        <w:t xml:space="preserve">direction.</w:t>
      </w:r>
      <w:r>
        <w:t xml:space="preserve"> </w:t>
      </w:r>
      <w:hyperlink w:anchor="tbl-robustness">
        <w:r>
          <w:rPr>
            <w:rStyle w:val="Hyperlink"/>
          </w:rPr>
          <w:t xml:space="preserve">Table A1</w:t>
        </w:r>
      </w:hyperlink>
      <w:r>
        <w:t xml:space="preserve"> </w:t>
      </w:r>
      <w:r>
        <w:t xml:space="preserve">sets the two analyses side by side for every grammaticality term,</w:t>
      </w:r>
      <w:r>
        <w:t xml:space="preserve"> </w:t>
      </w:r>
      <w:r>
        <w:t xml:space="preserve">and</w:t>
      </w:r>
      <w:r>
        <w:t xml:space="preserve"> </w:t>
      </w:r>
      <w:hyperlink w:anchor="tbl-retention-robustness">
        <w:r>
          <w:rPr>
            <w:rStyle w:val="Hyperlink"/>
          </w:rPr>
          <w:t xml:space="preserve">Table A2</w:t>
        </w:r>
      </w:hyperlink>
      <w:r>
        <w:t xml:space="preserve"> </w:t>
      </w:r>
      <w:r>
        <w:t xml:space="preserve">does the same for the Session 4 to Session 6 contrasts. No</w:t>
      </w:r>
      <w:r>
        <w:t xml:space="preserve"> </w:t>
      </w:r>
      <w:r>
        <w:t xml:space="preserve">primary ERP result is sample-sensitive by that rule. No grammaticality term becomes credible</w:t>
      </w:r>
      <w:r>
        <w:t xml:space="preserve"> </w:t>
      </w:r>
      <w:r>
        <w:t xml:space="preserve">without the reprocessed and recovered records that was not credible with them, and one</w:t>
      </w:r>
      <w:r>
        <w:t xml:space="preserve"> </w:t>
      </w:r>
      <w:r>
        <w:t xml:space="preserve">retention contrast does, as reported in the Results; under the protocol it cannot become a</w:t>
      </w:r>
      <w:r>
        <w:t xml:space="preserve"> </w:t>
      </w:r>
      <w:r>
        <w:t xml:space="preserve">claim.</w:t>
      </w:r>
    </w:p>
    <w:p>
      <w:pPr>
        <w:pStyle w:val="BodyText"/>
      </w:pPr>
      <w:r>
        <w:t xml:space="preserve">The same audit traced every exported trial to its source recording and checked every</w:t>
      </w:r>
      <w:r>
        <w:t xml:space="preserve"> </w:t>
      </w:r>
      <w:r>
        <w:t xml:space="preserve">export for a stimulus-locked response, and three exports failed. The Session 3 export of one</w:t>
      </w:r>
      <w:r>
        <w:t xml:space="preserve"> </w:t>
      </w:r>
      <w:r>
        <w:t xml:space="preserve">Mini-Norwegian participant was produced from another Mini-Norwegian participant’s Session 3</w:t>
      </w:r>
      <w:r>
        <w:t xml:space="preserve"> </w:t>
      </w:r>
      <w:r>
        <w:t xml:space="preserve">recording, so it duplicates that participant’s data: the two exports share every trial time</w:t>
      </w:r>
      <w:r>
        <w:t xml:space="preserve"> </w:t>
      </w:r>
      <w:r>
        <w:t xml:space="preserve">stamp, and trials paired by time stamp correlate closely at the posterior midline, whereas</w:t>
      </w:r>
      <w:r>
        <w:t xml:space="preserve"> </w:t>
      </w:r>
      <w:r>
        <w:t xml:space="preserve">trials of different participants do not. The Session 6 export of one Mini-English</w:t>
      </w:r>
      <w:r>
        <w:t xml:space="preserve"> </w:t>
      </w:r>
      <w:r>
        <w:t xml:space="preserve">participant was cut at the event times of that participant’s Session 4 recording, and the</w:t>
      </w:r>
      <w:r>
        <w:t xml:space="preserve"> </w:t>
      </w:r>
      <w:r>
        <w:t xml:space="preserve">Session 2 export of another Mini-English participant at the event times of a recording other</w:t>
      </w:r>
      <w:r>
        <w:t xml:space="preserve"> </w:t>
      </w:r>
      <w:r>
        <w:t xml:space="preserve">than the one archived. The epochs of both are not time-locked to any stimulus: the</w:t>
      </w:r>
      <w:r>
        <w:t xml:space="preserve"> </w:t>
      </w:r>
      <w:r>
        <w:t xml:space="preserve">average over their trials shows no reliable evoked response, and does not resemble the</w:t>
      </w:r>
      <w:r>
        <w:t xml:space="preserve"> </w:t>
      </w:r>
      <w:r>
        <w:t xml:space="preserve">other participants’ averages, whereas the same participants’ other sessions show clear</w:t>
      </w:r>
      <w:r>
        <w:t xml:space="preserve"> </w:t>
      </w:r>
      <w:r>
        <w:t xml:space="preserve">evoked responses. Unlike the filter setting, which distorts a real response, these exports</w:t>
      </w:r>
      <w:r>
        <w:t xml:space="preserve"> </w:t>
      </w:r>
      <w:r>
        <w:t xml:space="preserve">contain no response of the participant-session they are named for, so no analysis can</w:t>
      </w:r>
      <w:r>
        <w:t xml:space="preserve"> </w:t>
      </w:r>
      <w:r>
        <w:t xml:space="preserve">use them as they stand. A misaligned record can be recovered if its archived inspection and</w:t>
      </w:r>
      <w:r>
        <w:t xml:space="preserve"> </w:t>
      </w:r>
      <w:r>
        <w:t xml:space="preserve">ocular correction were made on its own EEG, with only its event times wrong. The protocol</w:t>
      </w:r>
      <w:r>
        <w:t xml:space="preserve"> </w:t>
      </w:r>
      <w:r>
        <w:t xml:space="preserve">tests that by first reproducing the legacy export from the archived recording, and only then</w:t>
      </w:r>
      <w:r>
        <w:t xml:space="preserve"> </w:t>
      </w:r>
      <w:r>
        <w:t xml:space="preserve">re-segments the record at its own events. Both misaligned records passed. In each, the</w:t>
      </w:r>
      <w:r>
        <w:t xml:space="preserve"> </w:t>
      </w:r>
      <w:r>
        <w:t xml:space="preserve">processing history had been built on the participant’s own recording, within a stretch of it</w:t>
      </w:r>
      <w:r>
        <w:t xml:space="preserve"> </w:t>
      </w:r>
      <w:r>
        <w:t xml:space="preserve">that the analyst had marked out, and only the event markers had come from another recording.</w:t>
      </w:r>
      <w:r>
        <w:t xml:space="preserve"> </w:t>
      </w:r>
      <w:r>
        <w:t xml:space="preserve">The re-segmentation keeps that stretch, since outside it no epoch received any inspection, so</w:t>
      </w:r>
      <w:r>
        <w:t xml:space="preserve"> </w:t>
      </w:r>
      <w:r>
        <w:t xml:space="preserve">31 of the 144 condition events of the Session 2 record, which precede it, are not used. The</w:t>
      </w:r>
      <w:r>
        <w:t xml:space="preserve"> </w:t>
      </w:r>
      <w:r>
        <w:t xml:space="preserve">recovered records enter the primary analysis and are left out of the robustness analysis with</w:t>
      </w:r>
      <w:r>
        <w:t xml:space="preserve"> </w:t>
      </w:r>
      <w:r>
        <w:t xml:space="preserve">the reprocessed ones. The duplicated Session 3 record cannot be recovered, because every</w:t>
      </w:r>
      <w:r>
        <w:t xml:space="preserve"> </w:t>
      </w:r>
      <w:r>
        <w:t xml:space="preserve">processing decision behind it was made on the other participant’s recording, and it stays</w:t>
      </w:r>
      <w:r>
        <w:t xml:space="preserve"> </w:t>
      </w:r>
      <w:r>
        <w:t xml:space="preserve">excluded.</w:t>
      </w:r>
    </w:p>
    <w:bookmarkStart w:id="401" w:name="tbl-robustness"/>
    <w:p>
      <w:pPr>
        <w:pStyle w:val="FigureTitle"/>
      </w:pPr>
      <w:r>
        <w:t xml:space="preserve">Table A1</w:t>
      </w:r>
    </w:p>
    <w:p>
      <w:pPr>
        <w:pStyle w:val="Caption"/>
      </w:pPr>
      <w:r>
        <w:t xml:space="preserve">Grammaticality Terms of the ERP Models With and Without the Reprocessed and Recovered Records</w:t>
      </w:r>
    </w:p>
    <w:tbl>
      <w:tblPr>
        <w:tblStyle w:val="Table"/>
        <w:tblW w:type="pct" w:w="5000"/>
        <w:tblLayout w:type="fixed"/>
        <w:tblLook w:firstRow="1" w:lastRow="0" w:firstColumn="0" w:lastColumn="0" w:noHBand="0" w:noVBand="0" w:val="0020"/>
      </w:tblPr>
      <w:tblGrid>
        <w:gridCol w:w="2692"/>
        <w:gridCol w:w="871"/>
        <w:gridCol w:w="871"/>
        <w:gridCol w:w="871"/>
        <w:gridCol w:w="871"/>
        <w:gridCol w:w="871"/>
        <w:gridCol w:w="871"/>
      </w:tblGrid>
      <w:tr>
        <w:trPr>
          <w:tblHeader w:val="on"/>
        </w:trPr>
        <w:tc>
          <w:tcPr/>
          <w:p>
            <w:pPr>
              <w:pStyle w:val="Compact"/>
            </w:pPr>
          </w:p>
        </w:tc>
        <w:tc>
          <w:tcPr>
            <w:gridSpan w:val="3"/>
          </w:tcPr>
          <w:p>
            <w:pPr>
              <w:pStyle w:val="Compact"/>
              <w:jc w:val="center"/>
            </w:pPr>
            <w:r>
              <w:t xml:space="preserve">Primary</w:t>
            </w:r>
          </w:p>
        </w:tc>
        <w:tc>
          <w:tcPr>
            <w:gridSpan w:val="3"/>
          </w:tcPr>
          <w:p>
            <w:pPr>
              <w:pStyle w:val="Compact"/>
              <w:jc w:val="center"/>
            </w:pPr>
            <w:r>
              <w:t xml:space="preserve">Without reprocessed</w:t>
            </w:r>
          </w:p>
        </w:tc>
      </w:tr>
      <w:tr>
        <w:trPr>
          <w:tblHeader w:val="on"/>
        </w:trPr>
        <w:tc>
          <w:tcPr/>
          <w:p>
            <w:pPr>
              <w:pStyle w:val="Compact"/>
              <w:jc w:val="left"/>
            </w:pPr>
            <w:r>
              <w:t xml:space="preserve">Term</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r>
      <w:tr>
        <w:tc>
          <w:tcPr>
            <w:gridSpan w:val="7"/>
          </w:tcPr>
          <w:p>
            <w:pPr>
              <w:pStyle w:val="Compact"/>
              <w:jc w:val="left"/>
            </w:pPr>
            <w:r>
              <w:rPr>
                <w:i/>
                <w:iCs/>
              </w:rPr>
              <w:t xml:space="preserve">Gender agreement</w:t>
            </w:r>
          </w:p>
        </w:tc>
      </w:tr>
      <w:tr>
        <w:tc>
          <w:tcPr>
            <w:gridSpan w:val="7"/>
          </w:tcPr>
          <w:p>
            <w:pPr>
              <w:pStyle w:val="Compact"/>
              <w:jc w:val="left"/>
            </w:pPr>
            <w:r>
              <w:t xml:space="preserve">   200–500 ms, lateral</w:t>
            </w:r>
          </w:p>
        </w:tc>
      </w:tr>
      <w:tr>
        <w:tc>
          <w:tcPr/>
          <w:p>
            <w:pPr>
              <w:pStyle w:val="Compact"/>
              <w:jc w:val="left"/>
            </w:pPr>
            <w:r>
              <w:t xml:space="preserve">      Grammaticality (G)</w:t>
            </w:r>
          </w:p>
        </w:tc>
        <w:tc>
          <w:tcPr/>
          <w:p>
            <w:pPr>
              <w:pStyle w:val="Compact"/>
              <w:jc w:val="center"/>
            </w:pPr>
            <w:r>
              <w:t xml:space="preserve">⁠ ⁠ ⁠0.0197</w:t>
            </w:r>
          </w:p>
        </w:tc>
        <w:tc>
          <w:tcPr/>
          <w:p>
            <w:pPr>
              <w:pStyle w:val="Compact"/>
              <w:jc w:val="center"/>
            </w:pPr>
            <w:r>
              <w:t xml:space="preserve">−0.0003</w:t>
            </w:r>
          </w:p>
        </w:tc>
        <w:tc>
          <w:tcPr/>
          <w:p>
            <w:pPr>
              <w:pStyle w:val="Compact"/>
              <w:jc w:val="center"/>
            </w:pPr>
            <w:r>
              <w:t xml:space="preserve">0.0399</w:t>
            </w:r>
          </w:p>
        </w:tc>
        <w:tc>
          <w:tcPr/>
          <w:p>
            <w:pPr>
              <w:pStyle w:val="Compact"/>
              <w:jc w:val="center"/>
            </w:pPr>
            <w:r>
              <w:t xml:space="preserve">⁠ ⁠ ⁠0.0184</w:t>
            </w:r>
          </w:p>
        </w:tc>
        <w:tc>
          <w:tcPr/>
          <w:p>
            <w:pPr>
              <w:pStyle w:val="Compact"/>
              <w:jc w:val="center"/>
            </w:pPr>
            <w:r>
              <w:t xml:space="preserve">−0.0015</w:t>
            </w:r>
          </w:p>
        </w:tc>
        <w:tc>
          <w:tcPr/>
          <w:p>
            <w:pPr>
              <w:pStyle w:val="Compact"/>
              <w:jc w:val="center"/>
            </w:pPr>
            <w:r>
              <w:t xml:space="preserve">0.0379</w:t>
            </w:r>
          </w:p>
        </w:tc>
      </w:tr>
      <w:tr>
        <w:tc>
          <w:tcPr/>
          <w:p>
            <w:pPr>
              <w:pStyle w:val="Compact"/>
              <w:jc w:val="left"/>
            </w:pPr>
            <w:r>
              <w:t xml:space="preserve">      G × Language</w:t>
            </w:r>
          </w:p>
        </w:tc>
        <w:tc>
          <w:tcPr/>
          <w:p>
            <w:pPr>
              <w:pStyle w:val="Compact"/>
              <w:jc w:val="center"/>
            </w:pPr>
            <w:r>
              <w:t xml:space="preserve">−0.0043</w:t>
            </w:r>
          </w:p>
        </w:tc>
        <w:tc>
          <w:tcPr/>
          <w:p>
            <w:pPr>
              <w:pStyle w:val="Compact"/>
              <w:jc w:val="center"/>
            </w:pPr>
            <w:r>
              <w:t xml:space="preserve">−0.0245</w:t>
            </w:r>
          </w:p>
        </w:tc>
        <w:tc>
          <w:tcPr/>
          <w:p>
            <w:pPr>
              <w:pStyle w:val="Compact"/>
              <w:jc w:val="center"/>
            </w:pPr>
            <w:r>
              <w:t xml:space="preserve">0.0162</w:t>
            </w:r>
          </w:p>
        </w:tc>
        <w:tc>
          <w:tcPr/>
          <w:p>
            <w:pPr>
              <w:pStyle w:val="Compact"/>
              <w:jc w:val="center"/>
            </w:pPr>
            <w:r>
              <w:t xml:space="preserve">−0.0049</w:t>
            </w:r>
          </w:p>
        </w:tc>
        <w:tc>
          <w:tcPr/>
          <w:p>
            <w:pPr>
              <w:pStyle w:val="Compact"/>
              <w:jc w:val="center"/>
            </w:pPr>
            <w:r>
              <w:t xml:space="preserve">−0.0241</w:t>
            </w:r>
          </w:p>
        </w:tc>
        <w:tc>
          <w:tcPr/>
          <w:p>
            <w:pPr>
              <w:pStyle w:val="Compact"/>
              <w:jc w:val="center"/>
            </w:pPr>
            <w:r>
              <w:t xml:space="preserve">0.0149</w:t>
            </w:r>
          </w:p>
        </w:tc>
      </w:tr>
      <w:tr>
        <w:tc>
          <w:tcPr/>
          <w:p>
            <w:pPr>
              <w:pStyle w:val="Compact"/>
              <w:jc w:val="left"/>
            </w:pPr>
            <w:r>
              <w:t xml:space="preserve">      G × Session</w:t>
            </w:r>
          </w:p>
        </w:tc>
        <w:tc>
          <w:tcPr/>
          <w:p>
            <w:pPr>
              <w:pStyle w:val="Compact"/>
              <w:jc w:val="center"/>
            </w:pPr>
            <w:r>
              <w:t xml:space="preserve">⁠ ⁠ ⁠0.0055</w:t>
            </w:r>
          </w:p>
        </w:tc>
        <w:tc>
          <w:tcPr/>
          <w:p>
            <w:pPr>
              <w:pStyle w:val="Compact"/>
              <w:jc w:val="center"/>
            </w:pPr>
            <w:r>
              <w:t xml:space="preserve">−0.0103</w:t>
            </w:r>
          </w:p>
        </w:tc>
        <w:tc>
          <w:tcPr/>
          <w:p>
            <w:pPr>
              <w:pStyle w:val="Compact"/>
              <w:jc w:val="center"/>
            </w:pPr>
            <w:r>
              <w:t xml:space="preserve">0.0212</w:t>
            </w:r>
          </w:p>
        </w:tc>
        <w:tc>
          <w:tcPr/>
          <w:p>
            <w:pPr>
              <w:pStyle w:val="Compact"/>
              <w:jc w:val="center"/>
            </w:pPr>
            <w:r>
              <w:t xml:space="preserve">⁠ ⁠ ⁠0.0061</w:t>
            </w:r>
          </w:p>
        </w:tc>
        <w:tc>
          <w:tcPr/>
          <w:p>
            <w:pPr>
              <w:pStyle w:val="Compact"/>
              <w:jc w:val="center"/>
            </w:pPr>
            <w:r>
              <w:t xml:space="preserve">−0.0100</w:t>
            </w:r>
          </w:p>
        </w:tc>
        <w:tc>
          <w:tcPr/>
          <w:p>
            <w:pPr>
              <w:pStyle w:val="Compact"/>
              <w:jc w:val="center"/>
            </w:pPr>
            <w:r>
              <w:t xml:space="preserve">0.0222</w:t>
            </w:r>
          </w:p>
        </w:tc>
      </w:tr>
      <w:tr>
        <w:tc>
          <w:tcPr/>
          <w:p>
            <w:pPr>
              <w:pStyle w:val="Compact"/>
              <w:jc w:val="left"/>
            </w:pPr>
            <w:r>
              <w:t xml:space="preserve">      G × Session × Language</w:t>
            </w:r>
          </w:p>
        </w:tc>
        <w:tc>
          <w:tcPr/>
          <w:p>
            <w:pPr>
              <w:pStyle w:val="Compact"/>
              <w:jc w:val="center"/>
            </w:pPr>
            <w:r>
              <w:t xml:space="preserve">⁠ ⁠ ⁠0.0019</w:t>
            </w:r>
          </w:p>
        </w:tc>
        <w:tc>
          <w:tcPr/>
          <w:p>
            <w:pPr>
              <w:pStyle w:val="Compact"/>
              <w:jc w:val="center"/>
            </w:pPr>
            <w:r>
              <w:t xml:space="preserve">−0.0140</w:t>
            </w:r>
          </w:p>
        </w:tc>
        <w:tc>
          <w:tcPr/>
          <w:p>
            <w:pPr>
              <w:pStyle w:val="Compact"/>
              <w:jc w:val="center"/>
            </w:pPr>
            <w:r>
              <w:t xml:space="preserve">0.0174</w:t>
            </w:r>
          </w:p>
        </w:tc>
        <w:tc>
          <w:tcPr/>
          <w:p>
            <w:pPr>
              <w:pStyle w:val="Compact"/>
              <w:jc w:val="center"/>
            </w:pPr>
            <w:r>
              <w:t xml:space="preserve">⁠ ⁠ ⁠0.0011</w:t>
            </w:r>
          </w:p>
        </w:tc>
        <w:tc>
          <w:tcPr/>
          <w:p>
            <w:pPr>
              <w:pStyle w:val="Compact"/>
              <w:jc w:val="center"/>
            </w:pPr>
            <w:r>
              <w:t xml:space="preserve">−0.0149</w:t>
            </w:r>
          </w:p>
        </w:tc>
        <w:tc>
          <w:tcPr/>
          <w:p>
            <w:pPr>
              <w:pStyle w:val="Compact"/>
              <w:jc w:val="center"/>
            </w:pPr>
            <w:r>
              <w:t xml:space="preserve">0.0171</w:t>
            </w:r>
          </w:p>
        </w:tc>
      </w:tr>
      <w:tr>
        <w:tc>
          <w:tcPr>
            <w:gridSpan w:val="7"/>
          </w:tcPr>
          <w:p>
            <w:pPr>
              <w:pStyle w:val="Compact"/>
              <w:jc w:val="left"/>
            </w:pPr>
            <w:r>
              <w:t xml:space="preserve">   200–500 ms, midline</w:t>
            </w:r>
          </w:p>
        </w:tc>
      </w:tr>
      <w:tr>
        <w:tc>
          <w:tcPr/>
          <w:p>
            <w:pPr>
              <w:pStyle w:val="Compact"/>
              <w:jc w:val="left"/>
            </w:pPr>
            <w:r>
              <w:t xml:space="preserve">      Grammaticality (G)</w:t>
            </w:r>
          </w:p>
        </w:tc>
        <w:tc>
          <w:tcPr/>
          <w:p>
            <w:pPr>
              <w:pStyle w:val="Compact"/>
              <w:jc w:val="center"/>
            </w:pPr>
            <w:r>
              <w:t xml:space="preserve">⁠ ⁠ ⁠0.0314</w:t>
            </w:r>
          </w:p>
        </w:tc>
        <w:tc>
          <w:tcPr/>
          <w:p>
            <w:pPr>
              <w:pStyle w:val="Compact"/>
              <w:jc w:val="center"/>
            </w:pPr>
            <w:r>
              <w:t xml:space="preserve">⁠ ⁠ ⁠0.0108</w:t>
            </w:r>
          </w:p>
        </w:tc>
        <w:tc>
          <w:tcPr/>
          <w:p>
            <w:pPr>
              <w:pStyle w:val="Compact"/>
              <w:jc w:val="center"/>
            </w:pPr>
            <w:r>
              <w:t xml:space="preserve">0.0522</w:t>
            </w:r>
          </w:p>
        </w:tc>
        <w:tc>
          <w:tcPr/>
          <w:p>
            <w:pPr>
              <w:pStyle w:val="Compact"/>
              <w:jc w:val="center"/>
            </w:pPr>
            <w:r>
              <w:t xml:space="preserve">⁠ ⁠ ⁠0.0293</w:t>
            </w:r>
          </w:p>
        </w:tc>
        <w:tc>
          <w:tcPr/>
          <w:p>
            <w:pPr>
              <w:pStyle w:val="Compact"/>
              <w:jc w:val="center"/>
            </w:pPr>
            <w:r>
              <w:t xml:space="preserve">⁠ ⁠ ⁠0.0085</w:t>
            </w:r>
          </w:p>
        </w:tc>
        <w:tc>
          <w:tcPr/>
          <w:p>
            <w:pPr>
              <w:pStyle w:val="Compact"/>
              <w:jc w:val="center"/>
            </w:pPr>
            <w:r>
              <w:t xml:space="preserve">0.0500</w:t>
            </w:r>
          </w:p>
        </w:tc>
      </w:tr>
      <w:tr>
        <w:tc>
          <w:tcPr/>
          <w:p>
            <w:pPr>
              <w:pStyle w:val="Compact"/>
              <w:jc w:val="left"/>
            </w:pPr>
            <w:r>
              <w:t xml:space="preserve">      G × Language</w:t>
            </w:r>
          </w:p>
        </w:tc>
        <w:tc>
          <w:tcPr/>
          <w:p>
            <w:pPr>
              <w:pStyle w:val="Compact"/>
              <w:jc w:val="center"/>
            </w:pPr>
            <w:r>
              <w:t xml:space="preserve">−0.0053</w:t>
            </w:r>
          </w:p>
        </w:tc>
        <w:tc>
          <w:tcPr/>
          <w:p>
            <w:pPr>
              <w:pStyle w:val="Compact"/>
              <w:jc w:val="center"/>
            </w:pPr>
            <w:r>
              <w:t xml:space="preserve">−0.0260</w:t>
            </w:r>
          </w:p>
        </w:tc>
        <w:tc>
          <w:tcPr/>
          <w:p>
            <w:pPr>
              <w:pStyle w:val="Compact"/>
              <w:jc w:val="center"/>
            </w:pPr>
            <w:r>
              <w:t xml:space="preserve">0.0156</w:t>
            </w:r>
          </w:p>
        </w:tc>
        <w:tc>
          <w:tcPr/>
          <w:p>
            <w:pPr>
              <w:pStyle w:val="Compact"/>
              <w:jc w:val="center"/>
            </w:pPr>
            <w:r>
              <w:t xml:space="preserve">−0.0049</w:t>
            </w:r>
          </w:p>
        </w:tc>
        <w:tc>
          <w:tcPr/>
          <w:p>
            <w:pPr>
              <w:pStyle w:val="Compact"/>
              <w:jc w:val="center"/>
            </w:pPr>
            <w:r>
              <w:t xml:space="preserve">−0.0254</w:t>
            </w:r>
          </w:p>
        </w:tc>
        <w:tc>
          <w:tcPr/>
          <w:p>
            <w:pPr>
              <w:pStyle w:val="Compact"/>
              <w:jc w:val="center"/>
            </w:pPr>
            <w:r>
              <w:t xml:space="preserve">0.0160</w:t>
            </w:r>
          </w:p>
        </w:tc>
      </w:tr>
      <w:tr>
        <w:tc>
          <w:tcPr/>
          <w:p>
            <w:pPr>
              <w:pStyle w:val="Compact"/>
              <w:jc w:val="left"/>
            </w:pPr>
            <w:r>
              <w:t xml:space="preserve">      G × Session</w:t>
            </w:r>
          </w:p>
        </w:tc>
        <w:tc>
          <w:tcPr/>
          <w:p>
            <w:pPr>
              <w:pStyle w:val="Compact"/>
              <w:jc w:val="center"/>
            </w:pPr>
            <w:r>
              <w:t xml:space="preserve">−0.0005</w:t>
            </w:r>
          </w:p>
        </w:tc>
        <w:tc>
          <w:tcPr/>
          <w:p>
            <w:pPr>
              <w:pStyle w:val="Compact"/>
              <w:jc w:val="center"/>
            </w:pPr>
            <w:r>
              <w:t xml:space="preserve">−0.0182</w:t>
            </w:r>
          </w:p>
        </w:tc>
        <w:tc>
          <w:tcPr/>
          <w:p>
            <w:pPr>
              <w:pStyle w:val="Compact"/>
              <w:jc w:val="center"/>
            </w:pPr>
            <w:r>
              <w:t xml:space="preserve">0.0168</w:t>
            </w:r>
          </w:p>
        </w:tc>
        <w:tc>
          <w:tcPr/>
          <w:p>
            <w:pPr>
              <w:pStyle w:val="Compact"/>
              <w:jc w:val="center"/>
            </w:pPr>
            <w:r>
              <w:t xml:space="preserve">⁠ ⁠ ⁠0.0003</w:t>
            </w:r>
          </w:p>
        </w:tc>
        <w:tc>
          <w:tcPr/>
          <w:p>
            <w:pPr>
              <w:pStyle w:val="Compact"/>
              <w:jc w:val="center"/>
            </w:pPr>
            <w:r>
              <w:t xml:space="preserve">−0.0175</w:t>
            </w:r>
          </w:p>
        </w:tc>
        <w:tc>
          <w:tcPr/>
          <w:p>
            <w:pPr>
              <w:pStyle w:val="Compact"/>
              <w:jc w:val="center"/>
            </w:pPr>
            <w:r>
              <w:t xml:space="preserve">0.0177</w:t>
            </w:r>
          </w:p>
        </w:tc>
      </w:tr>
      <w:tr>
        <w:tc>
          <w:tcPr/>
          <w:p>
            <w:pPr>
              <w:pStyle w:val="Compact"/>
              <w:jc w:val="left"/>
            </w:pPr>
            <w:r>
              <w:t xml:space="preserve">      G × Session × Language</w:t>
            </w:r>
          </w:p>
        </w:tc>
        <w:tc>
          <w:tcPr/>
          <w:p>
            <w:pPr>
              <w:pStyle w:val="Compact"/>
              <w:jc w:val="center"/>
            </w:pPr>
            <w:r>
              <w:t xml:space="preserve">⁠ ⁠ ⁠0.0053</w:t>
            </w:r>
          </w:p>
        </w:tc>
        <w:tc>
          <w:tcPr/>
          <w:p>
            <w:pPr>
              <w:pStyle w:val="Compact"/>
              <w:jc w:val="center"/>
            </w:pPr>
            <w:r>
              <w:t xml:space="preserve">−0.0124</w:t>
            </w:r>
          </w:p>
        </w:tc>
        <w:tc>
          <w:tcPr/>
          <w:p>
            <w:pPr>
              <w:pStyle w:val="Compact"/>
              <w:jc w:val="center"/>
            </w:pPr>
            <w:r>
              <w:t xml:space="preserve">0.0230</w:t>
            </w:r>
          </w:p>
        </w:tc>
        <w:tc>
          <w:tcPr/>
          <w:p>
            <w:pPr>
              <w:pStyle w:val="Compact"/>
              <w:jc w:val="center"/>
            </w:pPr>
            <w:r>
              <w:t xml:space="preserve">⁠ ⁠ ⁠0.0047</w:t>
            </w:r>
          </w:p>
        </w:tc>
        <w:tc>
          <w:tcPr/>
          <w:p>
            <w:pPr>
              <w:pStyle w:val="Compact"/>
              <w:jc w:val="center"/>
            </w:pPr>
            <w:r>
              <w:t xml:space="preserve">−0.0130</w:t>
            </w:r>
          </w:p>
        </w:tc>
        <w:tc>
          <w:tcPr/>
          <w:p>
            <w:pPr>
              <w:pStyle w:val="Compact"/>
              <w:jc w:val="center"/>
            </w:pPr>
            <w:r>
              <w:t xml:space="preserve">0.0223</w:t>
            </w:r>
          </w:p>
        </w:tc>
      </w:tr>
      <w:tr>
        <w:tc>
          <w:tcPr>
            <w:gridSpan w:val="7"/>
          </w:tcPr>
          <w:p>
            <w:pPr>
              <w:pStyle w:val="Compact"/>
              <w:jc w:val="left"/>
            </w:pPr>
            <w:r>
              <w:t xml:space="preserve">   300–600 ms, lateral</w:t>
            </w:r>
          </w:p>
        </w:tc>
      </w:tr>
      <w:tr>
        <w:tc>
          <w:tcPr/>
          <w:p>
            <w:pPr>
              <w:pStyle w:val="Compact"/>
              <w:jc w:val="left"/>
            </w:pPr>
            <w:r>
              <w:t xml:space="preserve">      Grammaticality (G)</w:t>
            </w:r>
          </w:p>
        </w:tc>
        <w:tc>
          <w:tcPr/>
          <w:p>
            <w:pPr>
              <w:pStyle w:val="Compact"/>
              <w:jc w:val="center"/>
            </w:pPr>
            <w:r>
              <w:t xml:space="preserve">⁠ ⁠ ⁠0.0252</w:t>
            </w:r>
          </w:p>
        </w:tc>
        <w:tc>
          <w:tcPr/>
          <w:p>
            <w:pPr>
              <w:pStyle w:val="Compact"/>
              <w:jc w:val="center"/>
            </w:pPr>
            <w:r>
              <w:t xml:space="preserve">⁠ ⁠ ⁠0.0038</w:t>
            </w:r>
          </w:p>
        </w:tc>
        <w:tc>
          <w:tcPr/>
          <w:p>
            <w:pPr>
              <w:pStyle w:val="Compact"/>
              <w:jc w:val="center"/>
            </w:pPr>
            <w:r>
              <w:t xml:space="preserve">0.0472</w:t>
            </w:r>
          </w:p>
        </w:tc>
        <w:tc>
          <w:tcPr/>
          <w:p>
            <w:pPr>
              <w:pStyle w:val="Compact"/>
              <w:jc w:val="center"/>
            </w:pPr>
            <w:r>
              <w:t xml:space="preserve">⁠ ⁠ ⁠0.0234</w:t>
            </w:r>
          </w:p>
        </w:tc>
        <w:tc>
          <w:tcPr/>
          <w:p>
            <w:pPr>
              <w:pStyle w:val="Compact"/>
              <w:jc w:val="center"/>
            </w:pPr>
            <w:r>
              <w:t xml:space="preserve">⁠ ⁠ ⁠0.0013</w:t>
            </w:r>
          </w:p>
        </w:tc>
        <w:tc>
          <w:tcPr/>
          <w:p>
            <w:pPr>
              <w:pStyle w:val="Compact"/>
              <w:jc w:val="center"/>
            </w:pPr>
            <w:r>
              <w:t xml:space="preserve">0.0458</w:t>
            </w:r>
          </w:p>
        </w:tc>
      </w:tr>
      <w:tr>
        <w:tc>
          <w:tcPr/>
          <w:p>
            <w:pPr>
              <w:pStyle w:val="Compact"/>
              <w:jc w:val="left"/>
            </w:pPr>
            <w:r>
              <w:t xml:space="preserve">      G × Language</w:t>
            </w:r>
          </w:p>
        </w:tc>
        <w:tc>
          <w:tcPr/>
          <w:p>
            <w:pPr>
              <w:pStyle w:val="Compact"/>
              <w:jc w:val="center"/>
            </w:pPr>
            <w:r>
              <w:t xml:space="preserve">−0.0069</w:t>
            </w:r>
          </w:p>
        </w:tc>
        <w:tc>
          <w:tcPr/>
          <w:p>
            <w:pPr>
              <w:pStyle w:val="Compact"/>
              <w:jc w:val="center"/>
            </w:pPr>
            <w:r>
              <w:t xml:space="preserve">−0.0285</w:t>
            </w:r>
          </w:p>
        </w:tc>
        <w:tc>
          <w:tcPr/>
          <w:p>
            <w:pPr>
              <w:pStyle w:val="Compact"/>
              <w:jc w:val="center"/>
            </w:pPr>
            <w:r>
              <w:t xml:space="preserve">0.0149</w:t>
            </w:r>
          </w:p>
        </w:tc>
        <w:tc>
          <w:tcPr/>
          <w:p>
            <w:pPr>
              <w:pStyle w:val="Compact"/>
              <w:jc w:val="center"/>
            </w:pPr>
            <w:r>
              <w:t xml:space="preserve">−0.0073</w:t>
            </w:r>
          </w:p>
        </w:tc>
        <w:tc>
          <w:tcPr/>
          <w:p>
            <w:pPr>
              <w:pStyle w:val="Compact"/>
              <w:jc w:val="center"/>
            </w:pPr>
            <w:r>
              <w:t xml:space="preserve">−0.0293</w:t>
            </w:r>
          </w:p>
        </w:tc>
        <w:tc>
          <w:tcPr/>
          <w:p>
            <w:pPr>
              <w:pStyle w:val="Compact"/>
              <w:jc w:val="center"/>
            </w:pPr>
            <w:r>
              <w:t xml:space="preserve">0.0152</w:t>
            </w:r>
          </w:p>
        </w:tc>
      </w:tr>
      <w:tr>
        <w:tc>
          <w:tcPr/>
          <w:p>
            <w:pPr>
              <w:pStyle w:val="Compact"/>
              <w:jc w:val="left"/>
            </w:pPr>
            <w:r>
              <w:t xml:space="preserve">      G × Session</w:t>
            </w:r>
          </w:p>
        </w:tc>
        <w:tc>
          <w:tcPr/>
          <w:p>
            <w:pPr>
              <w:pStyle w:val="Compact"/>
              <w:jc w:val="center"/>
            </w:pPr>
            <w:r>
              <w:t xml:space="preserve">⁠ ⁠ ⁠0.0114</w:t>
            </w:r>
          </w:p>
        </w:tc>
        <w:tc>
          <w:tcPr/>
          <w:p>
            <w:pPr>
              <w:pStyle w:val="Compact"/>
              <w:jc w:val="center"/>
            </w:pPr>
            <w:r>
              <w:t xml:space="preserve">−0.0051</w:t>
            </w:r>
          </w:p>
        </w:tc>
        <w:tc>
          <w:tcPr/>
          <w:p>
            <w:pPr>
              <w:pStyle w:val="Compact"/>
              <w:jc w:val="center"/>
            </w:pPr>
            <w:r>
              <w:t xml:space="preserve">0.0277</w:t>
            </w:r>
          </w:p>
        </w:tc>
        <w:tc>
          <w:tcPr/>
          <w:p>
            <w:pPr>
              <w:pStyle w:val="Compact"/>
              <w:jc w:val="center"/>
            </w:pPr>
            <w:r>
              <w:t xml:space="preserve">⁠ ⁠ ⁠0.0127</w:t>
            </w:r>
          </w:p>
        </w:tc>
        <w:tc>
          <w:tcPr/>
          <w:p>
            <w:pPr>
              <w:pStyle w:val="Compact"/>
              <w:jc w:val="center"/>
            </w:pPr>
            <w:r>
              <w:t xml:space="preserve">−0.0044</w:t>
            </w:r>
          </w:p>
        </w:tc>
        <w:tc>
          <w:tcPr/>
          <w:p>
            <w:pPr>
              <w:pStyle w:val="Compact"/>
              <w:jc w:val="center"/>
            </w:pPr>
            <w:r>
              <w:t xml:space="preserve">0.0296</w:t>
            </w:r>
          </w:p>
        </w:tc>
      </w:tr>
      <w:tr>
        <w:tc>
          <w:tcPr/>
          <w:p>
            <w:pPr>
              <w:pStyle w:val="Compact"/>
              <w:jc w:val="left"/>
            </w:pPr>
            <w:r>
              <w:t xml:space="preserve">      G × Session × Language</w:t>
            </w:r>
          </w:p>
        </w:tc>
        <w:tc>
          <w:tcPr/>
          <w:p>
            <w:pPr>
              <w:pStyle w:val="Compact"/>
              <w:jc w:val="center"/>
            </w:pPr>
            <w:r>
              <w:t xml:space="preserve">−0.0027</w:t>
            </w:r>
          </w:p>
        </w:tc>
        <w:tc>
          <w:tcPr/>
          <w:p>
            <w:pPr>
              <w:pStyle w:val="Compact"/>
              <w:jc w:val="center"/>
            </w:pPr>
            <w:r>
              <w:t xml:space="preserve">−0.0192</w:t>
            </w:r>
          </w:p>
        </w:tc>
        <w:tc>
          <w:tcPr/>
          <w:p>
            <w:pPr>
              <w:pStyle w:val="Compact"/>
              <w:jc w:val="center"/>
            </w:pPr>
            <w:r>
              <w:t xml:space="preserve">0.0137</w:t>
            </w:r>
          </w:p>
        </w:tc>
        <w:tc>
          <w:tcPr/>
          <w:p>
            <w:pPr>
              <w:pStyle w:val="Compact"/>
              <w:jc w:val="center"/>
            </w:pPr>
            <w:r>
              <w:t xml:space="preserve">−0.0036</w:t>
            </w:r>
          </w:p>
        </w:tc>
        <w:tc>
          <w:tcPr/>
          <w:p>
            <w:pPr>
              <w:pStyle w:val="Compact"/>
              <w:jc w:val="center"/>
            </w:pPr>
            <w:r>
              <w:t xml:space="preserve">−0.0207</w:t>
            </w:r>
          </w:p>
        </w:tc>
        <w:tc>
          <w:tcPr/>
          <w:p>
            <w:pPr>
              <w:pStyle w:val="Compact"/>
              <w:jc w:val="center"/>
            </w:pPr>
            <w:r>
              <w:t xml:space="preserve">0.0132</w:t>
            </w:r>
          </w:p>
        </w:tc>
      </w:tr>
      <w:tr>
        <w:tc>
          <w:tcPr>
            <w:gridSpan w:val="7"/>
          </w:tcPr>
          <w:p>
            <w:pPr>
              <w:pStyle w:val="Compact"/>
              <w:jc w:val="left"/>
            </w:pPr>
            <w:r>
              <w:t xml:space="preserve">   300–600 ms, midline</w:t>
            </w:r>
          </w:p>
        </w:tc>
      </w:tr>
      <w:tr>
        <w:tc>
          <w:tcPr/>
          <w:p>
            <w:pPr>
              <w:pStyle w:val="Compact"/>
              <w:jc w:val="left"/>
            </w:pPr>
            <w:r>
              <w:t xml:space="preserve">      Grammaticality (G)</w:t>
            </w:r>
          </w:p>
        </w:tc>
        <w:tc>
          <w:tcPr/>
          <w:p>
            <w:pPr>
              <w:pStyle w:val="Compact"/>
              <w:jc w:val="center"/>
            </w:pPr>
            <w:r>
              <w:t xml:space="preserve">⁠ ⁠ ⁠0.0355</w:t>
            </w:r>
          </w:p>
        </w:tc>
        <w:tc>
          <w:tcPr/>
          <w:p>
            <w:pPr>
              <w:pStyle w:val="Compact"/>
              <w:jc w:val="center"/>
            </w:pPr>
            <w:r>
              <w:t xml:space="preserve">⁠ ⁠ ⁠0.0129</w:t>
            </w:r>
          </w:p>
        </w:tc>
        <w:tc>
          <w:tcPr/>
          <w:p>
            <w:pPr>
              <w:pStyle w:val="Compact"/>
              <w:jc w:val="center"/>
            </w:pPr>
            <w:r>
              <w:t xml:space="preserve">0.0581</w:t>
            </w:r>
          </w:p>
        </w:tc>
        <w:tc>
          <w:tcPr/>
          <w:p>
            <w:pPr>
              <w:pStyle w:val="Compact"/>
              <w:jc w:val="center"/>
            </w:pPr>
            <w:r>
              <w:t xml:space="preserve">⁠ ⁠ ⁠0.0331</w:t>
            </w:r>
          </w:p>
        </w:tc>
        <w:tc>
          <w:tcPr/>
          <w:p>
            <w:pPr>
              <w:pStyle w:val="Compact"/>
              <w:jc w:val="center"/>
            </w:pPr>
            <w:r>
              <w:t xml:space="preserve">⁠ ⁠ ⁠0.0097</w:t>
            </w:r>
          </w:p>
        </w:tc>
        <w:tc>
          <w:tcPr/>
          <w:p>
            <w:pPr>
              <w:pStyle w:val="Compact"/>
              <w:jc w:val="center"/>
            </w:pPr>
            <w:r>
              <w:t xml:space="preserve">0.0565</w:t>
            </w:r>
          </w:p>
        </w:tc>
      </w:tr>
      <w:tr>
        <w:tc>
          <w:tcPr/>
          <w:p>
            <w:pPr>
              <w:pStyle w:val="Compact"/>
              <w:jc w:val="left"/>
            </w:pPr>
            <w:r>
              <w:t xml:space="preserve">      G × Language</w:t>
            </w:r>
          </w:p>
        </w:tc>
        <w:tc>
          <w:tcPr/>
          <w:p>
            <w:pPr>
              <w:pStyle w:val="Compact"/>
              <w:jc w:val="center"/>
            </w:pPr>
            <w:r>
              <w:t xml:space="preserve">−0.0105</w:t>
            </w:r>
          </w:p>
        </w:tc>
        <w:tc>
          <w:tcPr/>
          <w:p>
            <w:pPr>
              <w:pStyle w:val="Compact"/>
              <w:jc w:val="center"/>
            </w:pPr>
            <w:r>
              <w:t xml:space="preserve">−0.0336</w:t>
            </w:r>
          </w:p>
        </w:tc>
        <w:tc>
          <w:tcPr/>
          <w:p>
            <w:pPr>
              <w:pStyle w:val="Compact"/>
              <w:jc w:val="center"/>
            </w:pPr>
            <w:r>
              <w:t xml:space="preserve">0.0125</w:t>
            </w:r>
          </w:p>
        </w:tc>
        <w:tc>
          <w:tcPr/>
          <w:p>
            <w:pPr>
              <w:pStyle w:val="Compact"/>
              <w:jc w:val="center"/>
            </w:pPr>
            <w:r>
              <w:t xml:space="preserve">−0.0096</w:t>
            </w:r>
          </w:p>
        </w:tc>
        <w:tc>
          <w:tcPr/>
          <w:p>
            <w:pPr>
              <w:pStyle w:val="Compact"/>
              <w:jc w:val="center"/>
            </w:pPr>
            <w:r>
              <w:t xml:space="preserve">−0.0328</w:t>
            </w:r>
          </w:p>
        </w:tc>
        <w:tc>
          <w:tcPr/>
          <w:p>
            <w:pPr>
              <w:pStyle w:val="Compact"/>
              <w:jc w:val="center"/>
            </w:pPr>
            <w:r>
              <w:t xml:space="preserve">0.0138</w:t>
            </w:r>
          </w:p>
        </w:tc>
      </w:tr>
      <w:tr>
        <w:tc>
          <w:tcPr/>
          <w:p>
            <w:pPr>
              <w:pStyle w:val="Compact"/>
              <w:jc w:val="left"/>
            </w:pPr>
            <w:r>
              <w:t xml:space="preserve">      G × Session</w:t>
            </w:r>
          </w:p>
        </w:tc>
        <w:tc>
          <w:tcPr/>
          <w:p>
            <w:pPr>
              <w:pStyle w:val="Compact"/>
              <w:jc w:val="center"/>
            </w:pPr>
            <w:r>
              <w:t xml:space="preserve">⁠ ⁠ ⁠0.0059</w:t>
            </w:r>
          </w:p>
        </w:tc>
        <w:tc>
          <w:tcPr/>
          <w:p>
            <w:pPr>
              <w:pStyle w:val="Compact"/>
              <w:jc w:val="center"/>
            </w:pPr>
            <w:r>
              <w:t xml:space="preserve">−0.0120</w:t>
            </w:r>
          </w:p>
        </w:tc>
        <w:tc>
          <w:tcPr/>
          <w:p>
            <w:pPr>
              <w:pStyle w:val="Compact"/>
              <w:jc w:val="center"/>
            </w:pPr>
            <w:r>
              <w:t xml:space="preserve">0.0237</w:t>
            </w:r>
          </w:p>
        </w:tc>
        <w:tc>
          <w:tcPr/>
          <w:p>
            <w:pPr>
              <w:pStyle w:val="Compact"/>
              <w:jc w:val="center"/>
            </w:pPr>
            <w:r>
              <w:t xml:space="preserve">⁠ ⁠ ⁠0.0073</w:t>
            </w:r>
          </w:p>
        </w:tc>
        <w:tc>
          <w:tcPr/>
          <w:p>
            <w:pPr>
              <w:pStyle w:val="Compact"/>
              <w:jc w:val="center"/>
            </w:pPr>
            <w:r>
              <w:t xml:space="preserve">−0.0111</w:t>
            </w:r>
          </w:p>
        </w:tc>
        <w:tc>
          <w:tcPr/>
          <w:p>
            <w:pPr>
              <w:pStyle w:val="Compact"/>
              <w:jc w:val="center"/>
            </w:pPr>
            <w:r>
              <w:t xml:space="preserve">0.0257</w:t>
            </w:r>
          </w:p>
        </w:tc>
      </w:tr>
      <w:tr>
        <w:tc>
          <w:tcPr/>
          <w:p>
            <w:pPr>
              <w:pStyle w:val="Compact"/>
              <w:jc w:val="left"/>
            </w:pPr>
            <w:r>
              <w:t xml:space="preserve">      G × Session × Language</w:t>
            </w:r>
          </w:p>
        </w:tc>
        <w:tc>
          <w:tcPr/>
          <w:p>
            <w:pPr>
              <w:pStyle w:val="Compact"/>
              <w:jc w:val="center"/>
            </w:pPr>
            <w:r>
              <w:t xml:space="preserve">⁠ ⁠ ⁠0.0012</w:t>
            </w:r>
          </w:p>
        </w:tc>
        <w:tc>
          <w:tcPr/>
          <w:p>
            <w:pPr>
              <w:pStyle w:val="Compact"/>
              <w:jc w:val="center"/>
            </w:pPr>
            <w:r>
              <w:t xml:space="preserve">−0.0170</w:t>
            </w:r>
          </w:p>
        </w:tc>
        <w:tc>
          <w:tcPr/>
          <w:p>
            <w:pPr>
              <w:pStyle w:val="Compact"/>
              <w:jc w:val="center"/>
            </w:pPr>
            <w:r>
              <w:t xml:space="preserve">0.0189</w:t>
            </w:r>
          </w:p>
        </w:tc>
        <w:tc>
          <w:tcPr/>
          <w:p>
            <w:pPr>
              <w:pStyle w:val="Compact"/>
              <w:jc w:val="center"/>
            </w:pPr>
            <w:r>
              <w:t xml:space="preserve">⁠ ⁠ ⁠0.0000</w:t>
            </w:r>
          </w:p>
        </w:tc>
        <w:tc>
          <w:tcPr/>
          <w:p>
            <w:pPr>
              <w:pStyle w:val="Compact"/>
              <w:jc w:val="center"/>
            </w:pPr>
            <w:r>
              <w:t xml:space="preserve">−0.0184</w:t>
            </w:r>
          </w:p>
        </w:tc>
        <w:tc>
          <w:tcPr/>
          <w:p>
            <w:pPr>
              <w:pStyle w:val="Compact"/>
              <w:jc w:val="center"/>
            </w:pPr>
            <w:r>
              <w:t xml:space="preserve">0.0184</w:t>
            </w:r>
          </w:p>
        </w:tc>
      </w:tr>
      <w:tr>
        <w:tc>
          <w:tcPr>
            <w:gridSpan w:val="7"/>
          </w:tcPr>
          <w:p>
            <w:pPr>
              <w:pStyle w:val="Compact"/>
              <w:jc w:val="left"/>
            </w:pPr>
            <w:r>
              <w:t xml:space="preserve">   400–900 ms, lateral</w:t>
            </w:r>
          </w:p>
        </w:tc>
      </w:tr>
      <w:tr>
        <w:tc>
          <w:tcPr/>
          <w:p>
            <w:pPr>
              <w:pStyle w:val="Compact"/>
              <w:jc w:val="left"/>
            </w:pPr>
            <w:r>
              <w:t xml:space="preserve">      Grammaticality (G)</w:t>
            </w:r>
          </w:p>
        </w:tc>
        <w:tc>
          <w:tcPr/>
          <w:p>
            <w:pPr>
              <w:pStyle w:val="Compact"/>
              <w:jc w:val="center"/>
            </w:pPr>
            <w:r>
              <w:t xml:space="preserve">⁠ ⁠ ⁠0.0167</w:t>
            </w:r>
          </w:p>
        </w:tc>
        <w:tc>
          <w:tcPr/>
          <w:p>
            <w:pPr>
              <w:pStyle w:val="Compact"/>
              <w:jc w:val="center"/>
            </w:pPr>
            <w:r>
              <w:t xml:space="preserve">−0.0058</w:t>
            </w:r>
          </w:p>
        </w:tc>
        <w:tc>
          <w:tcPr/>
          <w:p>
            <w:pPr>
              <w:pStyle w:val="Compact"/>
              <w:jc w:val="center"/>
            </w:pPr>
            <w:r>
              <w:t xml:space="preserve">0.0392</w:t>
            </w:r>
          </w:p>
        </w:tc>
        <w:tc>
          <w:tcPr/>
          <w:p>
            <w:pPr>
              <w:pStyle w:val="Compact"/>
              <w:jc w:val="center"/>
            </w:pPr>
            <w:r>
              <w:t xml:space="preserve">⁠ ⁠ ⁠0.0162</w:t>
            </w:r>
          </w:p>
        </w:tc>
        <w:tc>
          <w:tcPr/>
          <w:p>
            <w:pPr>
              <w:pStyle w:val="Compact"/>
              <w:jc w:val="center"/>
            </w:pPr>
            <w:r>
              <w:t xml:space="preserve">−0.0066</w:t>
            </w:r>
          </w:p>
        </w:tc>
        <w:tc>
          <w:tcPr/>
          <w:p>
            <w:pPr>
              <w:pStyle w:val="Compact"/>
              <w:jc w:val="center"/>
            </w:pPr>
            <w:r>
              <w:t xml:space="preserve">0.0390</w:t>
            </w:r>
          </w:p>
        </w:tc>
      </w:tr>
      <w:tr>
        <w:tc>
          <w:tcPr/>
          <w:p>
            <w:pPr>
              <w:pStyle w:val="Compact"/>
              <w:jc w:val="left"/>
            </w:pPr>
            <w:r>
              <w:t xml:space="preserve">      G × Language</w:t>
            </w:r>
          </w:p>
        </w:tc>
        <w:tc>
          <w:tcPr/>
          <w:p>
            <w:pPr>
              <w:pStyle w:val="Compact"/>
              <w:jc w:val="center"/>
            </w:pPr>
            <w:r>
              <w:t xml:space="preserve">−0.0084</w:t>
            </w:r>
          </w:p>
        </w:tc>
        <w:tc>
          <w:tcPr/>
          <w:p>
            <w:pPr>
              <w:pStyle w:val="Compact"/>
              <w:jc w:val="center"/>
            </w:pPr>
            <w:r>
              <w:t xml:space="preserve">−0.0308</w:t>
            </w:r>
          </w:p>
        </w:tc>
        <w:tc>
          <w:tcPr/>
          <w:p>
            <w:pPr>
              <w:pStyle w:val="Compact"/>
              <w:jc w:val="center"/>
            </w:pPr>
            <w:r>
              <w:t xml:space="preserve">0.0140</w:t>
            </w:r>
          </w:p>
        </w:tc>
        <w:tc>
          <w:tcPr/>
          <w:p>
            <w:pPr>
              <w:pStyle w:val="Compact"/>
              <w:jc w:val="center"/>
            </w:pPr>
            <w:r>
              <w:t xml:space="preserve">−0.0077</w:t>
            </w:r>
          </w:p>
        </w:tc>
        <w:tc>
          <w:tcPr/>
          <w:p>
            <w:pPr>
              <w:pStyle w:val="Compact"/>
              <w:jc w:val="center"/>
            </w:pPr>
            <w:r>
              <w:t xml:space="preserve">−0.0303</w:t>
            </w:r>
          </w:p>
        </w:tc>
        <w:tc>
          <w:tcPr/>
          <w:p>
            <w:pPr>
              <w:pStyle w:val="Compact"/>
              <w:jc w:val="center"/>
            </w:pPr>
            <w:r>
              <w:t xml:space="preserve">0.0150</w:t>
            </w:r>
          </w:p>
        </w:tc>
      </w:tr>
      <w:tr>
        <w:tc>
          <w:tcPr/>
          <w:p>
            <w:pPr>
              <w:pStyle w:val="Compact"/>
              <w:jc w:val="left"/>
            </w:pPr>
            <w:r>
              <w:t xml:space="preserve">      G × Session</w:t>
            </w:r>
          </w:p>
        </w:tc>
        <w:tc>
          <w:tcPr/>
          <w:p>
            <w:pPr>
              <w:pStyle w:val="Compact"/>
              <w:jc w:val="center"/>
            </w:pPr>
            <w:r>
              <w:t xml:space="preserve">⁠ ⁠ ⁠0.0238</w:t>
            </w:r>
          </w:p>
        </w:tc>
        <w:tc>
          <w:tcPr/>
          <w:p>
            <w:pPr>
              <w:pStyle w:val="Compact"/>
              <w:jc w:val="center"/>
            </w:pPr>
            <w:r>
              <w:t xml:space="preserve">⁠ ⁠ ⁠0.0059</w:t>
            </w:r>
          </w:p>
        </w:tc>
        <w:tc>
          <w:tcPr/>
          <w:p>
            <w:pPr>
              <w:pStyle w:val="Compact"/>
              <w:jc w:val="center"/>
            </w:pPr>
            <w:r>
              <w:t xml:space="preserve">0.0417</w:t>
            </w:r>
          </w:p>
        </w:tc>
        <w:tc>
          <w:tcPr/>
          <w:p>
            <w:pPr>
              <w:pStyle w:val="Compact"/>
              <w:jc w:val="center"/>
            </w:pPr>
            <w:r>
              <w:t xml:space="preserve">⁠ ⁠ ⁠0.0255</w:t>
            </w:r>
          </w:p>
        </w:tc>
        <w:tc>
          <w:tcPr/>
          <w:p>
            <w:pPr>
              <w:pStyle w:val="Compact"/>
              <w:jc w:val="center"/>
            </w:pPr>
            <w:r>
              <w:t xml:space="preserve">⁠ ⁠ ⁠0.0073</w:t>
            </w:r>
          </w:p>
        </w:tc>
        <w:tc>
          <w:tcPr/>
          <w:p>
            <w:pPr>
              <w:pStyle w:val="Compact"/>
              <w:jc w:val="center"/>
            </w:pPr>
            <w:r>
              <w:t xml:space="preserve">0.0439</w:t>
            </w:r>
          </w:p>
        </w:tc>
      </w:tr>
      <w:tr>
        <w:tc>
          <w:tcPr/>
          <w:p>
            <w:pPr>
              <w:pStyle w:val="Compact"/>
              <w:jc w:val="left"/>
            </w:pPr>
            <w:r>
              <w:t xml:space="preserve">      G × Session × Language</w:t>
            </w:r>
          </w:p>
        </w:tc>
        <w:tc>
          <w:tcPr/>
          <w:p>
            <w:pPr>
              <w:pStyle w:val="Compact"/>
              <w:jc w:val="center"/>
            </w:pPr>
            <w:r>
              <w:t xml:space="preserve">−0.0034</w:t>
            </w:r>
          </w:p>
        </w:tc>
        <w:tc>
          <w:tcPr/>
          <w:p>
            <w:pPr>
              <w:pStyle w:val="Compact"/>
              <w:jc w:val="center"/>
            </w:pPr>
            <w:r>
              <w:t xml:space="preserve">−0.0216</w:t>
            </w:r>
          </w:p>
        </w:tc>
        <w:tc>
          <w:tcPr/>
          <w:p>
            <w:pPr>
              <w:pStyle w:val="Compact"/>
              <w:jc w:val="center"/>
            </w:pPr>
            <w:r>
              <w:t xml:space="preserve">0.0143</w:t>
            </w:r>
          </w:p>
        </w:tc>
        <w:tc>
          <w:tcPr/>
          <w:p>
            <w:pPr>
              <w:pStyle w:val="Compact"/>
              <w:jc w:val="center"/>
            </w:pPr>
            <w:r>
              <w:t xml:space="preserve">−0.0053</w:t>
            </w:r>
          </w:p>
        </w:tc>
        <w:tc>
          <w:tcPr/>
          <w:p>
            <w:pPr>
              <w:pStyle w:val="Compact"/>
              <w:jc w:val="center"/>
            </w:pPr>
            <w:r>
              <w:t xml:space="preserve">−0.0236</w:t>
            </w:r>
          </w:p>
        </w:tc>
        <w:tc>
          <w:tcPr/>
          <w:p>
            <w:pPr>
              <w:pStyle w:val="Compact"/>
              <w:jc w:val="center"/>
            </w:pPr>
            <w:r>
              <w:t xml:space="preserve">0.0127</w:t>
            </w:r>
          </w:p>
        </w:tc>
      </w:tr>
      <w:tr>
        <w:tc>
          <w:tcPr>
            <w:gridSpan w:val="7"/>
          </w:tcPr>
          <w:p>
            <w:pPr>
              <w:pStyle w:val="Compact"/>
              <w:jc w:val="left"/>
            </w:pPr>
            <w:r>
              <w:t xml:space="preserve">   400–900 ms, midline</w:t>
            </w:r>
          </w:p>
        </w:tc>
      </w:tr>
      <w:tr>
        <w:tc>
          <w:tcPr/>
          <w:p>
            <w:pPr>
              <w:pStyle w:val="Compact"/>
              <w:jc w:val="left"/>
            </w:pPr>
            <w:r>
              <w:t xml:space="preserve">      Grammaticality (G)</w:t>
            </w:r>
          </w:p>
        </w:tc>
        <w:tc>
          <w:tcPr/>
          <w:p>
            <w:pPr>
              <w:pStyle w:val="Compact"/>
              <w:jc w:val="center"/>
            </w:pPr>
            <w:r>
              <w:t xml:space="preserve">⁠ ⁠ ⁠0.0198</w:t>
            </w:r>
          </w:p>
        </w:tc>
        <w:tc>
          <w:tcPr/>
          <w:p>
            <w:pPr>
              <w:pStyle w:val="Compact"/>
              <w:jc w:val="center"/>
            </w:pPr>
            <w:r>
              <w:t xml:space="preserve">−0.0036</w:t>
            </w:r>
          </w:p>
        </w:tc>
        <w:tc>
          <w:tcPr/>
          <w:p>
            <w:pPr>
              <w:pStyle w:val="Compact"/>
              <w:jc w:val="center"/>
            </w:pPr>
            <w:r>
              <w:t xml:space="preserve">0.0431</w:t>
            </w:r>
          </w:p>
        </w:tc>
        <w:tc>
          <w:tcPr/>
          <w:p>
            <w:pPr>
              <w:pStyle w:val="Compact"/>
              <w:jc w:val="center"/>
            </w:pPr>
            <w:r>
              <w:t xml:space="preserve">⁠ ⁠ ⁠0.0187</w:t>
            </w:r>
          </w:p>
        </w:tc>
        <w:tc>
          <w:tcPr/>
          <w:p>
            <w:pPr>
              <w:pStyle w:val="Compact"/>
              <w:jc w:val="center"/>
            </w:pPr>
            <w:r>
              <w:t xml:space="preserve">−0.0053</w:t>
            </w:r>
          </w:p>
        </w:tc>
        <w:tc>
          <w:tcPr/>
          <w:p>
            <w:pPr>
              <w:pStyle w:val="Compact"/>
              <w:jc w:val="center"/>
            </w:pPr>
            <w:r>
              <w:t xml:space="preserve">0.0426</w:t>
            </w:r>
          </w:p>
        </w:tc>
      </w:tr>
      <w:tr>
        <w:tc>
          <w:tcPr/>
          <w:p>
            <w:pPr>
              <w:pStyle w:val="Compact"/>
              <w:jc w:val="left"/>
            </w:pPr>
            <w:r>
              <w:t xml:space="preserve">      G × Language</w:t>
            </w:r>
          </w:p>
        </w:tc>
        <w:tc>
          <w:tcPr/>
          <w:p>
            <w:pPr>
              <w:pStyle w:val="Compact"/>
              <w:jc w:val="center"/>
            </w:pPr>
            <w:r>
              <w:t xml:space="preserve">−0.0154</w:t>
            </w:r>
          </w:p>
        </w:tc>
        <w:tc>
          <w:tcPr/>
          <w:p>
            <w:pPr>
              <w:pStyle w:val="Compact"/>
              <w:jc w:val="center"/>
            </w:pPr>
            <w:r>
              <w:t xml:space="preserve">−0.0389</w:t>
            </w:r>
          </w:p>
        </w:tc>
        <w:tc>
          <w:tcPr/>
          <w:p>
            <w:pPr>
              <w:pStyle w:val="Compact"/>
              <w:jc w:val="center"/>
            </w:pPr>
            <w:r>
              <w:t xml:space="preserve">0.0077</w:t>
            </w:r>
          </w:p>
        </w:tc>
        <w:tc>
          <w:tcPr/>
          <w:p>
            <w:pPr>
              <w:pStyle w:val="Compact"/>
              <w:jc w:val="center"/>
            </w:pPr>
            <w:r>
              <w:t xml:space="preserve">−0.0139</w:t>
            </w:r>
          </w:p>
        </w:tc>
        <w:tc>
          <w:tcPr/>
          <w:p>
            <w:pPr>
              <w:pStyle w:val="Compact"/>
              <w:jc w:val="center"/>
            </w:pPr>
            <w:r>
              <w:t xml:space="preserve">−0.0380</w:t>
            </w:r>
          </w:p>
        </w:tc>
        <w:tc>
          <w:tcPr/>
          <w:p>
            <w:pPr>
              <w:pStyle w:val="Compact"/>
              <w:jc w:val="center"/>
            </w:pPr>
            <w:r>
              <w:t xml:space="preserve">0.0104</w:t>
            </w:r>
          </w:p>
        </w:tc>
      </w:tr>
      <w:tr>
        <w:tc>
          <w:tcPr/>
          <w:p>
            <w:pPr>
              <w:pStyle w:val="Compact"/>
              <w:jc w:val="left"/>
            </w:pPr>
            <w:r>
              <w:t xml:space="preserve">      G × Session</w:t>
            </w:r>
          </w:p>
        </w:tc>
        <w:tc>
          <w:tcPr/>
          <w:p>
            <w:pPr>
              <w:pStyle w:val="Compact"/>
              <w:jc w:val="center"/>
            </w:pPr>
            <w:r>
              <w:t xml:space="preserve">⁠ ⁠ ⁠0.0215</w:t>
            </w:r>
          </w:p>
        </w:tc>
        <w:tc>
          <w:tcPr/>
          <w:p>
            <w:pPr>
              <w:pStyle w:val="Compact"/>
              <w:jc w:val="center"/>
            </w:pPr>
            <w:r>
              <w:t xml:space="preserve">⁠ ⁠ ⁠0.0020</w:t>
            </w:r>
          </w:p>
        </w:tc>
        <w:tc>
          <w:tcPr/>
          <w:p>
            <w:pPr>
              <w:pStyle w:val="Compact"/>
              <w:jc w:val="center"/>
            </w:pPr>
            <w:r>
              <w:t xml:space="preserve">0.0410</w:t>
            </w:r>
          </w:p>
        </w:tc>
        <w:tc>
          <w:tcPr/>
          <w:p>
            <w:pPr>
              <w:pStyle w:val="Compact"/>
              <w:jc w:val="center"/>
            </w:pPr>
            <w:r>
              <w:t xml:space="preserve">⁠ ⁠ ⁠0.0232</w:t>
            </w:r>
          </w:p>
        </w:tc>
        <w:tc>
          <w:tcPr/>
          <w:p>
            <w:pPr>
              <w:pStyle w:val="Compact"/>
              <w:jc w:val="center"/>
            </w:pPr>
            <w:r>
              <w:t xml:space="preserve">⁠ ⁠ ⁠0.0035</w:t>
            </w:r>
          </w:p>
        </w:tc>
        <w:tc>
          <w:tcPr/>
          <w:p>
            <w:pPr>
              <w:pStyle w:val="Compact"/>
              <w:jc w:val="center"/>
            </w:pPr>
            <w:r>
              <w:t xml:space="preserve">0.0430</w:t>
            </w:r>
          </w:p>
        </w:tc>
      </w:tr>
      <w:tr>
        <w:tc>
          <w:tcPr/>
          <w:p>
            <w:pPr>
              <w:pStyle w:val="Compact"/>
              <w:jc w:val="left"/>
            </w:pPr>
            <w:r>
              <w:t xml:space="preserve">      G × Session × Language</w:t>
            </w:r>
          </w:p>
        </w:tc>
        <w:tc>
          <w:tcPr/>
          <w:p>
            <w:pPr>
              <w:pStyle w:val="Compact"/>
              <w:jc w:val="center"/>
            </w:pPr>
            <w:r>
              <w:t xml:space="preserve">−0.0051</w:t>
            </w:r>
          </w:p>
        </w:tc>
        <w:tc>
          <w:tcPr/>
          <w:p>
            <w:pPr>
              <w:pStyle w:val="Compact"/>
              <w:jc w:val="center"/>
            </w:pPr>
            <w:r>
              <w:t xml:space="preserve">−0.0252</w:t>
            </w:r>
          </w:p>
        </w:tc>
        <w:tc>
          <w:tcPr/>
          <w:p>
            <w:pPr>
              <w:pStyle w:val="Compact"/>
              <w:jc w:val="center"/>
            </w:pPr>
            <w:r>
              <w:t xml:space="preserve">0.0140</w:t>
            </w:r>
          </w:p>
        </w:tc>
        <w:tc>
          <w:tcPr/>
          <w:p>
            <w:pPr>
              <w:pStyle w:val="Compact"/>
              <w:jc w:val="center"/>
            </w:pPr>
            <w:r>
              <w:t xml:space="preserve">−0.0071</w:t>
            </w:r>
          </w:p>
        </w:tc>
        <w:tc>
          <w:tcPr/>
          <w:p>
            <w:pPr>
              <w:pStyle w:val="Compact"/>
              <w:jc w:val="center"/>
            </w:pPr>
            <w:r>
              <w:t xml:space="preserve">−0.0271</w:t>
            </w:r>
          </w:p>
        </w:tc>
        <w:tc>
          <w:tcPr/>
          <w:p>
            <w:pPr>
              <w:pStyle w:val="Compact"/>
              <w:jc w:val="center"/>
            </w:pPr>
            <w:r>
              <w:t xml:space="preserve">0.0127</w:t>
            </w:r>
          </w:p>
        </w:tc>
      </w:tr>
      <w:tr>
        <w:tc>
          <w:tcPr>
            <w:gridSpan w:val="7"/>
          </w:tcPr>
          <w:p>
            <w:pPr>
              <w:pStyle w:val="Compact"/>
              <w:jc w:val="left"/>
            </w:pPr>
            <w:r>
              <w:rPr>
                <w:i/>
                <w:iCs/>
              </w:rPr>
              <w:t xml:space="preserve">Differential object marking</w:t>
            </w:r>
          </w:p>
        </w:tc>
      </w:tr>
      <w:tr>
        <w:tc>
          <w:tcPr>
            <w:gridSpan w:val="7"/>
          </w:tcPr>
          <w:p>
            <w:pPr>
              <w:pStyle w:val="Compact"/>
              <w:jc w:val="left"/>
            </w:pPr>
            <w:r>
              <w:t xml:space="preserve">   200–500 ms, lateral</w:t>
            </w:r>
          </w:p>
        </w:tc>
      </w:tr>
      <w:tr>
        <w:tc>
          <w:tcPr/>
          <w:p>
            <w:pPr>
              <w:pStyle w:val="Compact"/>
              <w:jc w:val="left"/>
            </w:pPr>
            <w:r>
              <w:t xml:space="preserve">      Grammaticality (G)</w:t>
            </w:r>
          </w:p>
        </w:tc>
        <w:tc>
          <w:tcPr/>
          <w:p>
            <w:pPr>
              <w:pStyle w:val="Compact"/>
              <w:jc w:val="center"/>
            </w:pPr>
            <w:r>
              <w:t xml:space="preserve">⁠ ⁠ ⁠0.0422</w:t>
            </w:r>
          </w:p>
        </w:tc>
        <w:tc>
          <w:tcPr/>
          <w:p>
            <w:pPr>
              <w:pStyle w:val="Compact"/>
              <w:jc w:val="center"/>
            </w:pPr>
            <w:r>
              <w:t xml:space="preserve">⁠ ⁠ ⁠0.0148</w:t>
            </w:r>
          </w:p>
        </w:tc>
        <w:tc>
          <w:tcPr/>
          <w:p>
            <w:pPr>
              <w:pStyle w:val="Compact"/>
              <w:jc w:val="center"/>
            </w:pPr>
            <w:r>
              <w:t xml:space="preserve">0.0696</w:t>
            </w:r>
          </w:p>
        </w:tc>
        <w:tc>
          <w:tcPr/>
          <w:p>
            <w:pPr>
              <w:pStyle w:val="Compact"/>
              <w:jc w:val="center"/>
            </w:pPr>
            <w:r>
              <w:t xml:space="preserve">⁠ ⁠ ⁠0.0427</w:t>
            </w:r>
          </w:p>
        </w:tc>
        <w:tc>
          <w:tcPr/>
          <w:p>
            <w:pPr>
              <w:pStyle w:val="Compact"/>
              <w:jc w:val="center"/>
            </w:pPr>
            <w:r>
              <w:t xml:space="preserve">⁠ ⁠ ⁠0.0136</w:t>
            </w:r>
          </w:p>
        </w:tc>
        <w:tc>
          <w:tcPr/>
          <w:p>
            <w:pPr>
              <w:pStyle w:val="Compact"/>
              <w:jc w:val="center"/>
            </w:pPr>
            <w:r>
              <w:t xml:space="preserve">0.0718</w:t>
            </w:r>
          </w:p>
        </w:tc>
      </w:tr>
      <w:tr>
        <w:tc>
          <w:tcPr/>
          <w:p>
            <w:pPr>
              <w:pStyle w:val="Compact"/>
              <w:jc w:val="left"/>
            </w:pPr>
            <w:r>
              <w:t xml:space="preserve">      G × Language</w:t>
            </w:r>
          </w:p>
        </w:tc>
        <w:tc>
          <w:tcPr/>
          <w:p>
            <w:pPr>
              <w:pStyle w:val="Compact"/>
              <w:jc w:val="center"/>
            </w:pPr>
            <w:r>
              <w:t xml:space="preserve">⁠ ⁠ ⁠0.0269</w:t>
            </w:r>
          </w:p>
        </w:tc>
        <w:tc>
          <w:tcPr/>
          <w:p>
            <w:pPr>
              <w:pStyle w:val="Compact"/>
              <w:jc w:val="center"/>
            </w:pPr>
            <w:r>
              <w:t xml:space="preserve">−0.0002</w:t>
            </w:r>
          </w:p>
        </w:tc>
        <w:tc>
          <w:tcPr/>
          <w:p>
            <w:pPr>
              <w:pStyle w:val="Compact"/>
              <w:jc w:val="center"/>
            </w:pPr>
            <w:r>
              <w:t xml:space="preserve">0.0543</w:t>
            </w:r>
          </w:p>
        </w:tc>
        <w:tc>
          <w:tcPr/>
          <w:p>
            <w:pPr>
              <w:pStyle w:val="Compact"/>
              <w:jc w:val="center"/>
            </w:pPr>
            <w:r>
              <w:t xml:space="preserve">⁠ ⁠ ⁠0.0288</w:t>
            </w:r>
          </w:p>
        </w:tc>
        <w:tc>
          <w:tcPr/>
          <w:p>
            <w:pPr>
              <w:pStyle w:val="Compact"/>
              <w:jc w:val="center"/>
            </w:pPr>
            <w:r>
              <w:t xml:space="preserve">−0.0000</w:t>
            </w:r>
          </w:p>
        </w:tc>
        <w:tc>
          <w:tcPr/>
          <w:p>
            <w:pPr>
              <w:pStyle w:val="Compact"/>
              <w:jc w:val="center"/>
            </w:pPr>
            <w:r>
              <w:t xml:space="preserve">0.0582</w:t>
            </w:r>
          </w:p>
        </w:tc>
      </w:tr>
      <w:tr>
        <w:tc>
          <w:tcPr/>
          <w:p>
            <w:pPr>
              <w:pStyle w:val="Compact"/>
              <w:jc w:val="left"/>
            </w:pPr>
            <w:r>
              <w:t xml:space="preserve">      G × Session</w:t>
            </w:r>
          </w:p>
        </w:tc>
        <w:tc>
          <w:tcPr/>
          <w:p>
            <w:pPr>
              <w:pStyle w:val="Compact"/>
              <w:jc w:val="center"/>
            </w:pPr>
            <w:r>
              <w:t xml:space="preserve">⁠ ⁠ ⁠0.0042</w:t>
            </w:r>
          </w:p>
        </w:tc>
        <w:tc>
          <w:tcPr/>
          <w:p>
            <w:pPr>
              <w:pStyle w:val="Compact"/>
              <w:jc w:val="center"/>
            </w:pPr>
            <w:r>
              <w:t xml:space="preserve">−0.0159</w:t>
            </w:r>
          </w:p>
        </w:tc>
        <w:tc>
          <w:tcPr/>
          <w:p>
            <w:pPr>
              <w:pStyle w:val="Compact"/>
              <w:jc w:val="center"/>
            </w:pPr>
            <w:r>
              <w:t xml:space="preserve">0.0246</w:t>
            </w:r>
          </w:p>
        </w:tc>
        <w:tc>
          <w:tcPr/>
          <w:p>
            <w:pPr>
              <w:pStyle w:val="Compact"/>
              <w:jc w:val="center"/>
            </w:pPr>
            <w:r>
              <w:t xml:space="preserve">⁠ ⁠ ⁠0.0052</w:t>
            </w:r>
          </w:p>
        </w:tc>
        <w:tc>
          <w:tcPr/>
          <w:p>
            <w:pPr>
              <w:pStyle w:val="Compact"/>
              <w:jc w:val="center"/>
            </w:pPr>
            <w:r>
              <w:t xml:space="preserve">−0.0165</w:t>
            </w:r>
          </w:p>
        </w:tc>
        <w:tc>
          <w:tcPr/>
          <w:p>
            <w:pPr>
              <w:pStyle w:val="Compact"/>
              <w:jc w:val="center"/>
            </w:pPr>
            <w:r>
              <w:t xml:space="preserve">0.0274</w:t>
            </w:r>
          </w:p>
        </w:tc>
      </w:tr>
      <w:tr>
        <w:tc>
          <w:tcPr/>
          <w:p>
            <w:pPr>
              <w:pStyle w:val="Compact"/>
              <w:jc w:val="left"/>
            </w:pPr>
            <w:r>
              <w:t xml:space="preserve">      G × Session × Language</w:t>
            </w:r>
          </w:p>
        </w:tc>
        <w:tc>
          <w:tcPr/>
          <w:p>
            <w:pPr>
              <w:pStyle w:val="Compact"/>
              <w:jc w:val="center"/>
            </w:pPr>
            <w:r>
              <w:t xml:space="preserve">−0.0008</w:t>
            </w:r>
          </w:p>
        </w:tc>
        <w:tc>
          <w:tcPr/>
          <w:p>
            <w:pPr>
              <w:pStyle w:val="Compact"/>
              <w:jc w:val="center"/>
            </w:pPr>
            <w:r>
              <w:t xml:space="preserve">−0.0207</w:t>
            </w:r>
          </w:p>
        </w:tc>
        <w:tc>
          <w:tcPr/>
          <w:p>
            <w:pPr>
              <w:pStyle w:val="Compact"/>
              <w:jc w:val="center"/>
            </w:pPr>
            <w:r>
              <w:t xml:space="preserve">0.0195</w:t>
            </w:r>
          </w:p>
        </w:tc>
        <w:tc>
          <w:tcPr/>
          <w:p>
            <w:pPr>
              <w:pStyle w:val="Compact"/>
              <w:jc w:val="center"/>
            </w:pPr>
            <w:r>
              <w:t xml:space="preserve">−0.0044</w:t>
            </w:r>
          </w:p>
        </w:tc>
        <w:tc>
          <w:tcPr/>
          <w:p>
            <w:pPr>
              <w:pStyle w:val="Compact"/>
              <w:jc w:val="center"/>
            </w:pPr>
            <w:r>
              <w:t xml:space="preserve">−0.0262</w:t>
            </w:r>
          </w:p>
        </w:tc>
        <w:tc>
          <w:tcPr/>
          <w:p>
            <w:pPr>
              <w:pStyle w:val="Compact"/>
              <w:jc w:val="center"/>
            </w:pPr>
            <w:r>
              <w:t xml:space="preserve">0.0173</w:t>
            </w:r>
          </w:p>
        </w:tc>
      </w:tr>
      <w:tr>
        <w:tc>
          <w:tcPr>
            <w:gridSpan w:val="7"/>
          </w:tcPr>
          <w:p>
            <w:pPr>
              <w:pStyle w:val="Compact"/>
              <w:jc w:val="left"/>
            </w:pPr>
            <w:r>
              <w:t xml:space="preserve">   200–500 ms, midline</w:t>
            </w:r>
          </w:p>
        </w:tc>
      </w:tr>
      <w:tr>
        <w:tc>
          <w:tcPr/>
          <w:p>
            <w:pPr>
              <w:pStyle w:val="Compact"/>
              <w:jc w:val="left"/>
            </w:pPr>
            <w:r>
              <w:t xml:space="preserve">      Grammaticality (G)</w:t>
            </w:r>
          </w:p>
        </w:tc>
        <w:tc>
          <w:tcPr/>
          <w:p>
            <w:pPr>
              <w:pStyle w:val="Compact"/>
              <w:jc w:val="center"/>
            </w:pPr>
            <w:r>
              <w:t xml:space="preserve">⁠ ⁠ ⁠0.0433</w:t>
            </w:r>
          </w:p>
        </w:tc>
        <w:tc>
          <w:tcPr/>
          <w:p>
            <w:pPr>
              <w:pStyle w:val="Compact"/>
              <w:jc w:val="center"/>
            </w:pPr>
            <w:r>
              <w:t xml:space="preserve">⁠ ⁠ ⁠0.0161</w:t>
            </w:r>
          </w:p>
        </w:tc>
        <w:tc>
          <w:tcPr/>
          <w:p>
            <w:pPr>
              <w:pStyle w:val="Compact"/>
              <w:jc w:val="center"/>
            </w:pPr>
            <w:r>
              <w:t xml:space="preserve">0.0708</w:t>
            </w:r>
          </w:p>
        </w:tc>
        <w:tc>
          <w:tcPr/>
          <w:p>
            <w:pPr>
              <w:pStyle w:val="Compact"/>
              <w:jc w:val="center"/>
            </w:pPr>
            <w:r>
              <w:t xml:space="preserve">⁠ ⁠ ⁠0.0456</w:t>
            </w:r>
          </w:p>
        </w:tc>
        <w:tc>
          <w:tcPr/>
          <w:p>
            <w:pPr>
              <w:pStyle w:val="Compact"/>
              <w:jc w:val="center"/>
            </w:pPr>
            <w:r>
              <w:t xml:space="preserve">⁠ ⁠ ⁠0.0161</w:t>
            </w:r>
          </w:p>
        </w:tc>
        <w:tc>
          <w:tcPr/>
          <w:p>
            <w:pPr>
              <w:pStyle w:val="Compact"/>
              <w:jc w:val="center"/>
            </w:pPr>
            <w:r>
              <w:t xml:space="preserve">0.0753</w:t>
            </w:r>
          </w:p>
        </w:tc>
      </w:tr>
      <w:tr>
        <w:tc>
          <w:tcPr/>
          <w:p>
            <w:pPr>
              <w:pStyle w:val="Compact"/>
              <w:jc w:val="left"/>
            </w:pPr>
            <w:r>
              <w:t xml:space="preserve">      G × Language</w:t>
            </w:r>
          </w:p>
        </w:tc>
        <w:tc>
          <w:tcPr/>
          <w:p>
            <w:pPr>
              <w:pStyle w:val="Compact"/>
              <w:jc w:val="center"/>
            </w:pPr>
            <w:r>
              <w:t xml:space="preserve">⁠ ⁠ ⁠0.0179</w:t>
            </w:r>
          </w:p>
        </w:tc>
        <w:tc>
          <w:tcPr/>
          <w:p>
            <w:pPr>
              <w:pStyle w:val="Compact"/>
              <w:jc w:val="center"/>
            </w:pPr>
            <w:r>
              <w:t xml:space="preserve">−0.0096</w:t>
            </w:r>
          </w:p>
        </w:tc>
        <w:tc>
          <w:tcPr/>
          <w:p>
            <w:pPr>
              <w:pStyle w:val="Compact"/>
              <w:jc w:val="center"/>
            </w:pPr>
            <w:r>
              <w:t xml:space="preserve">0.0457</w:t>
            </w:r>
          </w:p>
        </w:tc>
        <w:tc>
          <w:tcPr/>
          <w:p>
            <w:pPr>
              <w:pStyle w:val="Compact"/>
              <w:jc w:val="center"/>
            </w:pPr>
            <w:r>
              <w:t xml:space="preserve">⁠ ⁠ ⁠0.0198</w:t>
            </w:r>
          </w:p>
        </w:tc>
        <w:tc>
          <w:tcPr/>
          <w:p>
            <w:pPr>
              <w:pStyle w:val="Compact"/>
              <w:jc w:val="center"/>
            </w:pPr>
            <w:r>
              <w:t xml:space="preserve">−0.0098</w:t>
            </w:r>
          </w:p>
        </w:tc>
        <w:tc>
          <w:tcPr/>
          <w:p>
            <w:pPr>
              <w:pStyle w:val="Compact"/>
              <w:jc w:val="center"/>
            </w:pPr>
            <w:r>
              <w:t xml:space="preserve">0.0493</w:t>
            </w:r>
          </w:p>
        </w:tc>
      </w:tr>
      <w:tr>
        <w:tc>
          <w:tcPr/>
          <w:p>
            <w:pPr>
              <w:pStyle w:val="Compact"/>
              <w:jc w:val="left"/>
            </w:pPr>
            <w:r>
              <w:t xml:space="preserve">      G × Session</w:t>
            </w:r>
          </w:p>
        </w:tc>
        <w:tc>
          <w:tcPr/>
          <w:p>
            <w:pPr>
              <w:pStyle w:val="Compact"/>
              <w:jc w:val="center"/>
            </w:pPr>
            <w:r>
              <w:t xml:space="preserve">⁠ ⁠ ⁠0.0011</w:t>
            </w:r>
          </w:p>
        </w:tc>
        <w:tc>
          <w:tcPr/>
          <w:p>
            <w:pPr>
              <w:pStyle w:val="Compact"/>
              <w:jc w:val="center"/>
            </w:pPr>
            <w:r>
              <w:t xml:space="preserve">−0.0224</w:t>
            </w:r>
          </w:p>
        </w:tc>
        <w:tc>
          <w:tcPr/>
          <w:p>
            <w:pPr>
              <w:pStyle w:val="Compact"/>
              <w:jc w:val="center"/>
            </w:pPr>
            <w:r>
              <w:t xml:space="preserve">0.0251</w:t>
            </w:r>
          </w:p>
        </w:tc>
        <w:tc>
          <w:tcPr/>
          <w:p>
            <w:pPr>
              <w:pStyle w:val="Compact"/>
              <w:jc w:val="center"/>
            </w:pPr>
            <w:r>
              <w:t xml:space="preserve">−0.0005</w:t>
            </w:r>
          </w:p>
        </w:tc>
        <w:tc>
          <w:tcPr/>
          <w:p>
            <w:pPr>
              <w:pStyle w:val="Compact"/>
              <w:jc w:val="center"/>
            </w:pPr>
            <w:r>
              <w:t xml:space="preserve">−0.0254</w:t>
            </w:r>
          </w:p>
        </w:tc>
        <w:tc>
          <w:tcPr/>
          <w:p>
            <w:pPr>
              <w:pStyle w:val="Compact"/>
              <w:jc w:val="center"/>
            </w:pPr>
            <w:r>
              <w:t xml:space="preserve">0.0252</w:t>
            </w:r>
          </w:p>
        </w:tc>
      </w:tr>
      <w:tr>
        <w:tc>
          <w:tcPr/>
          <w:p>
            <w:pPr>
              <w:pStyle w:val="Compact"/>
              <w:jc w:val="left"/>
            </w:pPr>
            <w:r>
              <w:t xml:space="preserve">      G × Session × Language</w:t>
            </w:r>
          </w:p>
        </w:tc>
        <w:tc>
          <w:tcPr/>
          <w:p>
            <w:pPr>
              <w:pStyle w:val="Compact"/>
              <w:jc w:val="center"/>
            </w:pPr>
            <w:r>
              <w:t xml:space="preserve">⁠ ⁠ ⁠0.0089</w:t>
            </w:r>
          </w:p>
        </w:tc>
        <w:tc>
          <w:tcPr/>
          <w:p>
            <w:pPr>
              <w:pStyle w:val="Compact"/>
              <w:jc w:val="center"/>
            </w:pPr>
            <w:r>
              <w:t xml:space="preserve">−0.0148</w:t>
            </w:r>
          </w:p>
        </w:tc>
        <w:tc>
          <w:tcPr/>
          <w:p>
            <w:pPr>
              <w:pStyle w:val="Compact"/>
              <w:jc w:val="center"/>
            </w:pPr>
            <w:r>
              <w:t xml:space="preserve">0.0325</w:t>
            </w:r>
          </w:p>
        </w:tc>
        <w:tc>
          <w:tcPr/>
          <w:p>
            <w:pPr>
              <w:pStyle w:val="Compact"/>
              <w:jc w:val="center"/>
            </w:pPr>
            <w:r>
              <w:t xml:space="preserve">⁠ ⁠ ⁠0.0065</w:t>
            </w:r>
          </w:p>
        </w:tc>
        <w:tc>
          <w:tcPr/>
          <w:p>
            <w:pPr>
              <w:pStyle w:val="Compact"/>
              <w:jc w:val="center"/>
            </w:pPr>
            <w:r>
              <w:t xml:space="preserve">−0.0186</w:t>
            </w:r>
          </w:p>
        </w:tc>
        <w:tc>
          <w:tcPr/>
          <w:p>
            <w:pPr>
              <w:pStyle w:val="Compact"/>
              <w:jc w:val="center"/>
            </w:pPr>
            <w:r>
              <w:t xml:space="preserve">0.0318</w:t>
            </w:r>
          </w:p>
        </w:tc>
      </w:tr>
      <w:tr>
        <w:tc>
          <w:tcPr>
            <w:gridSpan w:val="7"/>
          </w:tcPr>
          <w:p>
            <w:pPr>
              <w:pStyle w:val="Compact"/>
              <w:jc w:val="left"/>
            </w:pPr>
            <w:r>
              <w:t xml:space="preserve">   300–600 ms, lateral</w:t>
            </w:r>
          </w:p>
        </w:tc>
      </w:tr>
      <w:tr>
        <w:tc>
          <w:tcPr/>
          <w:p>
            <w:pPr>
              <w:pStyle w:val="Compact"/>
              <w:jc w:val="left"/>
            </w:pPr>
            <w:r>
              <w:t xml:space="preserve">      Grammaticality (G)</w:t>
            </w:r>
          </w:p>
        </w:tc>
        <w:tc>
          <w:tcPr/>
          <w:p>
            <w:pPr>
              <w:pStyle w:val="Compact"/>
              <w:jc w:val="center"/>
            </w:pPr>
            <w:r>
              <w:t xml:space="preserve">⁠ ⁠ ⁠0.0221</w:t>
            </w:r>
          </w:p>
        </w:tc>
        <w:tc>
          <w:tcPr/>
          <w:p>
            <w:pPr>
              <w:pStyle w:val="Compact"/>
              <w:jc w:val="center"/>
            </w:pPr>
            <w:r>
              <w:t xml:space="preserve">−0.0051</w:t>
            </w:r>
          </w:p>
        </w:tc>
        <w:tc>
          <w:tcPr/>
          <w:p>
            <w:pPr>
              <w:pStyle w:val="Compact"/>
              <w:jc w:val="center"/>
            </w:pPr>
            <w:r>
              <w:t xml:space="preserve">0.0503</w:t>
            </w:r>
          </w:p>
        </w:tc>
        <w:tc>
          <w:tcPr/>
          <w:p>
            <w:pPr>
              <w:pStyle w:val="Compact"/>
              <w:jc w:val="center"/>
            </w:pPr>
            <w:r>
              <w:t xml:space="preserve">⁠ ⁠ ⁠0.0234</w:t>
            </w:r>
          </w:p>
        </w:tc>
        <w:tc>
          <w:tcPr/>
          <w:p>
            <w:pPr>
              <w:pStyle w:val="Compact"/>
              <w:jc w:val="center"/>
            </w:pPr>
            <w:r>
              <w:t xml:space="preserve">−0.0064</w:t>
            </w:r>
          </w:p>
        </w:tc>
        <w:tc>
          <w:tcPr/>
          <w:p>
            <w:pPr>
              <w:pStyle w:val="Compact"/>
              <w:jc w:val="center"/>
            </w:pPr>
            <w:r>
              <w:t xml:space="preserve">0.0535</w:t>
            </w:r>
          </w:p>
        </w:tc>
      </w:tr>
      <w:tr>
        <w:tc>
          <w:tcPr/>
          <w:p>
            <w:pPr>
              <w:pStyle w:val="Compact"/>
              <w:jc w:val="left"/>
            </w:pPr>
            <w:r>
              <w:t xml:space="preserve">      G × Language</w:t>
            </w:r>
          </w:p>
        </w:tc>
        <w:tc>
          <w:tcPr/>
          <w:p>
            <w:pPr>
              <w:pStyle w:val="Compact"/>
              <w:jc w:val="center"/>
            </w:pPr>
            <w:r>
              <w:t xml:space="preserve">⁠ ⁠ ⁠0.0206</w:t>
            </w:r>
          </w:p>
        </w:tc>
        <w:tc>
          <w:tcPr/>
          <w:p>
            <w:pPr>
              <w:pStyle w:val="Compact"/>
              <w:jc w:val="center"/>
            </w:pPr>
            <w:r>
              <w:t xml:space="preserve">−0.0073</w:t>
            </w:r>
          </w:p>
        </w:tc>
        <w:tc>
          <w:tcPr/>
          <w:p>
            <w:pPr>
              <w:pStyle w:val="Compact"/>
              <w:jc w:val="center"/>
            </w:pPr>
            <w:r>
              <w:t xml:space="preserve">0.0483</w:t>
            </w:r>
          </w:p>
        </w:tc>
        <w:tc>
          <w:tcPr/>
          <w:p>
            <w:pPr>
              <w:pStyle w:val="Compact"/>
              <w:jc w:val="center"/>
            </w:pPr>
            <w:r>
              <w:t xml:space="preserve">⁠ ⁠ ⁠0.0222</w:t>
            </w:r>
          </w:p>
        </w:tc>
        <w:tc>
          <w:tcPr/>
          <w:p>
            <w:pPr>
              <w:pStyle w:val="Compact"/>
              <w:jc w:val="center"/>
            </w:pPr>
            <w:r>
              <w:t xml:space="preserve">−0.0077</w:t>
            </w:r>
          </w:p>
        </w:tc>
        <w:tc>
          <w:tcPr/>
          <w:p>
            <w:pPr>
              <w:pStyle w:val="Compact"/>
              <w:jc w:val="center"/>
            </w:pPr>
            <w:r>
              <w:t xml:space="preserve">0.0524</w:t>
            </w:r>
          </w:p>
        </w:tc>
      </w:tr>
      <w:tr>
        <w:tc>
          <w:tcPr/>
          <w:p>
            <w:pPr>
              <w:pStyle w:val="Compact"/>
              <w:jc w:val="left"/>
            </w:pPr>
            <w:r>
              <w:t xml:space="preserve">      G × Session</w:t>
            </w:r>
          </w:p>
        </w:tc>
        <w:tc>
          <w:tcPr/>
          <w:p>
            <w:pPr>
              <w:pStyle w:val="Compact"/>
              <w:jc w:val="center"/>
            </w:pPr>
            <w:r>
              <w:t xml:space="preserve">⁠ ⁠ ⁠0.0091</w:t>
            </w:r>
          </w:p>
        </w:tc>
        <w:tc>
          <w:tcPr/>
          <w:p>
            <w:pPr>
              <w:pStyle w:val="Compact"/>
              <w:jc w:val="center"/>
            </w:pPr>
            <w:r>
              <w:t xml:space="preserve">−0.0110</w:t>
            </w:r>
          </w:p>
        </w:tc>
        <w:tc>
          <w:tcPr/>
          <w:p>
            <w:pPr>
              <w:pStyle w:val="Compact"/>
              <w:jc w:val="center"/>
            </w:pPr>
            <w:r>
              <w:t xml:space="preserve">0.0289</w:t>
            </w:r>
          </w:p>
        </w:tc>
        <w:tc>
          <w:tcPr/>
          <w:p>
            <w:pPr>
              <w:pStyle w:val="Compact"/>
              <w:jc w:val="center"/>
            </w:pPr>
            <w:r>
              <w:t xml:space="preserve">⁠ ⁠ ⁠0.0091</w:t>
            </w:r>
          </w:p>
        </w:tc>
        <w:tc>
          <w:tcPr/>
          <w:p>
            <w:pPr>
              <w:pStyle w:val="Compact"/>
              <w:jc w:val="center"/>
            </w:pPr>
            <w:r>
              <w:t xml:space="preserve">−0.0121</w:t>
            </w:r>
          </w:p>
        </w:tc>
        <w:tc>
          <w:tcPr/>
          <w:p>
            <w:pPr>
              <w:pStyle w:val="Compact"/>
              <w:jc w:val="center"/>
            </w:pPr>
            <w:r>
              <w:t xml:space="preserve">0.0305</w:t>
            </w:r>
          </w:p>
        </w:tc>
      </w:tr>
      <w:tr>
        <w:tc>
          <w:tcPr/>
          <w:p>
            <w:pPr>
              <w:pStyle w:val="Compact"/>
              <w:jc w:val="left"/>
            </w:pPr>
            <w:r>
              <w:t xml:space="preserve">      G × Session × Language</w:t>
            </w:r>
          </w:p>
        </w:tc>
        <w:tc>
          <w:tcPr/>
          <w:p>
            <w:pPr>
              <w:pStyle w:val="Compact"/>
              <w:jc w:val="center"/>
            </w:pPr>
            <w:r>
              <w:t xml:space="preserve">−0.0010</w:t>
            </w:r>
          </w:p>
        </w:tc>
        <w:tc>
          <w:tcPr/>
          <w:p>
            <w:pPr>
              <w:pStyle w:val="Compact"/>
              <w:jc w:val="center"/>
            </w:pPr>
            <w:r>
              <w:t xml:space="preserve">−0.0206</w:t>
            </w:r>
          </w:p>
        </w:tc>
        <w:tc>
          <w:tcPr/>
          <w:p>
            <w:pPr>
              <w:pStyle w:val="Compact"/>
              <w:jc w:val="center"/>
            </w:pPr>
            <w:r>
              <w:t xml:space="preserve">0.0191</w:t>
            </w:r>
          </w:p>
        </w:tc>
        <w:tc>
          <w:tcPr/>
          <w:p>
            <w:pPr>
              <w:pStyle w:val="Compact"/>
              <w:jc w:val="center"/>
            </w:pPr>
            <w:r>
              <w:t xml:space="preserve">−0.0042</w:t>
            </w:r>
          </w:p>
        </w:tc>
        <w:tc>
          <w:tcPr/>
          <w:p>
            <w:pPr>
              <w:pStyle w:val="Compact"/>
              <w:jc w:val="center"/>
            </w:pPr>
            <w:r>
              <w:t xml:space="preserve">−0.0260</w:t>
            </w:r>
          </w:p>
        </w:tc>
        <w:tc>
          <w:tcPr/>
          <w:p>
            <w:pPr>
              <w:pStyle w:val="Compact"/>
              <w:jc w:val="center"/>
            </w:pPr>
            <w:r>
              <w:t xml:space="preserve">0.0174</w:t>
            </w:r>
          </w:p>
        </w:tc>
      </w:tr>
      <w:tr>
        <w:tc>
          <w:tcPr>
            <w:gridSpan w:val="7"/>
          </w:tcPr>
          <w:p>
            <w:pPr>
              <w:pStyle w:val="Compact"/>
              <w:jc w:val="left"/>
            </w:pPr>
            <w:r>
              <w:t xml:space="preserve">   300–600 ms, midline</w:t>
            </w:r>
          </w:p>
        </w:tc>
      </w:tr>
      <w:tr>
        <w:tc>
          <w:tcPr/>
          <w:p>
            <w:pPr>
              <w:pStyle w:val="Compact"/>
              <w:jc w:val="left"/>
            </w:pPr>
            <w:r>
              <w:t xml:space="preserve">      Grammaticality (G)</w:t>
            </w:r>
          </w:p>
        </w:tc>
        <w:tc>
          <w:tcPr/>
          <w:p>
            <w:pPr>
              <w:pStyle w:val="Compact"/>
              <w:jc w:val="center"/>
            </w:pPr>
            <w:r>
              <w:t xml:space="preserve">⁠ ⁠ ⁠0.0224</w:t>
            </w:r>
          </w:p>
        </w:tc>
        <w:tc>
          <w:tcPr/>
          <w:p>
            <w:pPr>
              <w:pStyle w:val="Compact"/>
              <w:jc w:val="center"/>
            </w:pPr>
            <w:r>
              <w:t xml:space="preserve">−0.0045</w:t>
            </w:r>
          </w:p>
        </w:tc>
        <w:tc>
          <w:tcPr/>
          <w:p>
            <w:pPr>
              <w:pStyle w:val="Compact"/>
              <w:jc w:val="center"/>
            </w:pPr>
            <w:r>
              <w:t xml:space="preserve">0.0497</w:t>
            </w:r>
          </w:p>
        </w:tc>
        <w:tc>
          <w:tcPr/>
          <w:p>
            <w:pPr>
              <w:pStyle w:val="Compact"/>
              <w:jc w:val="center"/>
            </w:pPr>
            <w:r>
              <w:t xml:space="preserve">⁠ ⁠ ⁠0.0261</w:t>
            </w:r>
          </w:p>
        </w:tc>
        <w:tc>
          <w:tcPr/>
          <w:p>
            <w:pPr>
              <w:pStyle w:val="Compact"/>
              <w:jc w:val="center"/>
            </w:pPr>
            <w:r>
              <w:t xml:space="preserve">−0.0034</w:t>
            </w:r>
          </w:p>
        </w:tc>
        <w:tc>
          <w:tcPr/>
          <w:p>
            <w:pPr>
              <w:pStyle w:val="Compact"/>
              <w:jc w:val="center"/>
            </w:pPr>
            <w:r>
              <w:t xml:space="preserve">0.0555</w:t>
            </w:r>
          </w:p>
        </w:tc>
      </w:tr>
      <w:tr>
        <w:tc>
          <w:tcPr/>
          <w:p>
            <w:pPr>
              <w:pStyle w:val="Compact"/>
              <w:jc w:val="left"/>
            </w:pPr>
            <w:r>
              <w:t xml:space="preserve">      G × Language</w:t>
            </w:r>
          </w:p>
        </w:tc>
        <w:tc>
          <w:tcPr/>
          <w:p>
            <w:pPr>
              <w:pStyle w:val="Compact"/>
              <w:jc w:val="center"/>
            </w:pPr>
            <w:r>
              <w:t xml:space="preserve">⁠ ⁠ ⁠0.0206</w:t>
            </w:r>
          </w:p>
        </w:tc>
        <w:tc>
          <w:tcPr/>
          <w:p>
            <w:pPr>
              <w:pStyle w:val="Compact"/>
              <w:jc w:val="center"/>
            </w:pPr>
            <w:r>
              <w:t xml:space="preserve">−0.0067</w:t>
            </w:r>
          </w:p>
        </w:tc>
        <w:tc>
          <w:tcPr/>
          <w:p>
            <w:pPr>
              <w:pStyle w:val="Compact"/>
              <w:jc w:val="center"/>
            </w:pPr>
            <w:r>
              <w:t xml:space="preserve">0.0478</w:t>
            </w:r>
          </w:p>
        </w:tc>
        <w:tc>
          <w:tcPr/>
          <w:p>
            <w:pPr>
              <w:pStyle w:val="Compact"/>
              <w:jc w:val="center"/>
            </w:pPr>
            <w:r>
              <w:t xml:space="preserve">⁠ ⁠ ⁠0.0231</w:t>
            </w:r>
          </w:p>
        </w:tc>
        <w:tc>
          <w:tcPr/>
          <w:p>
            <w:pPr>
              <w:pStyle w:val="Compact"/>
              <w:jc w:val="center"/>
            </w:pPr>
            <w:r>
              <w:t xml:space="preserve">−0.0068</w:t>
            </w:r>
          </w:p>
        </w:tc>
        <w:tc>
          <w:tcPr/>
          <w:p>
            <w:pPr>
              <w:pStyle w:val="Compact"/>
              <w:jc w:val="center"/>
            </w:pPr>
            <w:r>
              <w:t xml:space="preserve">0.0526</w:t>
            </w:r>
          </w:p>
        </w:tc>
      </w:tr>
      <w:tr>
        <w:tc>
          <w:tcPr/>
          <w:p>
            <w:pPr>
              <w:pStyle w:val="Compact"/>
              <w:jc w:val="left"/>
            </w:pPr>
            <w:r>
              <w:t xml:space="preserve">      G × Session</w:t>
            </w:r>
          </w:p>
        </w:tc>
        <w:tc>
          <w:tcPr/>
          <w:p>
            <w:pPr>
              <w:pStyle w:val="Compact"/>
              <w:jc w:val="center"/>
            </w:pPr>
            <w:r>
              <w:t xml:space="preserve">⁠ ⁠ ⁠0.0065</w:t>
            </w:r>
          </w:p>
        </w:tc>
        <w:tc>
          <w:tcPr/>
          <w:p>
            <w:pPr>
              <w:pStyle w:val="Compact"/>
              <w:jc w:val="center"/>
            </w:pPr>
            <w:r>
              <w:t xml:space="preserve">−0.0160</w:t>
            </w:r>
          </w:p>
        </w:tc>
        <w:tc>
          <w:tcPr/>
          <w:p>
            <w:pPr>
              <w:pStyle w:val="Compact"/>
              <w:jc w:val="center"/>
            </w:pPr>
            <w:r>
              <w:t xml:space="preserve">0.0293</w:t>
            </w:r>
          </w:p>
        </w:tc>
        <w:tc>
          <w:tcPr/>
          <w:p>
            <w:pPr>
              <w:pStyle w:val="Compact"/>
              <w:jc w:val="center"/>
            </w:pPr>
            <w:r>
              <w:t xml:space="preserve">⁠ ⁠ ⁠0.0039</w:t>
            </w:r>
          </w:p>
        </w:tc>
        <w:tc>
          <w:tcPr/>
          <w:p>
            <w:pPr>
              <w:pStyle w:val="Compact"/>
              <w:jc w:val="center"/>
            </w:pPr>
            <w:r>
              <w:t xml:space="preserve">−0.0201</w:t>
            </w:r>
          </w:p>
        </w:tc>
        <w:tc>
          <w:tcPr/>
          <w:p>
            <w:pPr>
              <w:pStyle w:val="Compact"/>
              <w:jc w:val="center"/>
            </w:pPr>
            <w:r>
              <w:t xml:space="preserve">0.0277</w:t>
            </w:r>
          </w:p>
        </w:tc>
      </w:tr>
      <w:tr>
        <w:tc>
          <w:tcPr/>
          <w:p>
            <w:pPr>
              <w:pStyle w:val="Compact"/>
              <w:jc w:val="left"/>
            </w:pPr>
            <w:r>
              <w:t xml:space="preserve">      G × Session × Language</w:t>
            </w:r>
          </w:p>
        </w:tc>
        <w:tc>
          <w:tcPr/>
          <w:p>
            <w:pPr>
              <w:pStyle w:val="Compact"/>
              <w:jc w:val="center"/>
            </w:pPr>
            <w:r>
              <w:t xml:space="preserve">⁠ ⁠ ⁠0.0059</w:t>
            </w:r>
          </w:p>
        </w:tc>
        <w:tc>
          <w:tcPr/>
          <w:p>
            <w:pPr>
              <w:pStyle w:val="Compact"/>
              <w:jc w:val="center"/>
            </w:pPr>
            <w:r>
              <w:t xml:space="preserve">−0.0168</w:t>
            </w:r>
          </w:p>
        </w:tc>
        <w:tc>
          <w:tcPr/>
          <w:p>
            <w:pPr>
              <w:pStyle w:val="Compact"/>
              <w:jc w:val="center"/>
            </w:pPr>
            <w:r>
              <w:t xml:space="preserve">0.0284</w:t>
            </w:r>
          </w:p>
        </w:tc>
        <w:tc>
          <w:tcPr/>
          <w:p>
            <w:pPr>
              <w:pStyle w:val="Compact"/>
              <w:jc w:val="center"/>
            </w:pPr>
            <w:r>
              <w:t xml:space="preserve">⁠ ⁠ ⁠0.0039</w:t>
            </w:r>
          </w:p>
        </w:tc>
        <w:tc>
          <w:tcPr/>
          <w:p>
            <w:pPr>
              <w:pStyle w:val="Compact"/>
              <w:jc w:val="center"/>
            </w:pPr>
            <w:r>
              <w:t xml:space="preserve">−0.0197</w:t>
            </w:r>
          </w:p>
        </w:tc>
        <w:tc>
          <w:tcPr/>
          <w:p>
            <w:pPr>
              <w:pStyle w:val="Compact"/>
              <w:jc w:val="center"/>
            </w:pPr>
            <w:r>
              <w:t xml:space="preserve">0.0276</w:t>
            </w:r>
          </w:p>
        </w:tc>
      </w:tr>
      <w:tr>
        <w:tc>
          <w:tcPr>
            <w:gridSpan w:val="7"/>
          </w:tcPr>
          <w:p>
            <w:pPr>
              <w:pStyle w:val="Compact"/>
              <w:jc w:val="left"/>
            </w:pPr>
            <w:r>
              <w:t xml:space="preserve">   400–900 ms, lateral</w:t>
            </w:r>
          </w:p>
        </w:tc>
      </w:tr>
      <w:tr>
        <w:tc>
          <w:tcPr/>
          <w:p>
            <w:pPr>
              <w:pStyle w:val="Compact"/>
              <w:jc w:val="left"/>
            </w:pPr>
            <w:r>
              <w:t xml:space="preserve">      Grammaticality (G)</w:t>
            </w:r>
          </w:p>
        </w:tc>
        <w:tc>
          <w:tcPr/>
          <w:p>
            <w:pPr>
              <w:pStyle w:val="Compact"/>
              <w:jc w:val="center"/>
            </w:pPr>
            <w:r>
              <w:t xml:space="preserve">−0.0188</w:t>
            </w:r>
          </w:p>
        </w:tc>
        <w:tc>
          <w:tcPr/>
          <w:p>
            <w:pPr>
              <w:pStyle w:val="Compact"/>
              <w:jc w:val="center"/>
            </w:pPr>
            <w:r>
              <w:t xml:space="preserve">−0.0488</w:t>
            </w:r>
          </w:p>
        </w:tc>
        <w:tc>
          <w:tcPr/>
          <w:p>
            <w:pPr>
              <w:pStyle w:val="Compact"/>
              <w:jc w:val="center"/>
            </w:pPr>
            <w:r>
              <w:t xml:space="preserve">0.0103</w:t>
            </w:r>
          </w:p>
        </w:tc>
        <w:tc>
          <w:tcPr/>
          <w:p>
            <w:pPr>
              <w:pStyle w:val="Compact"/>
              <w:jc w:val="center"/>
            </w:pPr>
            <w:r>
              <w:t xml:space="preserve">−0.0206</w:t>
            </w:r>
          </w:p>
        </w:tc>
        <w:tc>
          <w:tcPr/>
          <w:p>
            <w:pPr>
              <w:pStyle w:val="Compact"/>
              <w:jc w:val="center"/>
            </w:pPr>
            <w:r>
              <w:t xml:space="preserve">−0.0527</w:t>
            </w:r>
          </w:p>
        </w:tc>
        <w:tc>
          <w:tcPr/>
          <w:p>
            <w:pPr>
              <w:pStyle w:val="Compact"/>
              <w:jc w:val="center"/>
            </w:pPr>
            <w:r>
              <w:t xml:space="preserve">0.0113</w:t>
            </w:r>
          </w:p>
        </w:tc>
      </w:tr>
      <w:tr>
        <w:tc>
          <w:tcPr/>
          <w:p>
            <w:pPr>
              <w:pStyle w:val="Compact"/>
              <w:jc w:val="left"/>
            </w:pPr>
            <w:r>
              <w:t xml:space="preserve">      G × Language</w:t>
            </w:r>
          </w:p>
        </w:tc>
        <w:tc>
          <w:tcPr/>
          <w:p>
            <w:pPr>
              <w:pStyle w:val="Compact"/>
              <w:jc w:val="center"/>
            </w:pPr>
            <w:r>
              <w:t xml:space="preserve">⁠ ⁠ ⁠0.0162</w:t>
            </w:r>
          </w:p>
        </w:tc>
        <w:tc>
          <w:tcPr/>
          <w:p>
            <w:pPr>
              <w:pStyle w:val="Compact"/>
              <w:jc w:val="center"/>
            </w:pPr>
            <w:r>
              <w:t xml:space="preserve">−0.0130</w:t>
            </w:r>
          </w:p>
        </w:tc>
        <w:tc>
          <w:tcPr/>
          <w:p>
            <w:pPr>
              <w:pStyle w:val="Compact"/>
              <w:jc w:val="center"/>
            </w:pPr>
            <w:r>
              <w:t xml:space="preserve">0.0451</w:t>
            </w:r>
          </w:p>
        </w:tc>
        <w:tc>
          <w:tcPr/>
          <w:p>
            <w:pPr>
              <w:pStyle w:val="Compact"/>
              <w:jc w:val="center"/>
            </w:pPr>
            <w:r>
              <w:t xml:space="preserve">⁠ ⁠ ⁠0.0170</w:t>
            </w:r>
          </w:p>
        </w:tc>
        <w:tc>
          <w:tcPr/>
          <w:p>
            <w:pPr>
              <w:pStyle w:val="Compact"/>
              <w:jc w:val="center"/>
            </w:pPr>
            <w:r>
              <w:t xml:space="preserve">−0.0153</w:t>
            </w:r>
          </w:p>
        </w:tc>
        <w:tc>
          <w:tcPr/>
          <w:p>
            <w:pPr>
              <w:pStyle w:val="Compact"/>
              <w:jc w:val="center"/>
            </w:pPr>
            <w:r>
              <w:t xml:space="preserve">0.0493</w:t>
            </w:r>
          </w:p>
        </w:tc>
      </w:tr>
      <w:tr>
        <w:tc>
          <w:tcPr/>
          <w:p>
            <w:pPr>
              <w:pStyle w:val="Compact"/>
              <w:jc w:val="left"/>
            </w:pPr>
            <w:r>
              <w:t xml:space="preserve">      G × Session</w:t>
            </w:r>
          </w:p>
        </w:tc>
        <w:tc>
          <w:tcPr/>
          <w:p>
            <w:pPr>
              <w:pStyle w:val="Compact"/>
              <w:jc w:val="center"/>
            </w:pPr>
            <w:r>
              <w:t xml:space="preserve">⁠ ⁠ ⁠0.0044</w:t>
            </w:r>
          </w:p>
        </w:tc>
        <w:tc>
          <w:tcPr/>
          <w:p>
            <w:pPr>
              <w:pStyle w:val="Compact"/>
              <w:jc w:val="center"/>
            </w:pPr>
            <w:r>
              <w:t xml:space="preserve">−0.0175</w:t>
            </w:r>
          </w:p>
        </w:tc>
        <w:tc>
          <w:tcPr/>
          <w:p>
            <w:pPr>
              <w:pStyle w:val="Compact"/>
              <w:jc w:val="center"/>
            </w:pPr>
            <w:r>
              <w:t xml:space="preserve">0.0258</w:t>
            </w:r>
          </w:p>
        </w:tc>
        <w:tc>
          <w:tcPr/>
          <w:p>
            <w:pPr>
              <w:pStyle w:val="Compact"/>
              <w:jc w:val="center"/>
            </w:pPr>
            <w:r>
              <w:t xml:space="preserve">⁠ ⁠ ⁠0.0081</w:t>
            </w:r>
          </w:p>
        </w:tc>
        <w:tc>
          <w:tcPr/>
          <w:p>
            <w:pPr>
              <w:pStyle w:val="Compact"/>
              <w:jc w:val="center"/>
            </w:pPr>
            <w:r>
              <w:t xml:space="preserve">−0.0153</w:t>
            </w:r>
          </w:p>
        </w:tc>
        <w:tc>
          <w:tcPr/>
          <w:p>
            <w:pPr>
              <w:pStyle w:val="Compact"/>
              <w:jc w:val="center"/>
            </w:pPr>
            <w:r>
              <w:t xml:space="preserve">0.0304</w:t>
            </w:r>
          </w:p>
        </w:tc>
      </w:tr>
      <w:tr>
        <w:tc>
          <w:tcPr/>
          <w:p>
            <w:pPr>
              <w:pStyle w:val="Compact"/>
              <w:jc w:val="left"/>
            </w:pPr>
            <w:r>
              <w:t xml:space="preserve">      G × Session × Language</w:t>
            </w:r>
          </w:p>
        </w:tc>
        <w:tc>
          <w:tcPr/>
          <w:p>
            <w:pPr>
              <w:pStyle w:val="Compact"/>
              <w:jc w:val="center"/>
            </w:pPr>
            <w:r>
              <w:t xml:space="preserve">−0.0035</w:t>
            </w:r>
          </w:p>
        </w:tc>
        <w:tc>
          <w:tcPr/>
          <w:p>
            <w:pPr>
              <w:pStyle w:val="Compact"/>
              <w:jc w:val="center"/>
            </w:pPr>
            <w:r>
              <w:t xml:space="preserve">−0.0250</w:t>
            </w:r>
          </w:p>
        </w:tc>
        <w:tc>
          <w:tcPr/>
          <w:p>
            <w:pPr>
              <w:pStyle w:val="Compact"/>
              <w:jc w:val="center"/>
            </w:pPr>
            <w:r>
              <w:t xml:space="preserve">0.0183</w:t>
            </w:r>
          </w:p>
        </w:tc>
        <w:tc>
          <w:tcPr/>
          <w:p>
            <w:pPr>
              <w:pStyle w:val="Compact"/>
              <w:jc w:val="center"/>
            </w:pPr>
            <w:r>
              <w:t xml:space="preserve">−0.0061</w:t>
            </w:r>
          </w:p>
        </w:tc>
        <w:tc>
          <w:tcPr/>
          <w:p>
            <w:pPr>
              <w:pStyle w:val="Compact"/>
              <w:jc w:val="center"/>
            </w:pPr>
            <w:r>
              <w:t xml:space="preserve">−0.0288</w:t>
            </w:r>
          </w:p>
        </w:tc>
        <w:tc>
          <w:tcPr/>
          <w:p>
            <w:pPr>
              <w:pStyle w:val="Compact"/>
              <w:jc w:val="center"/>
            </w:pPr>
            <w:r>
              <w:t xml:space="preserve">0.0177</w:t>
            </w:r>
          </w:p>
        </w:tc>
      </w:tr>
      <w:tr>
        <w:tc>
          <w:tcPr>
            <w:gridSpan w:val="7"/>
          </w:tcPr>
          <w:p>
            <w:pPr>
              <w:pStyle w:val="Compact"/>
              <w:jc w:val="left"/>
            </w:pPr>
            <w:r>
              <w:t xml:space="preserve">   400–900 ms, midline</w:t>
            </w:r>
          </w:p>
        </w:tc>
      </w:tr>
      <w:tr>
        <w:tc>
          <w:tcPr/>
          <w:p>
            <w:pPr>
              <w:pStyle w:val="Compact"/>
              <w:jc w:val="left"/>
            </w:pPr>
            <w:r>
              <w:t xml:space="preserve">      Grammaticality (G)</w:t>
            </w:r>
          </w:p>
        </w:tc>
        <w:tc>
          <w:tcPr/>
          <w:p>
            <w:pPr>
              <w:pStyle w:val="Compact"/>
              <w:jc w:val="center"/>
            </w:pPr>
            <w:r>
              <w:t xml:space="preserve">−0.0217</w:t>
            </w:r>
          </w:p>
        </w:tc>
        <w:tc>
          <w:tcPr/>
          <w:p>
            <w:pPr>
              <w:pStyle w:val="Compact"/>
              <w:jc w:val="center"/>
            </w:pPr>
            <w:r>
              <w:t xml:space="preserve">−0.0501</w:t>
            </w:r>
          </w:p>
        </w:tc>
        <w:tc>
          <w:tcPr/>
          <w:p>
            <w:pPr>
              <w:pStyle w:val="Compact"/>
              <w:jc w:val="center"/>
            </w:pPr>
            <w:r>
              <w:t xml:space="preserve">0.0070</w:t>
            </w:r>
          </w:p>
        </w:tc>
        <w:tc>
          <w:tcPr/>
          <w:p>
            <w:pPr>
              <w:pStyle w:val="Compact"/>
              <w:jc w:val="center"/>
            </w:pPr>
            <w:r>
              <w:t xml:space="preserve">−0.0228</w:t>
            </w:r>
          </w:p>
        </w:tc>
        <w:tc>
          <w:tcPr/>
          <w:p>
            <w:pPr>
              <w:pStyle w:val="Compact"/>
              <w:jc w:val="center"/>
            </w:pPr>
            <w:r>
              <w:t xml:space="preserve">−0.0542</w:t>
            </w:r>
          </w:p>
        </w:tc>
        <w:tc>
          <w:tcPr/>
          <w:p>
            <w:pPr>
              <w:pStyle w:val="Compact"/>
              <w:jc w:val="center"/>
            </w:pPr>
            <w:r>
              <w:t xml:space="preserve">0.0088</w:t>
            </w:r>
          </w:p>
        </w:tc>
      </w:tr>
      <w:tr>
        <w:tc>
          <w:tcPr/>
          <w:p>
            <w:pPr>
              <w:pStyle w:val="Compact"/>
              <w:jc w:val="left"/>
            </w:pPr>
            <w:r>
              <w:t xml:space="preserve">      G × Language</w:t>
            </w:r>
          </w:p>
        </w:tc>
        <w:tc>
          <w:tcPr/>
          <w:p>
            <w:pPr>
              <w:pStyle w:val="Compact"/>
              <w:jc w:val="center"/>
            </w:pPr>
            <w:r>
              <w:t xml:space="preserve">⁠ ⁠ ⁠0.0263</w:t>
            </w:r>
          </w:p>
        </w:tc>
        <w:tc>
          <w:tcPr/>
          <w:p>
            <w:pPr>
              <w:pStyle w:val="Compact"/>
              <w:jc w:val="center"/>
            </w:pPr>
            <w:r>
              <w:t xml:space="preserve">−0.0027</w:t>
            </w:r>
          </w:p>
        </w:tc>
        <w:tc>
          <w:tcPr/>
          <w:p>
            <w:pPr>
              <w:pStyle w:val="Compact"/>
              <w:jc w:val="center"/>
            </w:pPr>
            <w:r>
              <w:t xml:space="preserve">0.0549</w:t>
            </w:r>
          </w:p>
        </w:tc>
        <w:tc>
          <w:tcPr/>
          <w:p>
            <w:pPr>
              <w:pStyle w:val="Compact"/>
              <w:jc w:val="center"/>
            </w:pPr>
            <w:r>
              <w:t xml:space="preserve">⁠ ⁠ ⁠0.0289</w:t>
            </w:r>
          </w:p>
        </w:tc>
        <w:tc>
          <w:tcPr/>
          <w:p>
            <w:pPr>
              <w:pStyle w:val="Compact"/>
              <w:jc w:val="center"/>
            </w:pPr>
            <w:r>
              <w:t xml:space="preserve">−0.0024</w:t>
            </w:r>
          </w:p>
        </w:tc>
        <w:tc>
          <w:tcPr/>
          <w:p>
            <w:pPr>
              <w:pStyle w:val="Compact"/>
              <w:jc w:val="center"/>
            </w:pPr>
            <w:r>
              <w:t xml:space="preserve">0.0600</w:t>
            </w:r>
          </w:p>
        </w:tc>
      </w:tr>
      <w:tr>
        <w:tc>
          <w:tcPr/>
          <w:p>
            <w:pPr>
              <w:pStyle w:val="Compact"/>
              <w:jc w:val="left"/>
            </w:pPr>
            <w:r>
              <w:t xml:space="preserve">      G × Session</w:t>
            </w:r>
          </w:p>
        </w:tc>
        <w:tc>
          <w:tcPr/>
          <w:p>
            <w:pPr>
              <w:pStyle w:val="Compact"/>
              <w:jc w:val="center"/>
            </w:pPr>
            <w:r>
              <w:t xml:space="preserve">⁠ ⁠ ⁠0.0010</w:t>
            </w:r>
          </w:p>
        </w:tc>
        <w:tc>
          <w:tcPr/>
          <w:p>
            <w:pPr>
              <w:pStyle w:val="Compact"/>
              <w:jc w:val="center"/>
            </w:pPr>
            <w:r>
              <w:t xml:space="preserve">−0.0229</w:t>
            </w:r>
          </w:p>
        </w:tc>
        <w:tc>
          <w:tcPr/>
          <w:p>
            <w:pPr>
              <w:pStyle w:val="Compact"/>
              <w:jc w:val="center"/>
            </w:pPr>
            <w:r>
              <w:t xml:space="preserve">0.0243</w:t>
            </w:r>
          </w:p>
        </w:tc>
        <w:tc>
          <w:tcPr/>
          <w:p>
            <w:pPr>
              <w:pStyle w:val="Compact"/>
              <w:jc w:val="center"/>
            </w:pPr>
            <w:r>
              <w:t xml:space="preserve">⁠ ⁠ ⁠0.0020</w:t>
            </w:r>
          </w:p>
        </w:tc>
        <w:tc>
          <w:tcPr/>
          <w:p>
            <w:pPr>
              <w:pStyle w:val="Compact"/>
              <w:jc w:val="center"/>
            </w:pPr>
            <w:r>
              <w:t xml:space="preserve">−0.0238</w:t>
            </w:r>
          </w:p>
        </w:tc>
        <w:tc>
          <w:tcPr/>
          <w:p>
            <w:pPr>
              <w:pStyle w:val="Compact"/>
              <w:jc w:val="center"/>
            </w:pPr>
            <w:r>
              <w:t xml:space="preserve">0.0268</w:t>
            </w:r>
          </w:p>
        </w:tc>
      </w:tr>
      <w:tr>
        <w:tc>
          <w:tcPr/>
          <w:p>
            <w:pPr>
              <w:pStyle w:val="Compact"/>
              <w:jc w:val="left"/>
            </w:pPr>
            <w:r>
              <w:t xml:space="preserve">      G × Session × Language</w:t>
            </w:r>
          </w:p>
        </w:tc>
        <w:tc>
          <w:tcPr/>
          <w:p>
            <w:pPr>
              <w:pStyle w:val="Compact"/>
              <w:jc w:val="center"/>
            </w:pPr>
            <w:r>
              <w:t xml:space="preserve">⁠ ⁠ ⁠0.0017</w:t>
            </w:r>
          </w:p>
        </w:tc>
        <w:tc>
          <w:tcPr/>
          <w:p>
            <w:pPr>
              <w:pStyle w:val="Compact"/>
              <w:jc w:val="center"/>
            </w:pPr>
            <w:r>
              <w:t xml:space="preserve">−0.0211</w:t>
            </w:r>
          </w:p>
        </w:tc>
        <w:tc>
          <w:tcPr/>
          <w:p>
            <w:pPr>
              <w:pStyle w:val="Compact"/>
              <w:jc w:val="center"/>
            </w:pPr>
            <w:r>
              <w:t xml:space="preserve">0.0256</w:t>
            </w:r>
          </w:p>
        </w:tc>
        <w:tc>
          <w:tcPr/>
          <w:p>
            <w:pPr>
              <w:pStyle w:val="Compact"/>
              <w:jc w:val="center"/>
            </w:pPr>
            <w:r>
              <w:t xml:space="preserve">⁠ ⁠ ⁠0.0006</w:t>
            </w:r>
          </w:p>
        </w:tc>
        <w:tc>
          <w:tcPr/>
          <w:p>
            <w:pPr>
              <w:pStyle w:val="Compact"/>
              <w:jc w:val="center"/>
            </w:pPr>
            <w:r>
              <w:t xml:space="preserve">−0.0242</w:t>
            </w:r>
          </w:p>
        </w:tc>
        <w:tc>
          <w:tcPr/>
          <w:p>
            <w:pPr>
              <w:pStyle w:val="Compact"/>
              <w:jc w:val="center"/>
            </w:pPr>
            <w:r>
              <w:t xml:space="preserve">0.0258</w:t>
            </w:r>
          </w:p>
        </w:tc>
      </w:tr>
      <w:tr>
        <w:tc>
          <w:tcPr>
            <w:gridSpan w:val="7"/>
          </w:tcPr>
          <w:p>
            <w:pPr>
              <w:pStyle w:val="Compact"/>
              <w:jc w:val="left"/>
            </w:pPr>
            <w:r>
              <w:rPr>
                <w:i/>
                <w:iCs/>
              </w:rPr>
              <w:t xml:space="preserve">Verb–object number agreement</w:t>
            </w:r>
          </w:p>
        </w:tc>
      </w:tr>
      <w:tr>
        <w:tc>
          <w:tcPr>
            <w:gridSpan w:val="7"/>
          </w:tcPr>
          <w:p>
            <w:pPr>
              <w:pStyle w:val="Compact"/>
              <w:jc w:val="left"/>
            </w:pPr>
            <w:r>
              <w:t xml:space="preserve">   200–500 ms, lateral</w:t>
            </w:r>
          </w:p>
        </w:tc>
      </w:tr>
      <w:tr>
        <w:tc>
          <w:tcPr/>
          <w:p>
            <w:pPr>
              <w:pStyle w:val="Compact"/>
              <w:jc w:val="left"/>
            </w:pPr>
            <w:r>
              <w:t xml:space="preserve">      Grammaticality (G)</w:t>
            </w:r>
          </w:p>
        </w:tc>
        <w:tc>
          <w:tcPr/>
          <w:p>
            <w:pPr>
              <w:pStyle w:val="Compact"/>
              <w:jc w:val="center"/>
            </w:pPr>
            <w:r>
              <w:t xml:space="preserve">⁠ ⁠ ⁠0.0115</w:t>
            </w:r>
          </w:p>
        </w:tc>
        <w:tc>
          <w:tcPr/>
          <w:p>
            <w:pPr>
              <w:pStyle w:val="Compact"/>
              <w:jc w:val="center"/>
            </w:pPr>
            <w:r>
              <w:t xml:space="preserve">−0.0125</w:t>
            </w:r>
          </w:p>
        </w:tc>
        <w:tc>
          <w:tcPr/>
          <w:p>
            <w:pPr>
              <w:pStyle w:val="Compact"/>
              <w:jc w:val="center"/>
            </w:pPr>
            <w:r>
              <w:t xml:space="preserve">0.0355</w:t>
            </w:r>
          </w:p>
        </w:tc>
        <w:tc>
          <w:tcPr/>
          <w:p>
            <w:pPr>
              <w:pStyle w:val="Compact"/>
              <w:jc w:val="center"/>
            </w:pPr>
            <w:r>
              <w:t xml:space="preserve">⁠ ⁠ ⁠0.0134</w:t>
            </w:r>
          </w:p>
        </w:tc>
        <w:tc>
          <w:tcPr/>
          <w:p>
            <w:pPr>
              <w:pStyle w:val="Compact"/>
              <w:jc w:val="center"/>
            </w:pPr>
            <w:r>
              <w:t xml:space="preserve">−0.0108</w:t>
            </w:r>
          </w:p>
        </w:tc>
        <w:tc>
          <w:tcPr/>
          <w:p>
            <w:pPr>
              <w:pStyle w:val="Compact"/>
              <w:jc w:val="center"/>
            </w:pPr>
            <w:r>
              <w:t xml:space="preserve">0.0377</w:t>
            </w:r>
          </w:p>
        </w:tc>
      </w:tr>
      <w:tr>
        <w:tc>
          <w:tcPr/>
          <w:p>
            <w:pPr>
              <w:pStyle w:val="Compact"/>
              <w:jc w:val="left"/>
            </w:pPr>
            <w:r>
              <w:t xml:space="preserve">      G × Language</w:t>
            </w:r>
          </w:p>
        </w:tc>
        <w:tc>
          <w:tcPr/>
          <w:p>
            <w:pPr>
              <w:pStyle w:val="Compact"/>
              <w:jc w:val="center"/>
            </w:pPr>
            <w:r>
              <w:t xml:space="preserve">⁠ ⁠ ⁠0.0094</w:t>
            </w:r>
          </w:p>
        </w:tc>
        <w:tc>
          <w:tcPr/>
          <w:p>
            <w:pPr>
              <w:pStyle w:val="Compact"/>
              <w:jc w:val="center"/>
            </w:pPr>
            <w:r>
              <w:t xml:space="preserve">−0.0142</w:t>
            </w:r>
          </w:p>
        </w:tc>
        <w:tc>
          <w:tcPr/>
          <w:p>
            <w:pPr>
              <w:pStyle w:val="Compact"/>
              <w:jc w:val="center"/>
            </w:pPr>
            <w:r>
              <w:t xml:space="preserve">0.0334</w:t>
            </w:r>
          </w:p>
        </w:tc>
        <w:tc>
          <w:tcPr/>
          <w:p>
            <w:pPr>
              <w:pStyle w:val="Compact"/>
              <w:jc w:val="center"/>
            </w:pPr>
            <w:r>
              <w:t xml:space="preserve">⁠ ⁠ ⁠0.0078</w:t>
            </w:r>
          </w:p>
        </w:tc>
        <w:tc>
          <w:tcPr/>
          <w:p>
            <w:pPr>
              <w:pStyle w:val="Compact"/>
              <w:jc w:val="center"/>
            </w:pPr>
            <w:r>
              <w:t xml:space="preserve">−0.0163</w:t>
            </w:r>
          </w:p>
        </w:tc>
        <w:tc>
          <w:tcPr/>
          <w:p>
            <w:pPr>
              <w:pStyle w:val="Compact"/>
              <w:jc w:val="center"/>
            </w:pPr>
            <w:r>
              <w:t xml:space="preserve">0.0320</w:t>
            </w:r>
          </w:p>
        </w:tc>
      </w:tr>
      <w:tr>
        <w:tc>
          <w:tcPr/>
          <w:p>
            <w:pPr>
              <w:pStyle w:val="Compact"/>
              <w:jc w:val="left"/>
            </w:pPr>
            <w:r>
              <w:t xml:space="preserve">      G × Session</w:t>
            </w:r>
          </w:p>
        </w:tc>
        <w:tc>
          <w:tcPr/>
          <w:p>
            <w:pPr>
              <w:pStyle w:val="Compact"/>
              <w:jc w:val="center"/>
            </w:pPr>
            <w:r>
              <w:t xml:space="preserve">−0.0027</w:t>
            </w:r>
          </w:p>
        </w:tc>
        <w:tc>
          <w:tcPr/>
          <w:p>
            <w:pPr>
              <w:pStyle w:val="Compact"/>
              <w:jc w:val="center"/>
            </w:pPr>
            <w:r>
              <w:t xml:space="preserve">−0.0266</w:t>
            </w:r>
          </w:p>
        </w:tc>
        <w:tc>
          <w:tcPr/>
          <w:p>
            <w:pPr>
              <w:pStyle w:val="Compact"/>
              <w:jc w:val="center"/>
            </w:pPr>
            <w:r>
              <w:t xml:space="preserve">0.0211</w:t>
            </w:r>
          </w:p>
        </w:tc>
        <w:tc>
          <w:tcPr/>
          <w:p>
            <w:pPr>
              <w:pStyle w:val="Compact"/>
              <w:jc w:val="center"/>
            </w:pPr>
            <w:r>
              <w:t xml:space="preserve">−0.0007</w:t>
            </w:r>
          </w:p>
        </w:tc>
        <w:tc>
          <w:tcPr/>
          <w:p>
            <w:pPr>
              <w:pStyle w:val="Compact"/>
              <w:jc w:val="center"/>
            </w:pPr>
            <w:r>
              <w:t xml:space="preserve">−0.0248</w:t>
            </w:r>
          </w:p>
        </w:tc>
        <w:tc>
          <w:tcPr/>
          <w:p>
            <w:pPr>
              <w:pStyle w:val="Compact"/>
              <w:jc w:val="center"/>
            </w:pPr>
            <w:r>
              <w:t xml:space="preserve">0.0229</w:t>
            </w:r>
          </w:p>
        </w:tc>
      </w:tr>
      <w:tr>
        <w:tc>
          <w:tcPr/>
          <w:p>
            <w:pPr>
              <w:pStyle w:val="Compact"/>
              <w:jc w:val="left"/>
            </w:pPr>
            <w:r>
              <w:t xml:space="preserve">      G × Session × Language</w:t>
            </w:r>
          </w:p>
        </w:tc>
        <w:tc>
          <w:tcPr/>
          <w:p>
            <w:pPr>
              <w:pStyle w:val="Compact"/>
              <w:jc w:val="center"/>
            </w:pPr>
            <w:r>
              <w:t xml:space="preserve">−0.0000</w:t>
            </w:r>
          </w:p>
        </w:tc>
        <w:tc>
          <w:tcPr/>
          <w:p>
            <w:pPr>
              <w:pStyle w:val="Compact"/>
              <w:jc w:val="center"/>
            </w:pPr>
            <w:r>
              <w:t xml:space="preserve">−0.0238</w:t>
            </w:r>
          </w:p>
        </w:tc>
        <w:tc>
          <w:tcPr/>
          <w:p>
            <w:pPr>
              <w:pStyle w:val="Compact"/>
              <w:jc w:val="center"/>
            </w:pPr>
            <w:r>
              <w:t xml:space="preserve">0.0233</w:t>
            </w:r>
          </w:p>
        </w:tc>
        <w:tc>
          <w:tcPr/>
          <w:p>
            <w:pPr>
              <w:pStyle w:val="Compact"/>
              <w:jc w:val="center"/>
            </w:pPr>
            <w:r>
              <w:t xml:space="preserve">−0.0019</w:t>
            </w:r>
          </w:p>
        </w:tc>
        <w:tc>
          <w:tcPr/>
          <w:p>
            <w:pPr>
              <w:pStyle w:val="Compact"/>
              <w:jc w:val="center"/>
            </w:pPr>
            <w:r>
              <w:t xml:space="preserve">−0.0259</w:t>
            </w:r>
          </w:p>
        </w:tc>
        <w:tc>
          <w:tcPr/>
          <w:p>
            <w:pPr>
              <w:pStyle w:val="Compact"/>
              <w:jc w:val="center"/>
            </w:pPr>
            <w:r>
              <w:t xml:space="preserve">0.0219</w:t>
            </w:r>
          </w:p>
        </w:tc>
      </w:tr>
      <w:tr>
        <w:tc>
          <w:tcPr>
            <w:gridSpan w:val="7"/>
          </w:tcPr>
          <w:p>
            <w:pPr>
              <w:pStyle w:val="Compact"/>
              <w:jc w:val="left"/>
            </w:pPr>
            <w:r>
              <w:t xml:space="preserve">   200–500 ms, midline</w:t>
            </w:r>
          </w:p>
        </w:tc>
      </w:tr>
      <w:tr>
        <w:tc>
          <w:tcPr/>
          <w:p>
            <w:pPr>
              <w:pStyle w:val="Compact"/>
              <w:jc w:val="left"/>
            </w:pPr>
            <w:r>
              <w:t xml:space="preserve">      Grammaticality (G)</w:t>
            </w:r>
          </w:p>
        </w:tc>
        <w:tc>
          <w:tcPr/>
          <w:p>
            <w:pPr>
              <w:pStyle w:val="Compact"/>
              <w:jc w:val="center"/>
            </w:pPr>
            <w:r>
              <w:t xml:space="preserve">⁠ ⁠ ⁠0.0040</w:t>
            </w:r>
          </w:p>
        </w:tc>
        <w:tc>
          <w:tcPr/>
          <w:p>
            <w:pPr>
              <w:pStyle w:val="Compact"/>
              <w:jc w:val="center"/>
            </w:pPr>
            <w:r>
              <w:t xml:space="preserve">−0.0214</w:t>
            </w:r>
          </w:p>
        </w:tc>
        <w:tc>
          <w:tcPr/>
          <w:p>
            <w:pPr>
              <w:pStyle w:val="Compact"/>
              <w:jc w:val="center"/>
            </w:pPr>
            <w:r>
              <w:t xml:space="preserve">0.0291</w:t>
            </w:r>
          </w:p>
        </w:tc>
        <w:tc>
          <w:tcPr/>
          <w:p>
            <w:pPr>
              <w:pStyle w:val="Compact"/>
              <w:jc w:val="center"/>
            </w:pPr>
            <w:r>
              <w:t xml:space="preserve">⁠ ⁠ ⁠0.0059</w:t>
            </w:r>
          </w:p>
        </w:tc>
        <w:tc>
          <w:tcPr/>
          <w:p>
            <w:pPr>
              <w:pStyle w:val="Compact"/>
              <w:jc w:val="center"/>
            </w:pPr>
            <w:r>
              <w:t xml:space="preserve">−0.0192</w:t>
            </w:r>
          </w:p>
        </w:tc>
        <w:tc>
          <w:tcPr/>
          <w:p>
            <w:pPr>
              <w:pStyle w:val="Compact"/>
              <w:jc w:val="center"/>
            </w:pPr>
            <w:r>
              <w:t xml:space="preserve">0.0314</w:t>
            </w:r>
          </w:p>
        </w:tc>
      </w:tr>
      <w:tr>
        <w:tc>
          <w:tcPr/>
          <w:p>
            <w:pPr>
              <w:pStyle w:val="Compact"/>
              <w:jc w:val="left"/>
            </w:pPr>
            <w:r>
              <w:t xml:space="preserve">      G × Language</w:t>
            </w:r>
          </w:p>
        </w:tc>
        <w:tc>
          <w:tcPr/>
          <w:p>
            <w:pPr>
              <w:pStyle w:val="Compact"/>
              <w:jc w:val="center"/>
            </w:pPr>
            <w:r>
              <w:t xml:space="preserve">⁠ ⁠ ⁠0.0074</w:t>
            </w:r>
          </w:p>
        </w:tc>
        <w:tc>
          <w:tcPr/>
          <w:p>
            <w:pPr>
              <w:pStyle w:val="Compact"/>
              <w:jc w:val="center"/>
            </w:pPr>
            <w:r>
              <w:t xml:space="preserve">−0.0177</w:t>
            </w:r>
          </w:p>
        </w:tc>
        <w:tc>
          <w:tcPr/>
          <w:p>
            <w:pPr>
              <w:pStyle w:val="Compact"/>
              <w:jc w:val="center"/>
            </w:pPr>
            <w:r>
              <w:t xml:space="preserve">0.0329</w:t>
            </w:r>
          </w:p>
        </w:tc>
        <w:tc>
          <w:tcPr/>
          <w:p>
            <w:pPr>
              <w:pStyle w:val="Compact"/>
              <w:jc w:val="center"/>
            </w:pPr>
            <w:r>
              <w:t xml:space="preserve">⁠ ⁠ ⁠0.0056</w:t>
            </w:r>
          </w:p>
        </w:tc>
        <w:tc>
          <w:tcPr/>
          <w:p>
            <w:pPr>
              <w:pStyle w:val="Compact"/>
              <w:jc w:val="center"/>
            </w:pPr>
            <w:r>
              <w:t xml:space="preserve">−0.0195</w:t>
            </w:r>
          </w:p>
        </w:tc>
        <w:tc>
          <w:tcPr/>
          <w:p>
            <w:pPr>
              <w:pStyle w:val="Compact"/>
              <w:jc w:val="center"/>
            </w:pPr>
            <w:r>
              <w:t xml:space="preserve">0.0313</w:t>
            </w:r>
          </w:p>
        </w:tc>
      </w:tr>
      <w:tr>
        <w:tc>
          <w:tcPr/>
          <w:p>
            <w:pPr>
              <w:pStyle w:val="Compact"/>
              <w:jc w:val="left"/>
            </w:pPr>
            <w:r>
              <w:t xml:space="preserve">      G × Session</w:t>
            </w:r>
          </w:p>
        </w:tc>
        <w:tc>
          <w:tcPr/>
          <w:p>
            <w:pPr>
              <w:pStyle w:val="Compact"/>
              <w:jc w:val="center"/>
            </w:pPr>
            <w:r>
              <w:t xml:space="preserve">−0.0074</w:t>
            </w:r>
          </w:p>
        </w:tc>
        <w:tc>
          <w:tcPr/>
          <w:p>
            <w:pPr>
              <w:pStyle w:val="Compact"/>
              <w:jc w:val="center"/>
            </w:pPr>
            <w:r>
              <w:t xml:space="preserve">−0.0325</w:t>
            </w:r>
          </w:p>
        </w:tc>
        <w:tc>
          <w:tcPr/>
          <w:p>
            <w:pPr>
              <w:pStyle w:val="Compact"/>
              <w:jc w:val="center"/>
            </w:pPr>
            <w:r>
              <w:t xml:space="preserve">0.0172</w:t>
            </w:r>
          </w:p>
        </w:tc>
        <w:tc>
          <w:tcPr/>
          <w:p>
            <w:pPr>
              <w:pStyle w:val="Compact"/>
              <w:jc w:val="center"/>
            </w:pPr>
            <w:r>
              <w:t xml:space="preserve">−0.0055</w:t>
            </w:r>
          </w:p>
        </w:tc>
        <w:tc>
          <w:tcPr/>
          <w:p>
            <w:pPr>
              <w:pStyle w:val="Compact"/>
              <w:jc w:val="center"/>
            </w:pPr>
            <w:r>
              <w:t xml:space="preserve">−0.0304</w:t>
            </w:r>
          </w:p>
        </w:tc>
        <w:tc>
          <w:tcPr/>
          <w:p>
            <w:pPr>
              <w:pStyle w:val="Compact"/>
              <w:jc w:val="center"/>
            </w:pPr>
            <w:r>
              <w:t xml:space="preserve">0.0195</w:t>
            </w:r>
          </w:p>
        </w:tc>
      </w:tr>
      <w:tr>
        <w:tc>
          <w:tcPr/>
          <w:p>
            <w:pPr>
              <w:pStyle w:val="Compact"/>
              <w:jc w:val="left"/>
            </w:pPr>
            <w:r>
              <w:t xml:space="preserve">      G × Session × Language</w:t>
            </w:r>
          </w:p>
        </w:tc>
        <w:tc>
          <w:tcPr/>
          <w:p>
            <w:pPr>
              <w:pStyle w:val="Compact"/>
              <w:jc w:val="center"/>
            </w:pPr>
            <w:r>
              <w:t xml:space="preserve">⁠ ⁠ ⁠0.0012</w:t>
            </w:r>
          </w:p>
        </w:tc>
        <w:tc>
          <w:tcPr/>
          <w:p>
            <w:pPr>
              <w:pStyle w:val="Compact"/>
              <w:jc w:val="center"/>
            </w:pPr>
            <w:r>
              <w:t xml:space="preserve">−0.0235</w:t>
            </w:r>
          </w:p>
        </w:tc>
        <w:tc>
          <w:tcPr/>
          <w:p>
            <w:pPr>
              <w:pStyle w:val="Compact"/>
              <w:jc w:val="center"/>
            </w:pPr>
            <w:r>
              <w:t xml:space="preserve">0.0257</w:t>
            </w:r>
          </w:p>
        </w:tc>
        <w:tc>
          <w:tcPr/>
          <w:p>
            <w:pPr>
              <w:pStyle w:val="Compact"/>
              <w:jc w:val="center"/>
            </w:pPr>
            <w:r>
              <w:t xml:space="preserve">−0.0009</w:t>
            </w:r>
          </w:p>
        </w:tc>
        <w:tc>
          <w:tcPr/>
          <w:p>
            <w:pPr>
              <w:pStyle w:val="Compact"/>
              <w:jc w:val="center"/>
            </w:pPr>
            <w:r>
              <w:t xml:space="preserve">−0.0258</w:t>
            </w:r>
          </w:p>
        </w:tc>
        <w:tc>
          <w:tcPr/>
          <w:p>
            <w:pPr>
              <w:pStyle w:val="Compact"/>
              <w:jc w:val="center"/>
            </w:pPr>
            <w:r>
              <w:t xml:space="preserve">0.0238</w:t>
            </w:r>
          </w:p>
        </w:tc>
      </w:tr>
      <w:tr>
        <w:tc>
          <w:tcPr>
            <w:gridSpan w:val="7"/>
          </w:tcPr>
          <w:p>
            <w:pPr>
              <w:pStyle w:val="Compact"/>
              <w:jc w:val="left"/>
            </w:pPr>
            <w:r>
              <w:t xml:space="preserve">   300–600 ms, lateral</w:t>
            </w:r>
          </w:p>
        </w:tc>
      </w:tr>
      <w:tr>
        <w:tc>
          <w:tcPr/>
          <w:p>
            <w:pPr>
              <w:pStyle w:val="Compact"/>
              <w:jc w:val="left"/>
            </w:pPr>
            <w:r>
              <w:t xml:space="preserve">      Grammaticality (G)</w:t>
            </w:r>
          </w:p>
        </w:tc>
        <w:tc>
          <w:tcPr/>
          <w:p>
            <w:pPr>
              <w:pStyle w:val="Compact"/>
              <w:jc w:val="center"/>
            </w:pPr>
            <w:r>
              <w:t xml:space="preserve">⁠ ⁠ ⁠0.0073</w:t>
            </w:r>
          </w:p>
        </w:tc>
        <w:tc>
          <w:tcPr/>
          <w:p>
            <w:pPr>
              <w:pStyle w:val="Compact"/>
              <w:jc w:val="center"/>
            </w:pPr>
            <w:r>
              <w:t xml:space="preserve">−0.0183</w:t>
            </w:r>
          </w:p>
        </w:tc>
        <w:tc>
          <w:tcPr/>
          <w:p>
            <w:pPr>
              <w:pStyle w:val="Compact"/>
              <w:jc w:val="center"/>
            </w:pPr>
            <w:r>
              <w:t xml:space="preserve">0.0329</w:t>
            </w:r>
          </w:p>
        </w:tc>
        <w:tc>
          <w:tcPr/>
          <w:p>
            <w:pPr>
              <w:pStyle w:val="Compact"/>
              <w:jc w:val="center"/>
            </w:pPr>
            <w:r>
              <w:t xml:space="preserve">⁠ ⁠ ⁠0.0085</w:t>
            </w:r>
          </w:p>
        </w:tc>
        <w:tc>
          <w:tcPr/>
          <w:p>
            <w:pPr>
              <w:pStyle w:val="Compact"/>
              <w:jc w:val="center"/>
            </w:pPr>
            <w:r>
              <w:t xml:space="preserve">−0.0164</w:t>
            </w:r>
          </w:p>
        </w:tc>
        <w:tc>
          <w:tcPr/>
          <w:p>
            <w:pPr>
              <w:pStyle w:val="Compact"/>
              <w:jc w:val="center"/>
            </w:pPr>
            <w:r>
              <w:t xml:space="preserve">0.0349</w:t>
            </w:r>
          </w:p>
        </w:tc>
      </w:tr>
      <w:tr>
        <w:tc>
          <w:tcPr/>
          <w:p>
            <w:pPr>
              <w:pStyle w:val="Compact"/>
              <w:jc w:val="left"/>
            </w:pPr>
            <w:r>
              <w:t xml:space="preserve">      G × Language</w:t>
            </w:r>
          </w:p>
        </w:tc>
        <w:tc>
          <w:tcPr/>
          <w:p>
            <w:pPr>
              <w:pStyle w:val="Compact"/>
              <w:jc w:val="center"/>
            </w:pPr>
            <w:r>
              <w:t xml:space="preserve">⁠ ⁠ ⁠0.0199</w:t>
            </w:r>
          </w:p>
        </w:tc>
        <w:tc>
          <w:tcPr/>
          <w:p>
            <w:pPr>
              <w:pStyle w:val="Compact"/>
              <w:jc w:val="center"/>
            </w:pPr>
            <w:r>
              <w:t xml:space="preserve">−0.0059</w:t>
            </w:r>
          </w:p>
        </w:tc>
        <w:tc>
          <w:tcPr/>
          <w:p>
            <w:pPr>
              <w:pStyle w:val="Compact"/>
              <w:jc w:val="center"/>
            </w:pPr>
            <w:r>
              <w:t xml:space="preserve">0.0456</w:t>
            </w:r>
          </w:p>
        </w:tc>
        <w:tc>
          <w:tcPr/>
          <w:p>
            <w:pPr>
              <w:pStyle w:val="Compact"/>
              <w:jc w:val="center"/>
            </w:pPr>
            <w:r>
              <w:t xml:space="preserve">⁠ ⁠ ⁠0.0184</w:t>
            </w:r>
          </w:p>
        </w:tc>
        <w:tc>
          <w:tcPr/>
          <w:p>
            <w:pPr>
              <w:pStyle w:val="Compact"/>
              <w:jc w:val="center"/>
            </w:pPr>
            <w:r>
              <w:t xml:space="preserve">−0.0071</w:t>
            </w:r>
          </w:p>
        </w:tc>
        <w:tc>
          <w:tcPr/>
          <w:p>
            <w:pPr>
              <w:pStyle w:val="Compact"/>
              <w:jc w:val="center"/>
            </w:pPr>
            <w:r>
              <w:t xml:space="preserve">0.0446</w:t>
            </w:r>
          </w:p>
        </w:tc>
      </w:tr>
      <w:tr>
        <w:tc>
          <w:tcPr/>
          <w:p>
            <w:pPr>
              <w:pStyle w:val="Compact"/>
              <w:jc w:val="left"/>
            </w:pPr>
            <w:r>
              <w:t xml:space="preserve">      G × Session</w:t>
            </w:r>
          </w:p>
        </w:tc>
        <w:tc>
          <w:tcPr/>
          <w:p>
            <w:pPr>
              <w:pStyle w:val="Compact"/>
              <w:jc w:val="center"/>
            </w:pPr>
            <w:r>
              <w:t xml:space="preserve">⁠ ⁠ ⁠0.0029</w:t>
            </w:r>
          </w:p>
        </w:tc>
        <w:tc>
          <w:tcPr/>
          <w:p>
            <w:pPr>
              <w:pStyle w:val="Compact"/>
              <w:jc w:val="center"/>
            </w:pPr>
            <w:r>
              <w:t xml:space="preserve">−0.0227</w:t>
            </w:r>
          </w:p>
        </w:tc>
        <w:tc>
          <w:tcPr/>
          <w:p>
            <w:pPr>
              <w:pStyle w:val="Compact"/>
              <w:jc w:val="center"/>
            </w:pPr>
            <w:r>
              <w:t xml:space="preserve">0.0278</w:t>
            </w:r>
          </w:p>
        </w:tc>
        <w:tc>
          <w:tcPr/>
          <w:p>
            <w:pPr>
              <w:pStyle w:val="Compact"/>
              <w:jc w:val="center"/>
            </w:pPr>
            <w:r>
              <w:t xml:space="preserve">⁠ ⁠ ⁠0.0045</w:t>
            </w:r>
          </w:p>
        </w:tc>
        <w:tc>
          <w:tcPr/>
          <w:p>
            <w:pPr>
              <w:pStyle w:val="Compact"/>
              <w:jc w:val="center"/>
            </w:pPr>
            <w:r>
              <w:t xml:space="preserve">−0.0213</w:t>
            </w:r>
          </w:p>
        </w:tc>
        <w:tc>
          <w:tcPr/>
          <w:p>
            <w:pPr>
              <w:pStyle w:val="Compact"/>
              <w:jc w:val="center"/>
            </w:pPr>
            <w:r>
              <w:t xml:space="preserve">0.0293</w:t>
            </w:r>
          </w:p>
        </w:tc>
      </w:tr>
      <w:tr>
        <w:tc>
          <w:tcPr/>
          <w:p>
            <w:pPr>
              <w:pStyle w:val="Compact"/>
              <w:jc w:val="left"/>
            </w:pPr>
            <w:r>
              <w:t xml:space="preserve">      G × Session × Language</w:t>
            </w:r>
          </w:p>
        </w:tc>
        <w:tc>
          <w:tcPr/>
          <w:p>
            <w:pPr>
              <w:pStyle w:val="Compact"/>
              <w:jc w:val="center"/>
            </w:pPr>
            <w:r>
              <w:t xml:space="preserve">−0.0016</w:t>
            </w:r>
          </w:p>
        </w:tc>
        <w:tc>
          <w:tcPr/>
          <w:p>
            <w:pPr>
              <w:pStyle w:val="Compact"/>
              <w:jc w:val="center"/>
            </w:pPr>
            <w:r>
              <w:t xml:space="preserve">−0.0268</w:t>
            </w:r>
          </w:p>
        </w:tc>
        <w:tc>
          <w:tcPr/>
          <w:p>
            <w:pPr>
              <w:pStyle w:val="Compact"/>
              <w:jc w:val="center"/>
            </w:pPr>
            <w:r>
              <w:t xml:space="preserve">0.0235</w:t>
            </w:r>
          </w:p>
        </w:tc>
        <w:tc>
          <w:tcPr/>
          <w:p>
            <w:pPr>
              <w:pStyle w:val="Compact"/>
              <w:jc w:val="center"/>
            </w:pPr>
            <w:r>
              <w:t xml:space="preserve">−0.0031</w:t>
            </w:r>
          </w:p>
        </w:tc>
        <w:tc>
          <w:tcPr/>
          <w:p>
            <w:pPr>
              <w:pStyle w:val="Compact"/>
              <w:jc w:val="center"/>
            </w:pPr>
            <w:r>
              <w:t xml:space="preserve">−0.0287</w:t>
            </w:r>
          </w:p>
        </w:tc>
        <w:tc>
          <w:tcPr/>
          <w:p>
            <w:pPr>
              <w:pStyle w:val="Compact"/>
              <w:jc w:val="center"/>
            </w:pPr>
            <w:r>
              <w:t xml:space="preserve">0.0221</w:t>
            </w:r>
          </w:p>
        </w:tc>
      </w:tr>
      <w:tr>
        <w:tc>
          <w:tcPr>
            <w:gridSpan w:val="7"/>
          </w:tcPr>
          <w:p>
            <w:pPr>
              <w:pStyle w:val="Compact"/>
              <w:jc w:val="left"/>
            </w:pPr>
            <w:r>
              <w:t xml:space="preserve">   300–600 ms, midline</w:t>
            </w:r>
          </w:p>
        </w:tc>
      </w:tr>
      <w:tr>
        <w:tc>
          <w:tcPr/>
          <w:p>
            <w:pPr>
              <w:pStyle w:val="Compact"/>
              <w:jc w:val="left"/>
            </w:pPr>
            <w:r>
              <w:t xml:space="preserve">      Grammaticality (G)</w:t>
            </w:r>
          </w:p>
        </w:tc>
        <w:tc>
          <w:tcPr/>
          <w:p>
            <w:pPr>
              <w:pStyle w:val="Compact"/>
              <w:jc w:val="center"/>
            </w:pPr>
            <w:r>
              <w:t xml:space="preserve">−0.0028</w:t>
            </w:r>
          </w:p>
        </w:tc>
        <w:tc>
          <w:tcPr/>
          <w:p>
            <w:pPr>
              <w:pStyle w:val="Compact"/>
              <w:jc w:val="center"/>
            </w:pPr>
            <w:r>
              <w:t xml:space="preserve">−0.0294</w:t>
            </w:r>
          </w:p>
        </w:tc>
        <w:tc>
          <w:tcPr/>
          <w:p>
            <w:pPr>
              <w:pStyle w:val="Compact"/>
              <w:jc w:val="center"/>
            </w:pPr>
            <w:r>
              <w:t xml:space="preserve">0.0235</w:t>
            </w:r>
          </w:p>
        </w:tc>
        <w:tc>
          <w:tcPr/>
          <w:p>
            <w:pPr>
              <w:pStyle w:val="Compact"/>
              <w:jc w:val="center"/>
            </w:pPr>
            <w:r>
              <w:t xml:space="preserve">−0.0014</w:t>
            </w:r>
          </w:p>
        </w:tc>
        <w:tc>
          <w:tcPr/>
          <w:p>
            <w:pPr>
              <w:pStyle w:val="Compact"/>
              <w:jc w:val="center"/>
            </w:pPr>
            <w:r>
              <w:t xml:space="preserve">−0.0279</w:t>
            </w:r>
          </w:p>
        </w:tc>
        <w:tc>
          <w:tcPr/>
          <w:p>
            <w:pPr>
              <w:pStyle w:val="Compact"/>
              <w:jc w:val="center"/>
            </w:pPr>
            <w:r>
              <w:t xml:space="preserve">0.0251</w:t>
            </w:r>
          </w:p>
        </w:tc>
      </w:tr>
      <w:tr>
        <w:tc>
          <w:tcPr/>
          <w:p>
            <w:pPr>
              <w:pStyle w:val="Compact"/>
              <w:jc w:val="left"/>
            </w:pPr>
            <w:r>
              <w:t xml:space="preserve">      G × Language</w:t>
            </w:r>
          </w:p>
        </w:tc>
        <w:tc>
          <w:tcPr/>
          <w:p>
            <w:pPr>
              <w:pStyle w:val="Compact"/>
              <w:jc w:val="center"/>
            </w:pPr>
            <w:r>
              <w:t xml:space="preserve">⁠ ⁠ ⁠0.0160</w:t>
            </w:r>
          </w:p>
        </w:tc>
        <w:tc>
          <w:tcPr/>
          <w:p>
            <w:pPr>
              <w:pStyle w:val="Compact"/>
              <w:jc w:val="center"/>
            </w:pPr>
            <w:r>
              <w:t xml:space="preserve">−0.0104</w:t>
            </w:r>
          </w:p>
        </w:tc>
        <w:tc>
          <w:tcPr/>
          <w:p>
            <w:pPr>
              <w:pStyle w:val="Compact"/>
              <w:jc w:val="center"/>
            </w:pPr>
            <w:r>
              <w:t xml:space="preserve">0.0428</w:t>
            </w:r>
          </w:p>
        </w:tc>
        <w:tc>
          <w:tcPr/>
          <w:p>
            <w:pPr>
              <w:pStyle w:val="Compact"/>
              <w:jc w:val="center"/>
            </w:pPr>
            <w:r>
              <w:t xml:space="preserve">⁠ ⁠ ⁠0.0145</w:t>
            </w:r>
          </w:p>
        </w:tc>
        <w:tc>
          <w:tcPr/>
          <w:p>
            <w:pPr>
              <w:pStyle w:val="Compact"/>
              <w:jc w:val="center"/>
            </w:pPr>
            <w:r>
              <w:t xml:space="preserve">−0.0116</w:t>
            </w:r>
          </w:p>
        </w:tc>
        <w:tc>
          <w:tcPr/>
          <w:p>
            <w:pPr>
              <w:pStyle w:val="Compact"/>
              <w:jc w:val="center"/>
            </w:pPr>
            <w:r>
              <w:t xml:space="preserve">0.0411</w:t>
            </w:r>
          </w:p>
        </w:tc>
      </w:tr>
      <w:tr>
        <w:tc>
          <w:tcPr/>
          <w:p>
            <w:pPr>
              <w:pStyle w:val="Compact"/>
              <w:jc w:val="left"/>
            </w:pPr>
            <w:r>
              <w:t xml:space="preserve">      G × Session</w:t>
            </w:r>
          </w:p>
        </w:tc>
        <w:tc>
          <w:tcPr/>
          <w:p>
            <w:pPr>
              <w:pStyle w:val="Compact"/>
              <w:jc w:val="center"/>
            </w:pPr>
            <w:r>
              <w:t xml:space="preserve">⁠ ⁠ ⁠0.0011</w:t>
            </w:r>
          </w:p>
        </w:tc>
        <w:tc>
          <w:tcPr/>
          <w:p>
            <w:pPr>
              <w:pStyle w:val="Compact"/>
              <w:jc w:val="center"/>
            </w:pPr>
            <w:r>
              <w:t xml:space="preserve">−0.0251</w:t>
            </w:r>
          </w:p>
        </w:tc>
        <w:tc>
          <w:tcPr/>
          <w:p>
            <w:pPr>
              <w:pStyle w:val="Compact"/>
              <w:jc w:val="center"/>
            </w:pPr>
            <w:r>
              <w:t xml:space="preserve">0.0267</w:t>
            </w:r>
          </w:p>
        </w:tc>
        <w:tc>
          <w:tcPr/>
          <w:p>
            <w:pPr>
              <w:pStyle w:val="Compact"/>
              <w:jc w:val="center"/>
            </w:pPr>
            <w:r>
              <w:t xml:space="preserve">⁠ ⁠ ⁠0.0027</w:t>
            </w:r>
          </w:p>
        </w:tc>
        <w:tc>
          <w:tcPr/>
          <w:p>
            <w:pPr>
              <w:pStyle w:val="Compact"/>
              <w:jc w:val="center"/>
            </w:pPr>
            <w:r>
              <w:t xml:space="preserve">−0.0236</w:t>
            </w:r>
          </w:p>
        </w:tc>
        <w:tc>
          <w:tcPr/>
          <w:p>
            <w:pPr>
              <w:pStyle w:val="Compact"/>
              <w:jc w:val="center"/>
            </w:pPr>
            <w:r>
              <w:t xml:space="preserve">0.0284</w:t>
            </w:r>
          </w:p>
        </w:tc>
      </w:tr>
      <w:tr>
        <w:tc>
          <w:tcPr/>
          <w:p>
            <w:pPr>
              <w:pStyle w:val="Compact"/>
              <w:jc w:val="left"/>
            </w:pPr>
            <w:r>
              <w:t xml:space="preserve">      G × Session × Language</w:t>
            </w:r>
          </w:p>
        </w:tc>
        <w:tc>
          <w:tcPr/>
          <w:p>
            <w:pPr>
              <w:pStyle w:val="Compact"/>
              <w:jc w:val="center"/>
            </w:pPr>
            <w:r>
              <w:t xml:space="preserve">⁠ ⁠ ⁠0.0024</w:t>
            </w:r>
          </w:p>
        </w:tc>
        <w:tc>
          <w:tcPr/>
          <w:p>
            <w:pPr>
              <w:pStyle w:val="Compact"/>
              <w:jc w:val="center"/>
            </w:pPr>
            <w:r>
              <w:t xml:space="preserve">−0.0238</w:t>
            </w:r>
          </w:p>
        </w:tc>
        <w:tc>
          <w:tcPr/>
          <w:p>
            <w:pPr>
              <w:pStyle w:val="Compact"/>
              <w:jc w:val="center"/>
            </w:pPr>
            <w:r>
              <w:t xml:space="preserve">0.0284</w:t>
            </w:r>
          </w:p>
        </w:tc>
        <w:tc>
          <w:tcPr/>
          <w:p>
            <w:pPr>
              <w:pStyle w:val="Compact"/>
              <w:jc w:val="center"/>
            </w:pPr>
            <w:r>
              <w:t xml:space="preserve">⁠ ⁠ ⁠0.0007</w:t>
            </w:r>
          </w:p>
        </w:tc>
        <w:tc>
          <w:tcPr/>
          <w:p>
            <w:pPr>
              <w:pStyle w:val="Compact"/>
              <w:jc w:val="center"/>
            </w:pPr>
            <w:r>
              <w:t xml:space="preserve">−0.0256</w:t>
            </w:r>
          </w:p>
        </w:tc>
        <w:tc>
          <w:tcPr/>
          <w:p>
            <w:pPr>
              <w:pStyle w:val="Compact"/>
              <w:jc w:val="center"/>
            </w:pPr>
            <w:r>
              <w:t xml:space="preserve">0.0264</w:t>
            </w:r>
          </w:p>
        </w:tc>
      </w:tr>
      <w:tr>
        <w:tc>
          <w:tcPr>
            <w:gridSpan w:val="7"/>
          </w:tcPr>
          <w:p>
            <w:pPr>
              <w:pStyle w:val="Compact"/>
              <w:jc w:val="left"/>
            </w:pPr>
            <w:r>
              <w:t xml:space="preserve">   400–900 ms, lateral</w:t>
            </w:r>
          </w:p>
        </w:tc>
      </w:tr>
      <w:tr>
        <w:tc>
          <w:tcPr/>
          <w:p>
            <w:pPr>
              <w:pStyle w:val="Compact"/>
              <w:jc w:val="left"/>
            </w:pPr>
            <w:r>
              <w:t xml:space="preserve">      Grammaticality (G)</w:t>
            </w:r>
          </w:p>
        </w:tc>
        <w:tc>
          <w:tcPr/>
          <w:p>
            <w:pPr>
              <w:pStyle w:val="Compact"/>
              <w:jc w:val="center"/>
            </w:pPr>
            <w:r>
              <w:t xml:space="preserve">−0.0200</w:t>
            </w:r>
          </w:p>
        </w:tc>
        <w:tc>
          <w:tcPr/>
          <w:p>
            <w:pPr>
              <w:pStyle w:val="Compact"/>
              <w:jc w:val="center"/>
            </w:pPr>
            <w:r>
              <w:t xml:space="preserve">−0.0503</w:t>
            </w:r>
          </w:p>
        </w:tc>
        <w:tc>
          <w:tcPr/>
          <w:p>
            <w:pPr>
              <w:pStyle w:val="Compact"/>
              <w:jc w:val="center"/>
            </w:pPr>
            <w:r>
              <w:t xml:space="preserve">0.0114</w:t>
            </w:r>
          </w:p>
        </w:tc>
        <w:tc>
          <w:tcPr/>
          <w:p>
            <w:pPr>
              <w:pStyle w:val="Compact"/>
              <w:jc w:val="center"/>
            </w:pPr>
            <w:r>
              <w:t xml:space="preserve">−0.0182</w:t>
            </w:r>
          </w:p>
        </w:tc>
        <w:tc>
          <w:tcPr/>
          <w:p>
            <w:pPr>
              <w:pStyle w:val="Compact"/>
              <w:jc w:val="center"/>
            </w:pPr>
            <w:r>
              <w:t xml:space="preserve">−0.0487</w:t>
            </w:r>
          </w:p>
        </w:tc>
        <w:tc>
          <w:tcPr/>
          <w:p>
            <w:pPr>
              <w:pStyle w:val="Compact"/>
              <w:jc w:val="center"/>
            </w:pPr>
            <w:r>
              <w:t xml:space="preserve">0.0131</w:t>
            </w:r>
          </w:p>
        </w:tc>
      </w:tr>
      <w:tr>
        <w:tc>
          <w:tcPr/>
          <w:p>
            <w:pPr>
              <w:pStyle w:val="Compact"/>
              <w:jc w:val="left"/>
            </w:pPr>
            <w:r>
              <w:t xml:space="preserve">      G × Language</w:t>
            </w:r>
          </w:p>
        </w:tc>
        <w:tc>
          <w:tcPr/>
          <w:p>
            <w:pPr>
              <w:pStyle w:val="Compact"/>
              <w:jc w:val="center"/>
            </w:pPr>
            <w:r>
              <w:t xml:space="preserve">⁠ ⁠ ⁠0.0184</w:t>
            </w:r>
          </w:p>
        </w:tc>
        <w:tc>
          <w:tcPr/>
          <w:p>
            <w:pPr>
              <w:pStyle w:val="Compact"/>
              <w:jc w:val="center"/>
            </w:pPr>
            <w:r>
              <w:t xml:space="preserve">−0.0118</w:t>
            </w:r>
          </w:p>
        </w:tc>
        <w:tc>
          <w:tcPr/>
          <w:p>
            <w:pPr>
              <w:pStyle w:val="Compact"/>
              <w:jc w:val="center"/>
            </w:pPr>
            <w:r>
              <w:t xml:space="preserve">0.0490</w:t>
            </w:r>
          </w:p>
        </w:tc>
        <w:tc>
          <w:tcPr/>
          <w:p>
            <w:pPr>
              <w:pStyle w:val="Compact"/>
              <w:jc w:val="center"/>
            </w:pPr>
            <w:r>
              <w:t xml:space="preserve">⁠ ⁠ ⁠0.0167</w:t>
            </w:r>
          </w:p>
        </w:tc>
        <w:tc>
          <w:tcPr/>
          <w:p>
            <w:pPr>
              <w:pStyle w:val="Compact"/>
              <w:jc w:val="center"/>
            </w:pPr>
            <w:r>
              <w:t xml:space="preserve">−0.0143</w:t>
            </w:r>
          </w:p>
        </w:tc>
        <w:tc>
          <w:tcPr/>
          <w:p>
            <w:pPr>
              <w:pStyle w:val="Compact"/>
              <w:jc w:val="center"/>
            </w:pPr>
            <w:r>
              <w:t xml:space="preserve">0.0475</w:t>
            </w:r>
          </w:p>
        </w:tc>
      </w:tr>
      <w:tr>
        <w:tc>
          <w:tcPr/>
          <w:p>
            <w:pPr>
              <w:pStyle w:val="Compact"/>
              <w:jc w:val="left"/>
            </w:pPr>
            <w:r>
              <w:t xml:space="preserve">      G × Session</w:t>
            </w:r>
          </w:p>
        </w:tc>
        <w:tc>
          <w:tcPr/>
          <w:p>
            <w:pPr>
              <w:pStyle w:val="Compact"/>
              <w:jc w:val="center"/>
            </w:pPr>
            <w:r>
              <w:t xml:space="preserve">⁠ ⁠ ⁠0.0174</w:t>
            </w:r>
          </w:p>
        </w:tc>
        <w:tc>
          <w:tcPr/>
          <w:p>
            <w:pPr>
              <w:pStyle w:val="Compact"/>
              <w:jc w:val="center"/>
            </w:pPr>
            <w:r>
              <w:t xml:space="preserve">−0.0118</w:t>
            </w:r>
          </w:p>
        </w:tc>
        <w:tc>
          <w:tcPr/>
          <w:p>
            <w:pPr>
              <w:pStyle w:val="Compact"/>
              <w:jc w:val="center"/>
            </w:pPr>
            <w:r>
              <w:t xml:space="preserve">0.0452</w:t>
            </w:r>
          </w:p>
        </w:tc>
        <w:tc>
          <w:tcPr/>
          <w:p>
            <w:pPr>
              <w:pStyle w:val="Compact"/>
              <w:jc w:val="center"/>
            </w:pPr>
            <w:r>
              <w:t xml:space="preserve">⁠ ⁠ ⁠0.0195</w:t>
            </w:r>
          </w:p>
        </w:tc>
        <w:tc>
          <w:tcPr/>
          <w:p>
            <w:pPr>
              <w:pStyle w:val="Compact"/>
              <w:jc w:val="center"/>
            </w:pPr>
            <w:r>
              <w:t xml:space="preserve">−0.0096</w:t>
            </w:r>
          </w:p>
        </w:tc>
        <w:tc>
          <w:tcPr/>
          <w:p>
            <w:pPr>
              <w:pStyle w:val="Compact"/>
              <w:jc w:val="center"/>
            </w:pPr>
            <w:r>
              <w:t xml:space="preserve">0.0476</w:t>
            </w:r>
          </w:p>
        </w:tc>
      </w:tr>
      <w:tr>
        <w:tc>
          <w:tcPr/>
          <w:p>
            <w:pPr>
              <w:pStyle w:val="Compact"/>
              <w:jc w:val="left"/>
            </w:pPr>
            <w:r>
              <w:t xml:space="preserve">      G × Session × Language</w:t>
            </w:r>
          </w:p>
        </w:tc>
        <w:tc>
          <w:tcPr/>
          <w:p>
            <w:pPr>
              <w:pStyle w:val="Compact"/>
              <w:jc w:val="center"/>
            </w:pPr>
            <w:r>
              <w:t xml:space="preserve">⁠ ⁠ ⁠0.0142</w:t>
            </w:r>
          </w:p>
        </w:tc>
        <w:tc>
          <w:tcPr/>
          <w:p>
            <w:pPr>
              <w:pStyle w:val="Compact"/>
              <w:jc w:val="center"/>
            </w:pPr>
            <w:r>
              <w:t xml:space="preserve">−0.0146</w:t>
            </w:r>
          </w:p>
        </w:tc>
        <w:tc>
          <w:tcPr/>
          <w:p>
            <w:pPr>
              <w:pStyle w:val="Compact"/>
              <w:jc w:val="center"/>
            </w:pPr>
            <w:r>
              <w:t xml:space="preserve">0.0427</w:t>
            </w:r>
          </w:p>
        </w:tc>
        <w:tc>
          <w:tcPr/>
          <w:p>
            <w:pPr>
              <w:pStyle w:val="Compact"/>
              <w:jc w:val="center"/>
            </w:pPr>
            <w:r>
              <w:t xml:space="preserve">⁠ ⁠ ⁠0.0122</w:t>
            </w:r>
          </w:p>
        </w:tc>
        <w:tc>
          <w:tcPr/>
          <w:p>
            <w:pPr>
              <w:pStyle w:val="Compact"/>
              <w:jc w:val="center"/>
            </w:pPr>
            <w:r>
              <w:t xml:space="preserve">−0.0164</w:t>
            </w:r>
          </w:p>
        </w:tc>
        <w:tc>
          <w:tcPr/>
          <w:p>
            <w:pPr>
              <w:pStyle w:val="Compact"/>
              <w:jc w:val="center"/>
            </w:pPr>
            <w:r>
              <w:t xml:space="preserve">0.0405</w:t>
            </w:r>
          </w:p>
        </w:tc>
      </w:tr>
      <w:tr>
        <w:tc>
          <w:tcPr>
            <w:gridSpan w:val="7"/>
          </w:tcPr>
          <w:p>
            <w:pPr>
              <w:pStyle w:val="Compact"/>
              <w:jc w:val="left"/>
            </w:pPr>
            <w:r>
              <w:t xml:space="preserve">   400–900 ms, midline</w:t>
            </w:r>
          </w:p>
        </w:tc>
      </w:tr>
      <w:tr>
        <w:tc>
          <w:tcPr/>
          <w:p>
            <w:pPr>
              <w:pStyle w:val="Compact"/>
              <w:jc w:val="left"/>
            </w:pPr>
            <w:r>
              <w:t xml:space="preserve">      Grammaticality (G)</w:t>
            </w:r>
          </w:p>
        </w:tc>
        <w:tc>
          <w:tcPr/>
          <w:p>
            <w:pPr>
              <w:pStyle w:val="Compact"/>
              <w:jc w:val="center"/>
            </w:pPr>
            <w:r>
              <w:t xml:space="preserve">−0.0257</w:t>
            </w:r>
          </w:p>
        </w:tc>
        <w:tc>
          <w:tcPr/>
          <w:p>
            <w:pPr>
              <w:pStyle w:val="Compact"/>
              <w:jc w:val="center"/>
            </w:pPr>
            <w:r>
              <w:t xml:space="preserve">−0.0590</w:t>
            </w:r>
          </w:p>
        </w:tc>
        <w:tc>
          <w:tcPr/>
          <w:p>
            <w:pPr>
              <w:pStyle w:val="Compact"/>
              <w:jc w:val="center"/>
            </w:pPr>
            <w:r>
              <w:t xml:space="preserve">0.0083</w:t>
            </w:r>
          </w:p>
        </w:tc>
        <w:tc>
          <w:tcPr/>
          <w:p>
            <w:pPr>
              <w:pStyle w:val="Compact"/>
              <w:jc w:val="center"/>
            </w:pPr>
            <w:r>
              <w:t xml:space="preserve">−0.0245</w:t>
            </w:r>
          </w:p>
        </w:tc>
        <w:tc>
          <w:tcPr/>
          <w:p>
            <w:pPr>
              <w:pStyle w:val="Compact"/>
              <w:jc w:val="center"/>
            </w:pPr>
            <w:r>
              <w:t xml:space="preserve">−0.0576</w:t>
            </w:r>
          </w:p>
        </w:tc>
        <w:tc>
          <w:tcPr/>
          <w:p>
            <w:pPr>
              <w:pStyle w:val="Compact"/>
              <w:jc w:val="center"/>
            </w:pPr>
            <w:r>
              <w:t xml:space="preserve">0.0093</w:t>
            </w:r>
          </w:p>
        </w:tc>
      </w:tr>
      <w:tr>
        <w:tc>
          <w:tcPr/>
          <w:p>
            <w:pPr>
              <w:pStyle w:val="Compact"/>
              <w:jc w:val="left"/>
            </w:pPr>
            <w:r>
              <w:t xml:space="preserve">      G × Language</w:t>
            </w:r>
          </w:p>
        </w:tc>
        <w:tc>
          <w:tcPr/>
          <w:p>
            <w:pPr>
              <w:pStyle w:val="Compact"/>
              <w:jc w:val="center"/>
            </w:pPr>
            <w:r>
              <w:t xml:space="preserve">⁠ ⁠ ⁠0.0164</w:t>
            </w:r>
          </w:p>
        </w:tc>
        <w:tc>
          <w:tcPr/>
          <w:p>
            <w:pPr>
              <w:pStyle w:val="Compact"/>
              <w:jc w:val="center"/>
            </w:pPr>
            <w:r>
              <w:t xml:space="preserve">−0.0180</w:t>
            </w:r>
          </w:p>
        </w:tc>
        <w:tc>
          <w:tcPr/>
          <w:p>
            <w:pPr>
              <w:pStyle w:val="Compact"/>
              <w:jc w:val="center"/>
            </w:pPr>
            <w:r>
              <w:t xml:space="preserve">0.0499</w:t>
            </w:r>
          </w:p>
        </w:tc>
        <w:tc>
          <w:tcPr/>
          <w:p>
            <w:pPr>
              <w:pStyle w:val="Compact"/>
              <w:jc w:val="center"/>
            </w:pPr>
            <w:r>
              <w:t xml:space="preserve">⁠ ⁠ ⁠0.0147</w:t>
            </w:r>
          </w:p>
        </w:tc>
        <w:tc>
          <w:tcPr/>
          <w:p>
            <w:pPr>
              <w:pStyle w:val="Compact"/>
              <w:jc w:val="center"/>
            </w:pPr>
            <w:r>
              <w:t xml:space="preserve">−0.0182</w:t>
            </w:r>
          </w:p>
        </w:tc>
        <w:tc>
          <w:tcPr/>
          <w:p>
            <w:pPr>
              <w:pStyle w:val="Compact"/>
              <w:jc w:val="center"/>
            </w:pPr>
            <w:r>
              <w:t xml:space="preserve">0.0488</w:t>
            </w:r>
          </w:p>
        </w:tc>
      </w:tr>
      <w:tr>
        <w:tc>
          <w:tcPr/>
          <w:p>
            <w:pPr>
              <w:pStyle w:val="Compact"/>
              <w:jc w:val="left"/>
            </w:pPr>
            <w:r>
              <w:t xml:space="preserve">      G × Session</w:t>
            </w:r>
          </w:p>
        </w:tc>
        <w:tc>
          <w:tcPr/>
          <w:p>
            <w:pPr>
              <w:pStyle w:val="Compact"/>
              <w:jc w:val="center"/>
            </w:pPr>
            <w:r>
              <w:t xml:space="preserve">⁠ ⁠ ⁠0.0187</w:t>
            </w:r>
          </w:p>
        </w:tc>
        <w:tc>
          <w:tcPr/>
          <w:p>
            <w:pPr>
              <w:pStyle w:val="Compact"/>
              <w:jc w:val="center"/>
            </w:pPr>
            <w:r>
              <w:t xml:space="preserve">−0.0084</w:t>
            </w:r>
          </w:p>
        </w:tc>
        <w:tc>
          <w:tcPr/>
          <w:p>
            <w:pPr>
              <w:pStyle w:val="Compact"/>
              <w:jc w:val="center"/>
            </w:pPr>
            <w:r>
              <w:t xml:space="preserve">0.0465</w:t>
            </w:r>
          </w:p>
        </w:tc>
        <w:tc>
          <w:tcPr/>
          <w:p>
            <w:pPr>
              <w:pStyle w:val="Compact"/>
              <w:jc w:val="center"/>
            </w:pPr>
            <w:r>
              <w:t xml:space="preserve">⁠ ⁠ ⁠0.0208</w:t>
            </w:r>
          </w:p>
        </w:tc>
        <w:tc>
          <w:tcPr/>
          <w:p>
            <w:pPr>
              <w:pStyle w:val="Compact"/>
              <w:jc w:val="center"/>
            </w:pPr>
            <w:r>
              <w:t xml:space="preserve">−0.0074</w:t>
            </w:r>
          </w:p>
        </w:tc>
        <w:tc>
          <w:tcPr/>
          <w:p>
            <w:pPr>
              <w:pStyle w:val="Compact"/>
              <w:jc w:val="center"/>
            </w:pPr>
            <w:r>
              <w:t xml:space="preserve">0.0483</w:t>
            </w:r>
          </w:p>
        </w:tc>
      </w:tr>
      <w:tr>
        <w:tc>
          <w:tcPr/>
          <w:p>
            <w:pPr>
              <w:pStyle w:val="Compact"/>
              <w:jc w:val="left"/>
            </w:pPr>
            <w:r>
              <w:t xml:space="preserve">      G × Session × Language</w:t>
            </w:r>
          </w:p>
        </w:tc>
        <w:tc>
          <w:tcPr/>
          <w:p>
            <w:pPr>
              <w:pStyle w:val="Compact"/>
              <w:jc w:val="center"/>
            </w:pPr>
            <w:r>
              <w:t xml:space="preserve">⁠ ⁠ ⁠0.0160</w:t>
            </w:r>
          </w:p>
        </w:tc>
        <w:tc>
          <w:tcPr/>
          <w:p>
            <w:pPr>
              <w:pStyle w:val="Compact"/>
              <w:jc w:val="center"/>
            </w:pPr>
            <w:r>
              <w:t xml:space="preserve">−0.0121</w:t>
            </w:r>
          </w:p>
        </w:tc>
        <w:tc>
          <w:tcPr/>
          <w:p>
            <w:pPr>
              <w:pStyle w:val="Compact"/>
              <w:jc w:val="center"/>
            </w:pPr>
            <w:r>
              <w:t xml:space="preserve">0.0438</w:t>
            </w:r>
          </w:p>
        </w:tc>
        <w:tc>
          <w:tcPr/>
          <w:p>
            <w:pPr>
              <w:pStyle w:val="Compact"/>
              <w:jc w:val="center"/>
            </w:pPr>
            <w:r>
              <w:t xml:space="preserve">⁠ ⁠ ⁠0.0142</w:t>
            </w:r>
          </w:p>
        </w:tc>
        <w:tc>
          <w:tcPr/>
          <w:p>
            <w:pPr>
              <w:pStyle w:val="Compact"/>
              <w:jc w:val="center"/>
            </w:pPr>
            <w:r>
              <w:t xml:space="preserve">−0.0144</w:t>
            </w:r>
          </w:p>
        </w:tc>
        <w:tc>
          <w:tcPr/>
          <w:p>
            <w:pPr>
              <w:pStyle w:val="Compact"/>
              <w:jc w:val="center"/>
            </w:pPr>
            <w:r>
              <w:t xml:space="preserve">0.0426</w:t>
            </w:r>
          </w:p>
        </w:tc>
      </w:tr>
    </w:tbl>
    <w:bookmarkEnd w:id="401"/>
    <w:p>
      <w:pPr>
        <w:pStyle w:val="FigureNote"/>
      </w:pPr>
      <w:r>
        <w:rPr>
          <w:i/>
          <w:iCs/>
        </w:rPr>
        <w:t xml:space="preserve">Note</w:t>
      </w:r>
      <w:r>
        <w:t xml:space="preserve">. Values are posterior summaries of the four grammaticality terms of every ERP cell under the reported specification (maximal random-effect structure, informative priors), fitted to the primary sample (Primary) and refitted without the nine reprocessed Session 3 recordings and the two recovered records (Without reprocessed), in within-participant standard-deviation units of single-trial amplitude. G = grammaticality, coded grammatical = +0.5 before standardisation, so a positive coefficient is a relative negativity for violations; language is coded Mini-Norwegian = +0.5.</w:t>
      </w:r>
      <w:r>
        <w:t xml:space="preserve"> </w:t>
      </w:r>
      <w:r>
        <w:rPr>
          <w:i/>
          <w:iCs/>
        </w:rPr>
        <w:t xml:space="preserve">Mdn</w:t>
      </w:r>
      <w:r>
        <w:t xml:space="preserve"> </w:t>
      </w:r>
      <w:r>
        <w:t xml:space="preserve">= posterior median;</w:t>
      </w:r>
      <w:r>
        <w:t xml:space="preserve"> </w:t>
      </w:r>
      <w:r>
        <w:rPr>
          <w:i/>
          <w:iCs/>
        </w:rPr>
        <w:t xml:space="preserve">LL</w:t>
      </w:r>
      <w:r>
        <w:t xml:space="preserve"> </w:t>
      </w:r>
      <w:r>
        <w:t xml:space="preserve">and</w:t>
      </w:r>
      <w:r>
        <w:t xml:space="preserve"> </w:t>
      </w:r>
      <w:r>
        <w:rPr>
          <w:i/>
          <w:iCs/>
        </w:rPr>
        <w:t xml:space="preserve">UL</w:t>
      </w:r>
      <w:r>
        <w:t xml:space="preserve"> </w:t>
      </w:r>
      <w:r>
        <w:t xml:space="preserve">= lower and upper limits of the 95% equal-tailed credible interval. An em dash marks an estimate not available.</w:t>
      </w:r>
    </w:p>
    <w:p>
      <w:pPr>
        <w:pStyle w:val="BodyText"/>
      </w:pPr>
      <w:r>
        <w:t xml:space="preserve"> </w:t>
      </w:r>
    </w:p>
    <w:bookmarkStart w:id="402" w:name="tbl-retention-robustness"/>
    <w:p>
      <w:pPr>
        <w:pStyle w:val="FigureTitle"/>
      </w:pPr>
      <w:r>
        <w:t xml:space="preserve">Table A2</w:t>
      </w:r>
    </w:p>
    <w:p>
      <w:pPr>
        <w:pStyle w:val="Caption"/>
      </w:pPr>
      <w:r>
        <w:t xml:space="preserve">Change in the ERP Grammaticality Effect From Session 4 to Session 6 With and Without the Reprocessed and Recovered Records</w:t>
      </w:r>
    </w:p>
    <w:tbl>
      <w:tblPr>
        <w:tblStyle w:val="Table"/>
        <w:tblW w:type="pct" w:w="5000"/>
        <w:tblLayout w:type="fixed"/>
        <w:tblLook w:firstRow="1" w:lastRow="0" w:firstColumn="0" w:lastColumn="0" w:noHBand="0" w:noVBand="0" w:val="0020"/>
      </w:tblPr>
      <w:tblGrid>
        <w:gridCol w:w="2692"/>
        <w:gridCol w:w="871"/>
        <w:gridCol w:w="871"/>
        <w:gridCol w:w="871"/>
        <w:gridCol w:w="871"/>
        <w:gridCol w:w="871"/>
        <w:gridCol w:w="871"/>
      </w:tblGrid>
      <w:tr>
        <w:trPr>
          <w:tblHeader w:val="on"/>
        </w:trPr>
        <w:tc>
          <w:tcPr/>
          <w:p>
            <w:pPr>
              <w:pStyle w:val="Compact"/>
            </w:pPr>
          </w:p>
        </w:tc>
        <w:tc>
          <w:tcPr>
            <w:gridSpan w:val="3"/>
          </w:tcPr>
          <w:p>
            <w:pPr>
              <w:pStyle w:val="Compact"/>
              <w:jc w:val="center"/>
            </w:pPr>
            <w:r>
              <w:t xml:space="preserve">Primary</w:t>
            </w:r>
          </w:p>
        </w:tc>
        <w:tc>
          <w:tcPr>
            <w:gridSpan w:val="3"/>
          </w:tcPr>
          <w:p>
            <w:pPr>
              <w:pStyle w:val="Compact"/>
              <w:jc w:val="center"/>
            </w:pPr>
            <w:r>
              <w:t xml:space="preserve">Without reprocessed</w:t>
            </w:r>
          </w:p>
        </w:tc>
      </w:tr>
      <w:tr>
        <w:trPr>
          <w:tblHeader w:val="on"/>
        </w:trPr>
        <w:tc>
          <w:tcPr/>
          <w:p>
            <w:pPr>
              <w:pStyle w:val="Compact"/>
              <w:jc w:val="left"/>
            </w:pPr>
            <w:r>
              <w:t xml:space="preserve">Contrast</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r>
      <w:tr>
        <w:tc>
          <w:tcPr>
            <w:gridSpan w:val="7"/>
          </w:tcPr>
          <w:p>
            <w:pPr>
              <w:pStyle w:val="Compact"/>
              <w:jc w:val="left"/>
            </w:pPr>
            <w:r>
              <w:rPr>
                <w:i/>
                <w:iCs/>
              </w:rPr>
              <w:t xml:space="preserve">Gender agreement</w:t>
            </w:r>
          </w:p>
        </w:tc>
      </w:tr>
      <w:tr>
        <w:tc>
          <w:tcPr>
            <w:gridSpan w:val="7"/>
          </w:tcPr>
          <w:p>
            <w:pPr>
              <w:pStyle w:val="Compact"/>
              <w:jc w:val="left"/>
            </w:pPr>
            <w:r>
              <w:t xml:space="preserve">   200–500 ms, lateral</w:t>
            </w:r>
          </w:p>
        </w:tc>
      </w:tr>
      <w:tr>
        <w:tc>
          <w:tcPr/>
          <w:p>
            <w:pPr>
              <w:pStyle w:val="Compact"/>
              <w:jc w:val="left"/>
            </w:pPr>
            <w:r>
              <w:t xml:space="preserve">      Overall</w:t>
            </w:r>
          </w:p>
        </w:tc>
        <w:tc>
          <w:tcPr/>
          <w:p>
            <w:pPr>
              <w:pStyle w:val="Compact"/>
              <w:jc w:val="center"/>
            </w:pPr>
            <w:r>
              <w:t xml:space="preserve">⁠ ⁠ ⁠0.0052</w:t>
            </w:r>
          </w:p>
        </w:tc>
        <w:tc>
          <w:tcPr/>
          <w:p>
            <w:pPr>
              <w:pStyle w:val="Compact"/>
              <w:jc w:val="center"/>
            </w:pPr>
            <w:r>
              <w:t xml:space="preserve">−0.0096</w:t>
            </w:r>
          </w:p>
        </w:tc>
        <w:tc>
          <w:tcPr/>
          <w:p>
            <w:pPr>
              <w:pStyle w:val="Compact"/>
              <w:jc w:val="center"/>
            </w:pPr>
            <w:r>
              <w:t xml:space="preserve">0.0199</w:t>
            </w:r>
          </w:p>
        </w:tc>
        <w:tc>
          <w:tcPr/>
          <w:p>
            <w:pPr>
              <w:pStyle w:val="Compact"/>
              <w:jc w:val="center"/>
            </w:pPr>
            <w:r>
              <w:t xml:space="preserve">⁠ ⁠ ⁠0.0056</w:t>
            </w:r>
          </w:p>
        </w:tc>
        <w:tc>
          <w:tcPr/>
          <w:p>
            <w:pPr>
              <w:pStyle w:val="Compact"/>
              <w:jc w:val="center"/>
            </w:pPr>
            <w:r>
              <w:t xml:space="preserve">−0.0092</w:t>
            </w:r>
          </w:p>
        </w:tc>
        <w:tc>
          <w:tcPr/>
          <w:p>
            <w:pPr>
              <w:pStyle w:val="Compact"/>
              <w:jc w:val="center"/>
            </w:pPr>
            <w:r>
              <w:t xml:space="preserve">0.0204</w:t>
            </w:r>
          </w:p>
        </w:tc>
      </w:tr>
      <w:tr>
        <w:tc>
          <w:tcPr/>
          <w:p>
            <w:pPr>
              <w:pStyle w:val="Compact"/>
              <w:jc w:val="left"/>
            </w:pPr>
            <w:r>
              <w:t xml:space="preserve">      Mini-Norwegian</w:t>
            </w:r>
          </w:p>
        </w:tc>
        <w:tc>
          <w:tcPr/>
          <w:p>
            <w:pPr>
              <w:pStyle w:val="Compact"/>
              <w:jc w:val="center"/>
            </w:pPr>
            <w:r>
              <w:t xml:space="preserve">⁠ ⁠ ⁠0.0070</w:t>
            </w:r>
          </w:p>
        </w:tc>
        <w:tc>
          <w:tcPr/>
          <w:p>
            <w:pPr>
              <w:pStyle w:val="Compact"/>
              <w:jc w:val="center"/>
            </w:pPr>
            <w:r>
              <w:t xml:space="preserve">−0.0143</w:t>
            </w:r>
          </w:p>
        </w:tc>
        <w:tc>
          <w:tcPr/>
          <w:p>
            <w:pPr>
              <w:pStyle w:val="Compact"/>
              <w:jc w:val="center"/>
            </w:pPr>
            <w:r>
              <w:t xml:space="preserve">0.0286</w:t>
            </w:r>
          </w:p>
        </w:tc>
        <w:tc>
          <w:tcPr/>
          <w:p>
            <w:pPr>
              <w:pStyle w:val="Compact"/>
              <w:jc w:val="center"/>
            </w:pPr>
            <w:r>
              <w:t xml:space="preserve">⁠ ⁠ ⁠0.0067</w:t>
            </w:r>
          </w:p>
        </w:tc>
        <w:tc>
          <w:tcPr/>
          <w:p>
            <w:pPr>
              <w:pStyle w:val="Compact"/>
              <w:jc w:val="center"/>
            </w:pPr>
            <w:r>
              <w:t xml:space="preserve">−0.0147</w:t>
            </w:r>
          </w:p>
        </w:tc>
        <w:tc>
          <w:tcPr/>
          <w:p>
            <w:pPr>
              <w:pStyle w:val="Compact"/>
              <w:jc w:val="center"/>
            </w:pPr>
            <w:r>
              <w:t xml:space="preserve">0.0280</w:t>
            </w:r>
          </w:p>
        </w:tc>
      </w:tr>
      <w:tr>
        <w:tc>
          <w:tcPr/>
          <w:p>
            <w:pPr>
              <w:pStyle w:val="Compact"/>
              <w:jc w:val="left"/>
            </w:pPr>
            <w:r>
              <w:t xml:space="preserve">      Mini-English</w:t>
            </w:r>
          </w:p>
        </w:tc>
        <w:tc>
          <w:tcPr/>
          <w:p>
            <w:pPr>
              <w:pStyle w:val="Compact"/>
              <w:jc w:val="center"/>
            </w:pPr>
            <w:r>
              <w:t xml:space="preserve">⁠ ⁠ ⁠0.0035</w:t>
            </w:r>
          </w:p>
        </w:tc>
        <w:tc>
          <w:tcPr/>
          <w:p>
            <w:pPr>
              <w:pStyle w:val="Compact"/>
              <w:jc w:val="center"/>
            </w:pPr>
            <w:r>
              <w:t xml:space="preserve">−0.0166</w:t>
            </w:r>
          </w:p>
        </w:tc>
        <w:tc>
          <w:tcPr/>
          <w:p>
            <w:pPr>
              <w:pStyle w:val="Compact"/>
              <w:jc w:val="center"/>
            </w:pPr>
            <w:r>
              <w:t xml:space="preserve">0.0237</w:t>
            </w:r>
          </w:p>
        </w:tc>
        <w:tc>
          <w:tcPr/>
          <w:p>
            <w:pPr>
              <w:pStyle w:val="Compact"/>
              <w:jc w:val="center"/>
            </w:pPr>
            <w:r>
              <w:t xml:space="preserve">⁠ ⁠ ⁠0.0045</w:t>
            </w:r>
          </w:p>
        </w:tc>
        <w:tc>
          <w:tcPr/>
          <w:p>
            <w:pPr>
              <w:pStyle w:val="Compact"/>
              <w:jc w:val="center"/>
            </w:pPr>
            <w:r>
              <w:t xml:space="preserve">−0.0158</w:t>
            </w:r>
          </w:p>
        </w:tc>
        <w:tc>
          <w:tcPr/>
          <w:p>
            <w:pPr>
              <w:pStyle w:val="Compact"/>
              <w:jc w:val="center"/>
            </w:pPr>
            <w:r>
              <w:t xml:space="preserve">0.0248</w:t>
            </w:r>
          </w:p>
        </w:tc>
      </w:tr>
      <w:tr>
        <w:tc>
          <w:tcPr/>
          <w:p>
            <w:pPr>
              <w:pStyle w:val="Compact"/>
              <w:jc w:val="left"/>
            </w:pPr>
            <w:r>
              <w:t xml:space="preserve">      Group difference</w:t>
            </w:r>
          </w:p>
        </w:tc>
        <w:tc>
          <w:tcPr/>
          <w:p>
            <w:pPr>
              <w:pStyle w:val="Compact"/>
              <w:jc w:val="center"/>
            </w:pPr>
            <w:r>
              <w:t xml:space="preserve">⁠ ⁠ ⁠0.0036</w:t>
            </w:r>
          </w:p>
        </w:tc>
        <w:tc>
          <w:tcPr/>
          <w:p>
            <w:pPr>
              <w:pStyle w:val="Compact"/>
              <w:jc w:val="center"/>
            </w:pPr>
            <w:r>
              <w:t xml:space="preserve">−0.0262</w:t>
            </w:r>
          </w:p>
        </w:tc>
        <w:tc>
          <w:tcPr/>
          <w:p>
            <w:pPr>
              <w:pStyle w:val="Compact"/>
              <w:jc w:val="center"/>
            </w:pPr>
            <w:r>
              <w:t xml:space="preserve">0.0327</w:t>
            </w:r>
          </w:p>
        </w:tc>
        <w:tc>
          <w:tcPr/>
          <w:p>
            <w:pPr>
              <w:pStyle w:val="Compact"/>
              <w:jc w:val="center"/>
            </w:pPr>
            <w:r>
              <w:t xml:space="preserve">⁠ ⁠ ⁠0.0021</w:t>
            </w:r>
          </w:p>
        </w:tc>
        <w:tc>
          <w:tcPr/>
          <w:p>
            <w:pPr>
              <w:pStyle w:val="Compact"/>
              <w:jc w:val="center"/>
            </w:pPr>
            <w:r>
              <w:t xml:space="preserve">−0.0274</w:t>
            </w:r>
          </w:p>
        </w:tc>
        <w:tc>
          <w:tcPr/>
          <w:p>
            <w:pPr>
              <w:pStyle w:val="Compact"/>
              <w:jc w:val="center"/>
            </w:pPr>
            <w:r>
              <w:t xml:space="preserve">0.0315</w:t>
            </w:r>
          </w:p>
        </w:tc>
      </w:tr>
      <w:tr>
        <w:tc>
          <w:tcPr>
            <w:gridSpan w:val="7"/>
          </w:tcPr>
          <w:p>
            <w:pPr>
              <w:pStyle w:val="Compact"/>
              <w:jc w:val="left"/>
            </w:pPr>
            <w:r>
              <w:t xml:space="preserve">   200–500 ms, midline</w:t>
            </w:r>
          </w:p>
        </w:tc>
      </w:tr>
      <w:tr>
        <w:tc>
          <w:tcPr/>
          <w:p>
            <w:pPr>
              <w:pStyle w:val="Compact"/>
              <w:jc w:val="left"/>
            </w:pPr>
            <w:r>
              <w:t xml:space="preserve">      Overall</w:t>
            </w:r>
          </w:p>
        </w:tc>
        <w:tc>
          <w:tcPr/>
          <w:p>
            <w:pPr>
              <w:pStyle w:val="Compact"/>
              <w:jc w:val="center"/>
            </w:pPr>
            <w:r>
              <w:t xml:space="preserve">−0.0005</w:t>
            </w:r>
          </w:p>
        </w:tc>
        <w:tc>
          <w:tcPr/>
          <w:p>
            <w:pPr>
              <w:pStyle w:val="Compact"/>
              <w:jc w:val="center"/>
            </w:pPr>
            <w:r>
              <w:t xml:space="preserve">−0.0170</w:t>
            </w:r>
          </w:p>
        </w:tc>
        <w:tc>
          <w:tcPr/>
          <w:p>
            <w:pPr>
              <w:pStyle w:val="Compact"/>
              <w:jc w:val="center"/>
            </w:pPr>
            <w:r>
              <w:t xml:space="preserve">0.0158</w:t>
            </w:r>
          </w:p>
        </w:tc>
        <w:tc>
          <w:tcPr/>
          <w:p>
            <w:pPr>
              <w:pStyle w:val="Compact"/>
              <w:jc w:val="center"/>
            </w:pPr>
            <w:r>
              <w:t xml:space="preserve">⁠ ⁠ ⁠0.0003</w:t>
            </w:r>
          </w:p>
        </w:tc>
        <w:tc>
          <w:tcPr/>
          <w:p>
            <w:pPr>
              <w:pStyle w:val="Compact"/>
              <w:jc w:val="center"/>
            </w:pPr>
            <w:r>
              <w:t xml:space="preserve">−0.0162</w:t>
            </w:r>
          </w:p>
        </w:tc>
        <w:tc>
          <w:tcPr/>
          <w:p>
            <w:pPr>
              <w:pStyle w:val="Compact"/>
              <w:jc w:val="center"/>
            </w:pPr>
            <w:r>
              <w:t xml:space="preserve">0.0163</w:t>
            </w:r>
          </w:p>
        </w:tc>
      </w:tr>
      <w:tr>
        <w:tc>
          <w:tcPr/>
          <w:p>
            <w:pPr>
              <w:pStyle w:val="Compact"/>
              <w:jc w:val="left"/>
            </w:pPr>
            <w:r>
              <w:t xml:space="preserve">      Mini-Norwegian</w:t>
            </w:r>
          </w:p>
        </w:tc>
        <w:tc>
          <w:tcPr/>
          <w:p>
            <w:pPr>
              <w:pStyle w:val="Compact"/>
              <w:jc w:val="center"/>
            </w:pPr>
            <w:r>
              <w:t xml:space="preserve">⁠ ⁠ ⁠0.0046</w:t>
            </w:r>
          </w:p>
        </w:tc>
        <w:tc>
          <w:tcPr/>
          <w:p>
            <w:pPr>
              <w:pStyle w:val="Compact"/>
              <w:jc w:val="center"/>
            </w:pPr>
            <w:r>
              <w:t xml:space="preserve">−0.0194</w:t>
            </w:r>
          </w:p>
        </w:tc>
        <w:tc>
          <w:tcPr/>
          <w:p>
            <w:pPr>
              <w:pStyle w:val="Compact"/>
              <w:jc w:val="center"/>
            </w:pPr>
            <w:r>
              <w:t xml:space="preserve">0.0286</w:t>
            </w:r>
          </w:p>
        </w:tc>
        <w:tc>
          <w:tcPr/>
          <w:p>
            <w:pPr>
              <w:pStyle w:val="Compact"/>
              <w:jc w:val="center"/>
            </w:pPr>
            <w:r>
              <w:t xml:space="preserve">⁠ ⁠ ⁠0.0047</w:t>
            </w:r>
          </w:p>
        </w:tc>
        <w:tc>
          <w:tcPr/>
          <w:p>
            <w:pPr>
              <w:pStyle w:val="Compact"/>
              <w:jc w:val="center"/>
            </w:pPr>
            <w:r>
              <w:t xml:space="preserve">−0.0188</w:t>
            </w:r>
          </w:p>
        </w:tc>
        <w:tc>
          <w:tcPr/>
          <w:p>
            <w:pPr>
              <w:pStyle w:val="Compact"/>
              <w:jc w:val="center"/>
            </w:pPr>
            <w:r>
              <w:t xml:space="preserve">0.0275</w:t>
            </w:r>
          </w:p>
        </w:tc>
      </w:tr>
      <w:tr>
        <w:tc>
          <w:tcPr/>
          <w:p>
            <w:pPr>
              <w:pStyle w:val="Compact"/>
              <w:jc w:val="left"/>
            </w:pPr>
            <w:r>
              <w:t xml:space="preserve">      Mini-English</w:t>
            </w:r>
          </w:p>
        </w:tc>
        <w:tc>
          <w:tcPr/>
          <w:p>
            <w:pPr>
              <w:pStyle w:val="Compact"/>
              <w:jc w:val="center"/>
            </w:pPr>
            <w:r>
              <w:t xml:space="preserve">−0.0053</w:t>
            </w:r>
          </w:p>
        </w:tc>
        <w:tc>
          <w:tcPr/>
          <w:p>
            <w:pPr>
              <w:pStyle w:val="Compact"/>
              <w:jc w:val="center"/>
            </w:pPr>
            <w:r>
              <w:t xml:space="preserve">−0.0277</w:t>
            </w:r>
          </w:p>
        </w:tc>
        <w:tc>
          <w:tcPr/>
          <w:p>
            <w:pPr>
              <w:pStyle w:val="Compact"/>
              <w:jc w:val="center"/>
            </w:pPr>
            <w:r>
              <w:t xml:space="preserve">0.0171</w:t>
            </w:r>
          </w:p>
        </w:tc>
        <w:tc>
          <w:tcPr/>
          <w:p>
            <w:pPr>
              <w:pStyle w:val="Compact"/>
              <w:jc w:val="center"/>
            </w:pPr>
            <w:r>
              <w:t xml:space="preserve">−0.0039</w:t>
            </w:r>
          </w:p>
        </w:tc>
        <w:tc>
          <w:tcPr/>
          <w:p>
            <w:pPr>
              <w:pStyle w:val="Compact"/>
              <w:jc w:val="center"/>
            </w:pPr>
            <w:r>
              <w:t xml:space="preserve">−0.0266</w:t>
            </w:r>
          </w:p>
        </w:tc>
        <w:tc>
          <w:tcPr/>
          <w:p>
            <w:pPr>
              <w:pStyle w:val="Compact"/>
              <w:jc w:val="center"/>
            </w:pPr>
            <w:r>
              <w:t xml:space="preserve">0.0185</w:t>
            </w:r>
          </w:p>
        </w:tc>
      </w:tr>
      <w:tr>
        <w:tc>
          <w:tcPr/>
          <w:p>
            <w:pPr>
              <w:pStyle w:val="Compact"/>
              <w:jc w:val="left"/>
            </w:pPr>
            <w:r>
              <w:t xml:space="preserve">      Group difference</w:t>
            </w:r>
          </w:p>
        </w:tc>
        <w:tc>
          <w:tcPr/>
          <w:p>
            <w:pPr>
              <w:pStyle w:val="Compact"/>
              <w:jc w:val="center"/>
            </w:pPr>
            <w:r>
              <w:t xml:space="preserve">⁠ ⁠ ⁠0.0099</w:t>
            </w:r>
          </w:p>
        </w:tc>
        <w:tc>
          <w:tcPr/>
          <w:p>
            <w:pPr>
              <w:pStyle w:val="Compact"/>
              <w:jc w:val="center"/>
            </w:pPr>
            <w:r>
              <w:t xml:space="preserve">−0.0233</w:t>
            </w:r>
          </w:p>
        </w:tc>
        <w:tc>
          <w:tcPr/>
          <w:p>
            <w:pPr>
              <w:pStyle w:val="Compact"/>
              <w:jc w:val="center"/>
            </w:pPr>
            <w:r>
              <w:t xml:space="preserve">0.0430</w:t>
            </w:r>
          </w:p>
        </w:tc>
        <w:tc>
          <w:tcPr/>
          <w:p>
            <w:pPr>
              <w:pStyle w:val="Compact"/>
              <w:jc w:val="center"/>
            </w:pPr>
            <w:r>
              <w:t xml:space="preserve">⁠ ⁠ ⁠0.0086</w:t>
            </w:r>
          </w:p>
        </w:tc>
        <w:tc>
          <w:tcPr/>
          <w:p>
            <w:pPr>
              <w:pStyle w:val="Compact"/>
              <w:jc w:val="center"/>
            </w:pPr>
            <w:r>
              <w:t xml:space="preserve">−0.0239</w:t>
            </w:r>
          </w:p>
        </w:tc>
        <w:tc>
          <w:tcPr/>
          <w:p>
            <w:pPr>
              <w:pStyle w:val="Compact"/>
              <w:jc w:val="center"/>
            </w:pPr>
            <w:r>
              <w:t xml:space="preserve">0.0411</w:t>
            </w:r>
          </w:p>
        </w:tc>
      </w:tr>
      <w:tr>
        <w:tc>
          <w:tcPr>
            <w:gridSpan w:val="7"/>
          </w:tcPr>
          <w:p>
            <w:pPr>
              <w:pStyle w:val="Compact"/>
              <w:jc w:val="left"/>
            </w:pPr>
            <w:r>
              <w:t xml:space="preserve">   300–600 ms, lateral</w:t>
            </w:r>
          </w:p>
        </w:tc>
      </w:tr>
      <w:tr>
        <w:tc>
          <w:tcPr/>
          <w:p>
            <w:pPr>
              <w:pStyle w:val="Compact"/>
              <w:jc w:val="left"/>
            </w:pPr>
            <w:r>
              <w:t xml:space="preserve">      Overall</w:t>
            </w:r>
          </w:p>
        </w:tc>
        <w:tc>
          <w:tcPr/>
          <w:p>
            <w:pPr>
              <w:pStyle w:val="Compact"/>
              <w:jc w:val="center"/>
            </w:pPr>
            <w:r>
              <w:t xml:space="preserve">⁠ ⁠ ⁠0.0107</w:t>
            </w:r>
          </w:p>
        </w:tc>
        <w:tc>
          <w:tcPr/>
          <w:p>
            <w:pPr>
              <w:pStyle w:val="Compact"/>
              <w:jc w:val="center"/>
            </w:pPr>
            <w:r>
              <w:t xml:space="preserve">−0.0048</w:t>
            </w:r>
          </w:p>
        </w:tc>
        <w:tc>
          <w:tcPr/>
          <w:p>
            <w:pPr>
              <w:pStyle w:val="Compact"/>
              <w:jc w:val="center"/>
            </w:pPr>
            <w:r>
              <w:t xml:space="preserve">0.0260</w:t>
            </w:r>
          </w:p>
        </w:tc>
        <w:tc>
          <w:tcPr/>
          <w:p>
            <w:pPr>
              <w:pStyle w:val="Compact"/>
              <w:jc w:val="center"/>
            </w:pPr>
            <w:r>
              <w:t xml:space="preserve">⁠ ⁠ ⁠0.0117</w:t>
            </w:r>
          </w:p>
        </w:tc>
        <w:tc>
          <w:tcPr/>
          <w:p>
            <w:pPr>
              <w:pStyle w:val="Compact"/>
              <w:jc w:val="center"/>
            </w:pPr>
            <w:r>
              <w:t xml:space="preserve">−0.0041</w:t>
            </w:r>
          </w:p>
        </w:tc>
        <w:tc>
          <w:tcPr/>
          <w:p>
            <w:pPr>
              <w:pStyle w:val="Compact"/>
              <w:jc w:val="center"/>
            </w:pPr>
            <w:r>
              <w:t xml:space="preserve">0.0273</w:t>
            </w:r>
          </w:p>
        </w:tc>
      </w:tr>
      <w:tr>
        <w:tc>
          <w:tcPr/>
          <w:p>
            <w:pPr>
              <w:pStyle w:val="Compact"/>
              <w:jc w:val="left"/>
            </w:pPr>
            <w:r>
              <w:t xml:space="preserve">      Mini-Norwegian</w:t>
            </w:r>
          </w:p>
        </w:tc>
        <w:tc>
          <w:tcPr/>
          <w:p>
            <w:pPr>
              <w:pStyle w:val="Compact"/>
              <w:jc w:val="center"/>
            </w:pPr>
            <w:r>
              <w:t xml:space="preserve">⁠ ⁠ ⁠0.0081</w:t>
            </w:r>
          </w:p>
        </w:tc>
        <w:tc>
          <w:tcPr/>
          <w:p>
            <w:pPr>
              <w:pStyle w:val="Compact"/>
              <w:jc w:val="center"/>
            </w:pPr>
            <w:r>
              <w:t xml:space="preserve">−0.0146</w:t>
            </w:r>
          </w:p>
        </w:tc>
        <w:tc>
          <w:tcPr/>
          <w:p>
            <w:pPr>
              <w:pStyle w:val="Compact"/>
              <w:jc w:val="center"/>
            </w:pPr>
            <w:r>
              <w:t xml:space="preserve">0.0304</w:t>
            </w:r>
          </w:p>
        </w:tc>
        <w:tc>
          <w:tcPr/>
          <w:p>
            <w:pPr>
              <w:pStyle w:val="Compact"/>
              <w:jc w:val="center"/>
            </w:pPr>
            <w:r>
              <w:t xml:space="preserve">⁠ ⁠ ⁠0.0082</w:t>
            </w:r>
          </w:p>
        </w:tc>
        <w:tc>
          <w:tcPr/>
          <w:p>
            <w:pPr>
              <w:pStyle w:val="Compact"/>
              <w:jc w:val="center"/>
            </w:pPr>
            <w:r>
              <w:t xml:space="preserve">−0.0146</w:t>
            </w:r>
          </w:p>
        </w:tc>
        <w:tc>
          <w:tcPr/>
          <w:p>
            <w:pPr>
              <w:pStyle w:val="Compact"/>
              <w:jc w:val="center"/>
            </w:pPr>
            <w:r>
              <w:t xml:space="preserve">0.0307</w:t>
            </w:r>
          </w:p>
        </w:tc>
      </w:tr>
      <w:tr>
        <w:tc>
          <w:tcPr/>
          <w:p>
            <w:pPr>
              <w:pStyle w:val="Compact"/>
              <w:jc w:val="left"/>
            </w:pPr>
            <w:r>
              <w:t xml:space="preserve">      Mini-English</w:t>
            </w:r>
          </w:p>
        </w:tc>
        <w:tc>
          <w:tcPr/>
          <w:p>
            <w:pPr>
              <w:pStyle w:val="Compact"/>
              <w:jc w:val="center"/>
            </w:pPr>
            <w:r>
              <w:t xml:space="preserve">⁠ ⁠ ⁠0.0131</w:t>
            </w:r>
          </w:p>
        </w:tc>
        <w:tc>
          <w:tcPr/>
          <w:p>
            <w:pPr>
              <w:pStyle w:val="Compact"/>
              <w:jc w:val="center"/>
            </w:pPr>
            <w:r>
              <w:t xml:space="preserve">−0.0083</w:t>
            </w:r>
          </w:p>
        </w:tc>
        <w:tc>
          <w:tcPr/>
          <w:p>
            <w:pPr>
              <w:pStyle w:val="Compact"/>
              <w:jc w:val="center"/>
            </w:pPr>
            <w:r>
              <w:t xml:space="preserve">0.0343</w:t>
            </w:r>
          </w:p>
        </w:tc>
        <w:tc>
          <w:tcPr/>
          <w:p>
            <w:pPr>
              <w:pStyle w:val="Compact"/>
              <w:jc w:val="center"/>
            </w:pPr>
            <w:r>
              <w:t xml:space="preserve">⁠ ⁠ ⁠0.0150</w:t>
            </w:r>
          </w:p>
        </w:tc>
        <w:tc>
          <w:tcPr/>
          <w:p>
            <w:pPr>
              <w:pStyle w:val="Compact"/>
              <w:jc w:val="center"/>
            </w:pPr>
            <w:r>
              <w:t xml:space="preserve">−0.0067</w:t>
            </w:r>
          </w:p>
        </w:tc>
        <w:tc>
          <w:tcPr/>
          <w:p>
            <w:pPr>
              <w:pStyle w:val="Compact"/>
              <w:jc w:val="center"/>
            </w:pPr>
            <w:r>
              <w:t xml:space="preserve">0.0368</w:t>
            </w:r>
          </w:p>
        </w:tc>
      </w:tr>
      <w:tr>
        <w:tc>
          <w:tcPr/>
          <w:p>
            <w:pPr>
              <w:pStyle w:val="Compact"/>
              <w:jc w:val="left"/>
            </w:pPr>
            <w:r>
              <w:t xml:space="preserve">      Group difference</w:t>
            </w:r>
          </w:p>
        </w:tc>
        <w:tc>
          <w:tcPr/>
          <w:p>
            <w:pPr>
              <w:pStyle w:val="Compact"/>
              <w:jc w:val="center"/>
            </w:pPr>
            <w:r>
              <w:t xml:space="preserve">−0.0051</w:t>
            </w:r>
          </w:p>
        </w:tc>
        <w:tc>
          <w:tcPr/>
          <w:p>
            <w:pPr>
              <w:pStyle w:val="Compact"/>
              <w:jc w:val="center"/>
            </w:pPr>
            <w:r>
              <w:t xml:space="preserve">−0.0361</w:t>
            </w:r>
          </w:p>
        </w:tc>
        <w:tc>
          <w:tcPr/>
          <w:p>
            <w:pPr>
              <w:pStyle w:val="Compact"/>
              <w:jc w:val="center"/>
            </w:pPr>
            <w:r>
              <w:t xml:space="preserve">0.0257</w:t>
            </w:r>
          </w:p>
        </w:tc>
        <w:tc>
          <w:tcPr/>
          <w:p>
            <w:pPr>
              <w:pStyle w:val="Compact"/>
              <w:jc w:val="center"/>
            </w:pPr>
            <w:r>
              <w:t xml:space="preserve">−0.0067</w:t>
            </w:r>
          </w:p>
        </w:tc>
        <w:tc>
          <w:tcPr/>
          <w:p>
            <w:pPr>
              <w:pStyle w:val="Compact"/>
              <w:jc w:val="center"/>
            </w:pPr>
            <w:r>
              <w:t xml:space="preserve">−0.0382</w:t>
            </w:r>
          </w:p>
        </w:tc>
        <w:tc>
          <w:tcPr/>
          <w:p>
            <w:pPr>
              <w:pStyle w:val="Compact"/>
              <w:jc w:val="center"/>
            </w:pPr>
            <w:r>
              <w:t xml:space="preserve">0.0244</w:t>
            </w:r>
          </w:p>
        </w:tc>
      </w:tr>
      <w:tr>
        <w:tc>
          <w:tcPr>
            <w:gridSpan w:val="7"/>
          </w:tcPr>
          <w:p>
            <w:pPr>
              <w:pStyle w:val="Compact"/>
              <w:jc w:val="left"/>
            </w:pPr>
            <w:r>
              <w:t xml:space="preserve">   300–600 ms, midline</w:t>
            </w:r>
          </w:p>
        </w:tc>
      </w:tr>
      <w:tr>
        <w:tc>
          <w:tcPr/>
          <w:p>
            <w:pPr>
              <w:pStyle w:val="Compact"/>
              <w:jc w:val="left"/>
            </w:pPr>
            <w:r>
              <w:t xml:space="preserve">      Overall</w:t>
            </w:r>
          </w:p>
        </w:tc>
        <w:tc>
          <w:tcPr/>
          <w:p>
            <w:pPr>
              <w:pStyle w:val="Compact"/>
              <w:jc w:val="center"/>
            </w:pPr>
            <w:r>
              <w:t xml:space="preserve">⁠ ⁠ ⁠0.0055</w:t>
            </w:r>
          </w:p>
        </w:tc>
        <w:tc>
          <w:tcPr/>
          <w:p>
            <w:pPr>
              <w:pStyle w:val="Compact"/>
              <w:jc w:val="center"/>
            </w:pPr>
            <w:r>
              <w:t xml:space="preserve">−0.0112</w:t>
            </w:r>
          </w:p>
        </w:tc>
        <w:tc>
          <w:tcPr/>
          <w:p>
            <w:pPr>
              <w:pStyle w:val="Compact"/>
              <w:jc w:val="center"/>
            </w:pPr>
            <w:r>
              <w:t xml:space="preserve">0.0222</w:t>
            </w:r>
          </w:p>
        </w:tc>
        <w:tc>
          <w:tcPr/>
          <w:p>
            <w:pPr>
              <w:pStyle w:val="Compact"/>
              <w:jc w:val="center"/>
            </w:pPr>
            <w:r>
              <w:t xml:space="preserve">⁠ ⁠ ⁠0.0068</w:t>
            </w:r>
          </w:p>
        </w:tc>
        <w:tc>
          <w:tcPr/>
          <w:p>
            <w:pPr>
              <w:pStyle w:val="Compact"/>
              <w:jc w:val="center"/>
            </w:pPr>
            <w:r>
              <w:t xml:space="preserve">−0.0102</w:t>
            </w:r>
          </w:p>
        </w:tc>
        <w:tc>
          <w:tcPr/>
          <w:p>
            <w:pPr>
              <w:pStyle w:val="Compact"/>
              <w:jc w:val="center"/>
            </w:pPr>
            <w:r>
              <w:t xml:space="preserve">0.0237</w:t>
            </w:r>
          </w:p>
        </w:tc>
      </w:tr>
      <w:tr>
        <w:tc>
          <w:tcPr/>
          <w:p>
            <w:pPr>
              <w:pStyle w:val="Compact"/>
              <w:jc w:val="left"/>
            </w:pPr>
            <w:r>
              <w:t xml:space="preserve">      Mini-Norwegian</w:t>
            </w:r>
          </w:p>
        </w:tc>
        <w:tc>
          <w:tcPr/>
          <w:p>
            <w:pPr>
              <w:pStyle w:val="Compact"/>
              <w:jc w:val="center"/>
            </w:pPr>
            <w:r>
              <w:t xml:space="preserve">⁠ ⁠ ⁠0.0066</w:t>
            </w:r>
          </w:p>
        </w:tc>
        <w:tc>
          <w:tcPr/>
          <w:p>
            <w:pPr>
              <w:pStyle w:val="Compact"/>
              <w:jc w:val="center"/>
            </w:pPr>
            <w:r>
              <w:t xml:space="preserve">−0.0177</w:t>
            </w:r>
          </w:p>
        </w:tc>
        <w:tc>
          <w:tcPr/>
          <w:p>
            <w:pPr>
              <w:pStyle w:val="Compact"/>
              <w:jc w:val="center"/>
            </w:pPr>
            <w:r>
              <w:t xml:space="preserve">0.0311</w:t>
            </w:r>
          </w:p>
        </w:tc>
        <w:tc>
          <w:tcPr/>
          <w:p>
            <w:pPr>
              <w:pStyle w:val="Compact"/>
              <w:jc w:val="center"/>
            </w:pPr>
            <w:r>
              <w:t xml:space="preserve">⁠ ⁠ ⁠0.0068</w:t>
            </w:r>
          </w:p>
        </w:tc>
        <w:tc>
          <w:tcPr/>
          <w:p>
            <w:pPr>
              <w:pStyle w:val="Compact"/>
              <w:jc w:val="center"/>
            </w:pPr>
            <w:r>
              <w:t xml:space="preserve">−0.0177</w:t>
            </w:r>
          </w:p>
        </w:tc>
        <w:tc>
          <w:tcPr/>
          <w:p>
            <w:pPr>
              <w:pStyle w:val="Compact"/>
              <w:jc w:val="center"/>
            </w:pPr>
            <w:r>
              <w:t xml:space="preserve">0.0312</w:t>
            </w:r>
          </w:p>
        </w:tc>
      </w:tr>
      <w:tr>
        <w:tc>
          <w:tcPr/>
          <w:p>
            <w:pPr>
              <w:pStyle w:val="Compact"/>
              <w:jc w:val="left"/>
            </w:pPr>
            <w:r>
              <w:t xml:space="preserve">      Mini-English</w:t>
            </w:r>
          </w:p>
        </w:tc>
        <w:tc>
          <w:tcPr/>
          <w:p>
            <w:pPr>
              <w:pStyle w:val="Compact"/>
              <w:jc w:val="center"/>
            </w:pPr>
            <w:r>
              <w:t xml:space="preserve">⁠ ⁠ ⁠0.0043</w:t>
            </w:r>
          </w:p>
        </w:tc>
        <w:tc>
          <w:tcPr/>
          <w:p>
            <w:pPr>
              <w:pStyle w:val="Compact"/>
              <w:jc w:val="center"/>
            </w:pPr>
            <w:r>
              <w:t xml:space="preserve">−0.0184</w:t>
            </w:r>
          </w:p>
        </w:tc>
        <w:tc>
          <w:tcPr/>
          <w:p>
            <w:pPr>
              <w:pStyle w:val="Compact"/>
              <w:jc w:val="center"/>
            </w:pPr>
            <w:r>
              <w:t xml:space="preserve">0.0278</w:t>
            </w:r>
          </w:p>
        </w:tc>
        <w:tc>
          <w:tcPr/>
          <w:p>
            <w:pPr>
              <w:pStyle w:val="Compact"/>
              <w:jc w:val="center"/>
            </w:pPr>
            <w:r>
              <w:t xml:space="preserve">⁠ ⁠ ⁠0.0067</w:t>
            </w:r>
          </w:p>
        </w:tc>
        <w:tc>
          <w:tcPr/>
          <w:p>
            <w:pPr>
              <w:pStyle w:val="Compact"/>
              <w:jc w:val="center"/>
            </w:pPr>
            <w:r>
              <w:t xml:space="preserve">−0.0169</w:t>
            </w:r>
          </w:p>
        </w:tc>
        <w:tc>
          <w:tcPr/>
          <w:p>
            <w:pPr>
              <w:pStyle w:val="Compact"/>
              <w:jc w:val="center"/>
            </w:pPr>
            <w:r>
              <w:t xml:space="preserve">0.0305</w:t>
            </w:r>
          </w:p>
        </w:tc>
      </w:tr>
      <w:tr>
        <w:tc>
          <w:tcPr/>
          <w:p>
            <w:pPr>
              <w:pStyle w:val="Compact"/>
              <w:jc w:val="left"/>
            </w:pPr>
            <w:r>
              <w:t xml:space="preserve">      Group difference</w:t>
            </w:r>
          </w:p>
        </w:tc>
        <w:tc>
          <w:tcPr/>
          <w:p>
            <w:pPr>
              <w:pStyle w:val="Compact"/>
              <w:jc w:val="center"/>
            </w:pPr>
            <w:r>
              <w:t xml:space="preserve">⁠ ⁠ ⁠0.0023</w:t>
            </w:r>
          </w:p>
        </w:tc>
        <w:tc>
          <w:tcPr/>
          <w:p>
            <w:pPr>
              <w:pStyle w:val="Compact"/>
              <w:jc w:val="center"/>
            </w:pPr>
            <w:r>
              <w:t xml:space="preserve">−0.0318</w:t>
            </w:r>
          </w:p>
        </w:tc>
        <w:tc>
          <w:tcPr/>
          <w:p>
            <w:pPr>
              <w:pStyle w:val="Compact"/>
              <w:jc w:val="center"/>
            </w:pPr>
            <w:r>
              <w:t xml:space="preserve">0.0354</w:t>
            </w:r>
          </w:p>
        </w:tc>
        <w:tc>
          <w:tcPr/>
          <w:p>
            <w:pPr>
              <w:pStyle w:val="Compact"/>
              <w:jc w:val="center"/>
            </w:pPr>
            <w:r>
              <w:t xml:space="preserve">⁠ ⁠ ⁠0.0000</w:t>
            </w:r>
          </w:p>
        </w:tc>
        <w:tc>
          <w:tcPr/>
          <w:p>
            <w:pPr>
              <w:pStyle w:val="Compact"/>
              <w:jc w:val="center"/>
            </w:pPr>
            <w:r>
              <w:t xml:space="preserve">−0.0340</w:t>
            </w:r>
          </w:p>
        </w:tc>
        <w:tc>
          <w:tcPr/>
          <w:p>
            <w:pPr>
              <w:pStyle w:val="Compact"/>
              <w:jc w:val="center"/>
            </w:pPr>
            <w:r>
              <w:t xml:space="preserve">0.0339</w:t>
            </w:r>
          </w:p>
        </w:tc>
      </w:tr>
      <w:tr>
        <w:tc>
          <w:tcPr>
            <w:gridSpan w:val="7"/>
          </w:tcPr>
          <w:p>
            <w:pPr>
              <w:pStyle w:val="Compact"/>
              <w:jc w:val="left"/>
            </w:pPr>
            <w:r>
              <w:t xml:space="preserve">   400–900 ms, lateral</w:t>
            </w:r>
          </w:p>
        </w:tc>
      </w:tr>
      <w:tr>
        <w:tc>
          <w:tcPr/>
          <w:p>
            <w:pPr>
              <w:pStyle w:val="Compact"/>
              <w:jc w:val="left"/>
            </w:pPr>
            <w:r>
              <w:t xml:space="preserve">      Overall</w:t>
            </w:r>
          </w:p>
        </w:tc>
        <w:tc>
          <w:tcPr/>
          <w:p>
            <w:pPr>
              <w:pStyle w:val="Compact"/>
              <w:jc w:val="center"/>
            </w:pPr>
            <w:r>
              <w:t xml:space="preserve">⁠ ⁠ ⁠0.0222</w:t>
            </w:r>
          </w:p>
        </w:tc>
        <w:tc>
          <w:tcPr/>
          <w:p>
            <w:pPr>
              <w:pStyle w:val="Compact"/>
              <w:jc w:val="center"/>
            </w:pPr>
            <w:r>
              <w:t xml:space="preserve">⁠ ⁠ ⁠0.0056</w:t>
            </w:r>
          </w:p>
        </w:tc>
        <w:tc>
          <w:tcPr/>
          <w:p>
            <w:pPr>
              <w:pStyle w:val="Compact"/>
              <w:jc w:val="center"/>
            </w:pPr>
            <w:r>
              <w:t xml:space="preserve">0.0390</w:t>
            </w:r>
          </w:p>
        </w:tc>
        <w:tc>
          <w:tcPr/>
          <w:p>
            <w:pPr>
              <w:pStyle w:val="Compact"/>
              <w:jc w:val="center"/>
            </w:pPr>
            <w:r>
              <w:t xml:space="preserve">⁠ ⁠ ⁠0.0235</w:t>
            </w:r>
          </w:p>
        </w:tc>
        <w:tc>
          <w:tcPr/>
          <w:p>
            <w:pPr>
              <w:pStyle w:val="Compact"/>
              <w:jc w:val="center"/>
            </w:pPr>
            <w:r>
              <w:t xml:space="preserve">⁠ ⁠ ⁠0.0067</w:t>
            </w:r>
          </w:p>
        </w:tc>
        <w:tc>
          <w:tcPr/>
          <w:p>
            <w:pPr>
              <w:pStyle w:val="Compact"/>
              <w:jc w:val="center"/>
            </w:pPr>
            <w:r>
              <w:t xml:space="preserve">0.0404</w:t>
            </w:r>
          </w:p>
        </w:tc>
      </w:tr>
      <w:tr>
        <w:tc>
          <w:tcPr/>
          <w:p>
            <w:pPr>
              <w:pStyle w:val="Compact"/>
              <w:jc w:val="left"/>
            </w:pPr>
            <w:r>
              <w:t xml:space="preserve">      Mini-Norwegian</w:t>
            </w:r>
          </w:p>
        </w:tc>
        <w:tc>
          <w:tcPr/>
          <w:p>
            <w:pPr>
              <w:pStyle w:val="Compact"/>
              <w:jc w:val="center"/>
            </w:pPr>
            <w:r>
              <w:t xml:space="preserve">⁠ ⁠ ⁠0.0189</w:t>
            </w:r>
          </w:p>
        </w:tc>
        <w:tc>
          <w:tcPr/>
          <w:p>
            <w:pPr>
              <w:pStyle w:val="Compact"/>
              <w:jc w:val="center"/>
            </w:pPr>
            <w:r>
              <w:t xml:space="preserve">−0.0060</w:t>
            </w:r>
          </w:p>
        </w:tc>
        <w:tc>
          <w:tcPr/>
          <w:p>
            <w:pPr>
              <w:pStyle w:val="Compact"/>
              <w:jc w:val="center"/>
            </w:pPr>
            <w:r>
              <w:t xml:space="preserve">0.0436</w:t>
            </w:r>
          </w:p>
        </w:tc>
        <w:tc>
          <w:tcPr/>
          <w:p>
            <w:pPr>
              <w:pStyle w:val="Compact"/>
              <w:jc w:val="center"/>
            </w:pPr>
            <w:r>
              <w:t xml:space="preserve">⁠ ⁠ ⁠0.0186</w:t>
            </w:r>
          </w:p>
        </w:tc>
        <w:tc>
          <w:tcPr/>
          <w:p>
            <w:pPr>
              <w:pStyle w:val="Compact"/>
              <w:jc w:val="center"/>
            </w:pPr>
            <w:r>
              <w:t xml:space="preserve">−0.0057</w:t>
            </w:r>
          </w:p>
        </w:tc>
        <w:tc>
          <w:tcPr/>
          <w:p>
            <w:pPr>
              <w:pStyle w:val="Compact"/>
              <w:jc w:val="center"/>
            </w:pPr>
            <w:r>
              <w:t xml:space="preserve">0.0424</w:t>
            </w:r>
          </w:p>
        </w:tc>
      </w:tr>
      <w:tr>
        <w:tc>
          <w:tcPr/>
          <w:p>
            <w:pPr>
              <w:pStyle w:val="Compact"/>
              <w:jc w:val="left"/>
            </w:pPr>
            <w:r>
              <w:t xml:space="preserve">      Mini-English</w:t>
            </w:r>
          </w:p>
        </w:tc>
        <w:tc>
          <w:tcPr/>
          <w:p>
            <w:pPr>
              <w:pStyle w:val="Compact"/>
              <w:jc w:val="center"/>
            </w:pPr>
            <w:r>
              <w:t xml:space="preserve">⁠ ⁠ ⁠0.0254</w:t>
            </w:r>
          </w:p>
        </w:tc>
        <w:tc>
          <w:tcPr/>
          <w:p>
            <w:pPr>
              <w:pStyle w:val="Compact"/>
              <w:jc w:val="center"/>
            </w:pPr>
            <w:r>
              <w:t xml:space="preserve">⁠ ⁠ ⁠0.0024</w:t>
            </w:r>
          </w:p>
        </w:tc>
        <w:tc>
          <w:tcPr/>
          <w:p>
            <w:pPr>
              <w:pStyle w:val="Compact"/>
              <w:jc w:val="center"/>
            </w:pPr>
            <w:r>
              <w:t xml:space="preserve">0.0485</w:t>
            </w:r>
          </w:p>
        </w:tc>
        <w:tc>
          <w:tcPr/>
          <w:p>
            <w:pPr>
              <w:pStyle w:val="Compact"/>
              <w:jc w:val="center"/>
            </w:pPr>
            <w:r>
              <w:t xml:space="preserve">⁠ ⁠ ⁠0.0283</w:t>
            </w:r>
          </w:p>
        </w:tc>
        <w:tc>
          <w:tcPr/>
          <w:p>
            <w:pPr>
              <w:pStyle w:val="Compact"/>
              <w:jc w:val="center"/>
            </w:pPr>
            <w:r>
              <w:t xml:space="preserve">⁠ ⁠ ⁠0.0052</w:t>
            </w:r>
          </w:p>
        </w:tc>
        <w:tc>
          <w:tcPr/>
          <w:p>
            <w:pPr>
              <w:pStyle w:val="Compact"/>
              <w:jc w:val="center"/>
            </w:pPr>
            <w:r>
              <w:t xml:space="preserve">0.0520</w:t>
            </w:r>
          </w:p>
        </w:tc>
      </w:tr>
      <w:tr>
        <w:tc>
          <w:tcPr/>
          <w:p>
            <w:pPr>
              <w:pStyle w:val="Compact"/>
              <w:jc w:val="left"/>
            </w:pPr>
            <w:r>
              <w:t xml:space="preserve">      Group difference</w:t>
            </w:r>
          </w:p>
        </w:tc>
        <w:tc>
          <w:tcPr/>
          <w:p>
            <w:pPr>
              <w:pStyle w:val="Compact"/>
              <w:jc w:val="center"/>
            </w:pPr>
            <w:r>
              <w:t xml:space="preserve">−0.0065</w:t>
            </w:r>
          </w:p>
        </w:tc>
        <w:tc>
          <w:tcPr/>
          <w:p>
            <w:pPr>
              <w:pStyle w:val="Compact"/>
              <w:jc w:val="center"/>
            </w:pPr>
            <w:r>
              <w:t xml:space="preserve">−0.0406</w:t>
            </w:r>
          </w:p>
        </w:tc>
        <w:tc>
          <w:tcPr/>
          <w:p>
            <w:pPr>
              <w:pStyle w:val="Compact"/>
              <w:jc w:val="center"/>
            </w:pPr>
            <w:r>
              <w:t xml:space="preserve">0.0269</w:t>
            </w:r>
          </w:p>
        </w:tc>
        <w:tc>
          <w:tcPr/>
          <w:p>
            <w:pPr>
              <w:pStyle w:val="Compact"/>
              <w:jc w:val="center"/>
            </w:pPr>
            <w:r>
              <w:t xml:space="preserve">−0.0098</w:t>
            </w:r>
          </w:p>
        </w:tc>
        <w:tc>
          <w:tcPr/>
          <w:p>
            <w:pPr>
              <w:pStyle w:val="Compact"/>
              <w:jc w:val="center"/>
            </w:pPr>
            <w:r>
              <w:t xml:space="preserve">−0.0435</w:t>
            </w:r>
          </w:p>
        </w:tc>
        <w:tc>
          <w:tcPr/>
          <w:p>
            <w:pPr>
              <w:pStyle w:val="Compact"/>
              <w:jc w:val="center"/>
            </w:pPr>
            <w:r>
              <w:t xml:space="preserve">0.0233</w:t>
            </w:r>
          </w:p>
        </w:tc>
      </w:tr>
      <w:tr>
        <w:tc>
          <w:tcPr>
            <w:gridSpan w:val="7"/>
          </w:tcPr>
          <w:p>
            <w:pPr>
              <w:pStyle w:val="Compact"/>
              <w:jc w:val="left"/>
            </w:pPr>
            <w:r>
              <w:t xml:space="preserve">   400–900 ms, midline</w:t>
            </w:r>
          </w:p>
        </w:tc>
      </w:tr>
      <w:tr>
        <w:tc>
          <w:tcPr/>
          <w:p>
            <w:pPr>
              <w:pStyle w:val="Compact"/>
              <w:jc w:val="left"/>
            </w:pPr>
            <w:r>
              <w:t xml:space="preserve">      Overall</w:t>
            </w:r>
          </w:p>
        </w:tc>
        <w:tc>
          <w:tcPr/>
          <w:p>
            <w:pPr>
              <w:pStyle w:val="Compact"/>
              <w:jc w:val="center"/>
            </w:pPr>
            <w:r>
              <w:t xml:space="preserve">⁠ ⁠ ⁠0.0201</w:t>
            </w:r>
          </w:p>
        </w:tc>
        <w:tc>
          <w:tcPr/>
          <w:p>
            <w:pPr>
              <w:pStyle w:val="Compact"/>
              <w:jc w:val="center"/>
            </w:pPr>
            <w:r>
              <w:t xml:space="preserve">⁠ ⁠ ⁠0.0019</w:t>
            </w:r>
          </w:p>
        </w:tc>
        <w:tc>
          <w:tcPr/>
          <w:p>
            <w:pPr>
              <w:pStyle w:val="Compact"/>
              <w:jc w:val="center"/>
            </w:pPr>
            <w:r>
              <w:t xml:space="preserve">0.0384</w:t>
            </w:r>
          </w:p>
        </w:tc>
        <w:tc>
          <w:tcPr/>
          <w:p>
            <w:pPr>
              <w:pStyle w:val="Compact"/>
              <w:jc w:val="center"/>
            </w:pPr>
            <w:r>
              <w:t xml:space="preserve">⁠ ⁠ ⁠0.0214</w:t>
            </w:r>
          </w:p>
        </w:tc>
        <w:tc>
          <w:tcPr/>
          <w:p>
            <w:pPr>
              <w:pStyle w:val="Compact"/>
              <w:jc w:val="center"/>
            </w:pPr>
            <w:r>
              <w:t xml:space="preserve">⁠ ⁠ ⁠0.0033</w:t>
            </w:r>
          </w:p>
        </w:tc>
        <w:tc>
          <w:tcPr/>
          <w:p>
            <w:pPr>
              <w:pStyle w:val="Compact"/>
              <w:jc w:val="center"/>
            </w:pPr>
            <w:r>
              <w:t xml:space="preserve">0.0397</w:t>
            </w:r>
          </w:p>
        </w:tc>
      </w:tr>
      <w:tr>
        <w:tc>
          <w:tcPr/>
          <w:p>
            <w:pPr>
              <w:pStyle w:val="Compact"/>
              <w:jc w:val="left"/>
            </w:pPr>
            <w:r>
              <w:t xml:space="preserve">      Mini-Norwegian</w:t>
            </w:r>
          </w:p>
        </w:tc>
        <w:tc>
          <w:tcPr/>
          <w:p>
            <w:pPr>
              <w:pStyle w:val="Compact"/>
              <w:jc w:val="center"/>
            </w:pPr>
            <w:r>
              <w:t xml:space="preserve">⁠ ⁠ ⁠0.0151</w:t>
            </w:r>
          </w:p>
        </w:tc>
        <w:tc>
          <w:tcPr/>
          <w:p>
            <w:pPr>
              <w:pStyle w:val="Compact"/>
              <w:jc w:val="center"/>
            </w:pPr>
            <w:r>
              <w:t xml:space="preserve">−0.0118</w:t>
            </w:r>
          </w:p>
        </w:tc>
        <w:tc>
          <w:tcPr/>
          <w:p>
            <w:pPr>
              <w:pStyle w:val="Compact"/>
              <w:jc w:val="center"/>
            </w:pPr>
            <w:r>
              <w:t xml:space="preserve">0.0410</w:t>
            </w:r>
          </w:p>
        </w:tc>
        <w:tc>
          <w:tcPr/>
          <w:p>
            <w:pPr>
              <w:pStyle w:val="Compact"/>
              <w:jc w:val="center"/>
            </w:pPr>
            <w:r>
              <w:t xml:space="preserve">⁠ ⁠ ⁠0.0148</w:t>
            </w:r>
          </w:p>
        </w:tc>
        <w:tc>
          <w:tcPr/>
          <w:p>
            <w:pPr>
              <w:pStyle w:val="Compact"/>
              <w:jc w:val="center"/>
            </w:pPr>
            <w:r>
              <w:t xml:space="preserve">−0.0116</w:t>
            </w:r>
          </w:p>
        </w:tc>
        <w:tc>
          <w:tcPr/>
          <w:p>
            <w:pPr>
              <w:pStyle w:val="Compact"/>
              <w:jc w:val="center"/>
            </w:pPr>
            <w:r>
              <w:t xml:space="preserve">0.0409</w:t>
            </w:r>
          </w:p>
        </w:tc>
      </w:tr>
      <w:tr>
        <w:tc>
          <w:tcPr/>
          <w:p>
            <w:pPr>
              <w:pStyle w:val="Compact"/>
              <w:jc w:val="left"/>
            </w:pPr>
            <w:r>
              <w:t xml:space="preserve">      Mini-English</w:t>
            </w:r>
          </w:p>
        </w:tc>
        <w:tc>
          <w:tcPr/>
          <w:p>
            <w:pPr>
              <w:pStyle w:val="Compact"/>
              <w:jc w:val="center"/>
            </w:pPr>
            <w:r>
              <w:t xml:space="preserve">⁠ ⁠ ⁠0.0248</w:t>
            </w:r>
          </w:p>
        </w:tc>
        <w:tc>
          <w:tcPr/>
          <w:p>
            <w:pPr>
              <w:pStyle w:val="Compact"/>
              <w:jc w:val="center"/>
            </w:pPr>
            <w:r>
              <w:t xml:space="preserve">−0.0001</w:t>
            </w:r>
          </w:p>
        </w:tc>
        <w:tc>
          <w:tcPr/>
          <w:p>
            <w:pPr>
              <w:pStyle w:val="Compact"/>
              <w:jc w:val="center"/>
            </w:pPr>
            <w:r>
              <w:t xml:space="preserve">0.0507</w:t>
            </w:r>
          </w:p>
        </w:tc>
        <w:tc>
          <w:tcPr/>
          <w:p>
            <w:pPr>
              <w:pStyle w:val="Compact"/>
              <w:jc w:val="center"/>
            </w:pPr>
            <w:r>
              <w:t xml:space="preserve">⁠ ⁠ ⁠0.0277</w:t>
            </w:r>
          </w:p>
        </w:tc>
        <w:tc>
          <w:tcPr/>
          <w:p>
            <w:pPr>
              <w:pStyle w:val="Compact"/>
              <w:jc w:val="center"/>
            </w:pPr>
            <w:r>
              <w:t xml:space="preserve">⁠ ⁠ ⁠0.0030</w:t>
            </w:r>
          </w:p>
        </w:tc>
        <w:tc>
          <w:tcPr/>
          <w:p>
            <w:pPr>
              <w:pStyle w:val="Compact"/>
              <w:jc w:val="center"/>
            </w:pPr>
            <w:r>
              <w:t xml:space="preserve">0.0532</w:t>
            </w:r>
          </w:p>
        </w:tc>
      </w:tr>
      <w:tr>
        <w:tc>
          <w:tcPr/>
          <w:p>
            <w:pPr>
              <w:pStyle w:val="Compact"/>
              <w:jc w:val="left"/>
            </w:pPr>
            <w:r>
              <w:t xml:space="preserve">      Group difference</w:t>
            </w:r>
          </w:p>
        </w:tc>
        <w:tc>
          <w:tcPr/>
          <w:p>
            <w:pPr>
              <w:pStyle w:val="Compact"/>
              <w:jc w:val="center"/>
            </w:pPr>
            <w:r>
              <w:t xml:space="preserve">−0.0097</w:t>
            </w:r>
          </w:p>
        </w:tc>
        <w:tc>
          <w:tcPr/>
          <w:p>
            <w:pPr>
              <w:pStyle w:val="Compact"/>
              <w:jc w:val="center"/>
            </w:pPr>
            <w:r>
              <w:t xml:space="preserve">−0.0473</w:t>
            </w:r>
          </w:p>
        </w:tc>
        <w:tc>
          <w:tcPr/>
          <w:p>
            <w:pPr>
              <w:pStyle w:val="Compact"/>
              <w:jc w:val="center"/>
            </w:pPr>
            <w:r>
              <w:t xml:space="preserve">0.0262</w:t>
            </w:r>
          </w:p>
        </w:tc>
        <w:tc>
          <w:tcPr/>
          <w:p>
            <w:pPr>
              <w:pStyle w:val="Compact"/>
              <w:jc w:val="center"/>
            </w:pPr>
            <w:r>
              <w:t xml:space="preserve">−0.0131</w:t>
            </w:r>
          </w:p>
        </w:tc>
        <w:tc>
          <w:tcPr/>
          <w:p>
            <w:pPr>
              <w:pStyle w:val="Compact"/>
              <w:jc w:val="center"/>
            </w:pPr>
            <w:r>
              <w:t xml:space="preserve">−0.0500</w:t>
            </w:r>
          </w:p>
        </w:tc>
        <w:tc>
          <w:tcPr/>
          <w:p>
            <w:pPr>
              <w:pStyle w:val="Compact"/>
              <w:jc w:val="center"/>
            </w:pPr>
            <w:r>
              <w:t xml:space="preserve">0.0234</w:t>
            </w:r>
          </w:p>
        </w:tc>
      </w:tr>
      <w:tr>
        <w:tc>
          <w:tcPr>
            <w:gridSpan w:val="7"/>
          </w:tcPr>
          <w:p>
            <w:pPr>
              <w:pStyle w:val="Compact"/>
              <w:jc w:val="left"/>
            </w:pPr>
            <w:r>
              <w:rPr>
                <w:i/>
                <w:iCs/>
              </w:rPr>
              <w:t xml:space="preserve">Differential object marking</w:t>
            </w:r>
          </w:p>
        </w:tc>
      </w:tr>
      <w:tr>
        <w:tc>
          <w:tcPr>
            <w:gridSpan w:val="7"/>
          </w:tcPr>
          <w:p>
            <w:pPr>
              <w:pStyle w:val="Compact"/>
              <w:jc w:val="left"/>
            </w:pPr>
            <w:r>
              <w:t xml:space="preserve">   200–500 ms, lateral</w:t>
            </w:r>
          </w:p>
        </w:tc>
      </w:tr>
      <w:tr>
        <w:tc>
          <w:tcPr/>
          <w:p>
            <w:pPr>
              <w:pStyle w:val="Compact"/>
              <w:jc w:val="left"/>
            </w:pPr>
            <w:r>
              <w:t xml:space="preserve">      Overall</w:t>
            </w:r>
          </w:p>
        </w:tc>
        <w:tc>
          <w:tcPr/>
          <w:p>
            <w:pPr>
              <w:pStyle w:val="Compact"/>
              <w:jc w:val="center"/>
            </w:pPr>
            <w:r>
              <w:t xml:space="preserve">⁠ ⁠ ⁠0.0054</w:t>
            </w:r>
          </w:p>
        </w:tc>
        <w:tc>
          <w:tcPr/>
          <w:p>
            <w:pPr>
              <w:pStyle w:val="Compact"/>
              <w:jc w:val="center"/>
            </w:pPr>
            <w:r>
              <w:t xml:space="preserve">−0.0205</w:t>
            </w:r>
          </w:p>
        </w:tc>
        <w:tc>
          <w:tcPr/>
          <w:p>
            <w:pPr>
              <w:pStyle w:val="Compact"/>
              <w:jc w:val="center"/>
            </w:pPr>
            <w:r>
              <w:t xml:space="preserve">0.0318</w:t>
            </w:r>
          </w:p>
        </w:tc>
        <w:tc>
          <w:tcPr/>
          <w:p>
            <w:pPr>
              <w:pStyle w:val="Compact"/>
              <w:jc w:val="center"/>
            </w:pPr>
            <w:r>
              <w:t xml:space="preserve">⁠ ⁠ ⁠0.0069</w:t>
            </w:r>
          </w:p>
        </w:tc>
        <w:tc>
          <w:tcPr/>
          <w:p>
            <w:pPr>
              <w:pStyle w:val="Compact"/>
              <w:jc w:val="center"/>
            </w:pPr>
            <w:r>
              <w:t xml:space="preserve">−0.0216</w:t>
            </w:r>
          </w:p>
        </w:tc>
        <w:tc>
          <w:tcPr/>
          <w:p>
            <w:pPr>
              <w:pStyle w:val="Compact"/>
              <w:jc w:val="center"/>
            </w:pPr>
            <w:r>
              <w:t xml:space="preserve">0.0358</w:t>
            </w:r>
          </w:p>
        </w:tc>
      </w:tr>
      <w:tr>
        <w:tc>
          <w:tcPr/>
          <w:p>
            <w:pPr>
              <w:pStyle w:val="Compact"/>
              <w:jc w:val="left"/>
            </w:pPr>
            <w:r>
              <w:t xml:space="preserve">      Mini-Norwegian</w:t>
            </w:r>
          </w:p>
        </w:tc>
        <w:tc>
          <w:tcPr/>
          <w:p>
            <w:pPr>
              <w:pStyle w:val="Compact"/>
              <w:jc w:val="center"/>
            </w:pPr>
            <w:r>
              <w:t xml:space="preserve">⁠ ⁠ ⁠0.0044</w:t>
            </w:r>
          </w:p>
        </w:tc>
        <w:tc>
          <w:tcPr/>
          <w:p>
            <w:pPr>
              <w:pStyle w:val="Compact"/>
              <w:jc w:val="center"/>
            </w:pPr>
            <w:r>
              <w:t xml:space="preserve">−0.0329</w:t>
            </w:r>
          </w:p>
        </w:tc>
        <w:tc>
          <w:tcPr/>
          <w:p>
            <w:pPr>
              <w:pStyle w:val="Compact"/>
              <w:jc w:val="center"/>
            </w:pPr>
            <w:r>
              <w:t xml:space="preserve">0.0423</w:t>
            </w:r>
          </w:p>
        </w:tc>
        <w:tc>
          <w:tcPr/>
          <w:p>
            <w:pPr>
              <w:pStyle w:val="Compact"/>
              <w:jc w:val="center"/>
            </w:pPr>
            <w:r>
              <w:t xml:space="preserve">⁠ ⁠ ⁠0.0012</w:t>
            </w:r>
          </w:p>
        </w:tc>
        <w:tc>
          <w:tcPr/>
          <w:p>
            <w:pPr>
              <w:pStyle w:val="Compact"/>
              <w:jc w:val="center"/>
            </w:pPr>
            <w:r>
              <w:t xml:space="preserve">−0.0391</w:t>
            </w:r>
          </w:p>
        </w:tc>
        <w:tc>
          <w:tcPr/>
          <w:p>
            <w:pPr>
              <w:pStyle w:val="Compact"/>
              <w:jc w:val="center"/>
            </w:pPr>
            <w:r>
              <w:t xml:space="preserve">0.0422</w:t>
            </w:r>
          </w:p>
        </w:tc>
      </w:tr>
      <w:tr>
        <w:tc>
          <w:tcPr/>
          <w:p>
            <w:pPr>
              <w:pStyle w:val="Compact"/>
              <w:jc w:val="left"/>
            </w:pPr>
            <w:r>
              <w:t xml:space="preserve">      Mini-English</w:t>
            </w:r>
          </w:p>
        </w:tc>
        <w:tc>
          <w:tcPr/>
          <w:p>
            <w:pPr>
              <w:pStyle w:val="Compact"/>
              <w:jc w:val="center"/>
            </w:pPr>
            <w:r>
              <w:t xml:space="preserve">⁠ ⁠ ⁠0.0063</w:t>
            </w:r>
          </w:p>
        </w:tc>
        <w:tc>
          <w:tcPr/>
          <w:p>
            <w:pPr>
              <w:pStyle w:val="Compact"/>
              <w:jc w:val="center"/>
            </w:pPr>
            <w:r>
              <w:t xml:space="preserve">−0.0298</w:t>
            </w:r>
          </w:p>
        </w:tc>
        <w:tc>
          <w:tcPr/>
          <w:p>
            <w:pPr>
              <w:pStyle w:val="Compact"/>
              <w:jc w:val="center"/>
            </w:pPr>
            <w:r>
              <w:t xml:space="preserve">0.0427</w:t>
            </w:r>
          </w:p>
        </w:tc>
        <w:tc>
          <w:tcPr/>
          <w:p>
            <w:pPr>
              <w:pStyle w:val="Compact"/>
              <w:jc w:val="center"/>
            </w:pPr>
            <w:r>
              <w:t xml:space="preserve">⁠ ⁠ ⁠0.0125</w:t>
            </w:r>
          </w:p>
        </w:tc>
        <w:tc>
          <w:tcPr/>
          <w:p>
            <w:pPr>
              <w:pStyle w:val="Compact"/>
              <w:jc w:val="center"/>
            </w:pPr>
            <w:r>
              <w:t xml:space="preserve">−0.0269</w:t>
            </w:r>
          </w:p>
        </w:tc>
        <w:tc>
          <w:tcPr/>
          <w:p>
            <w:pPr>
              <w:pStyle w:val="Compact"/>
              <w:jc w:val="center"/>
            </w:pPr>
            <w:r>
              <w:t xml:space="preserve">0.0532</w:t>
            </w:r>
          </w:p>
        </w:tc>
      </w:tr>
      <w:tr>
        <w:tc>
          <w:tcPr/>
          <w:p>
            <w:pPr>
              <w:pStyle w:val="Compact"/>
              <w:jc w:val="left"/>
            </w:pPr>
            <w:r>
              <w:t xml:space="preserve">      Group difference</w:t>
            </w:r>
          </w:p>
        </w:tc>
        <w:tc>
          <w:tcPr/>
          <w:p>
            <w:pPr>
              <w:pStyle w:val="Compact"/>
              <w:jc w:val="center"/>
            </w:pPr>
            <w:r>
              <w:t xml:space="preserve">−0.0020</w:t>
            </w:r>
          </w:p>
        </w:tc>
        <w:tc>
          <w:tcPr/>
          <w:p>
            <w:pPr>
              <w:pStyle w:val="Compact"/>
              <w:jc w:val="center"/>
            </w:pPr>
            <w:r>
              <w:t xml:space="preserve">−0.0533</w:t>
            </w:r>
          </w:p>
        </w:tc>
        <w:tc>
          <w:tcPr/>
          <w:p>
            <w:pPr>
              <w:pStyle w:val="Compact"/>
              <w:jc w:val="center"/>
            </w:pPr>
            <w:r>
              <w:t xml:space="preserve">0.0504</w:t>
            </w:r>
          </w:p>
        </w:tc>
        <w:tc>
          <w:tcPr/>
          <w:p>
            <w:pPr>
              <w:pStyle w:val="Compact"/>
              <w:jc w:val="center"/>
            </w:pPr>
            <w:r>
              <w:t xml:space="preserve">−0.0116</w:t>
            </w:r>
          </w:p>
        </w:tc>
        <w:tc>
          <w:tcPr/>
          <w:p>
            <w:pPr>
              <w:pStyle w:val="Compact"/>
              <w:jc w:val="center"/>
            </w:pPr>
            <w:r>
              <w:t xml:space="preserve">−0.0687</w:t>
            </w:r>
          </w:p>
        </w:tc>
        <w:tc>
          <w:tcPr/>
          <w:p>
            <w:pPr>
              <w:pStyle w:val="Compact"/>
              <w:jc w:val="center"/>
            </w:pPr>
            <w:r>
              <w:t xml:space="preserve">0.0452</w:t>
            </w:r>
          </w:p>
        </w:tc>
      </w:tr>
      <w:tr>
        <w:tc>
          <w:tcPr>
            <w:gridSpan w:val="7"/>
          </w:tcPr>
          <w:p>
            <w:pPr>
              <w:pStyle w:val="Compact"/>
              <w:jc w:val="left"/>
            </w:pPr>
            <w:r>
              <w:t xml:space="preserve">   200–500 ms, midline</w:t>
            </w:r>
          </w:p>
        </w:tc>
      </w:tr>
      <w:tr>
        <w:tc>
          <w:tcPr/>
          <w:p>
            <w:pPr>
              <w:pStyle w:val="Compact"/>
              <w:jc w:val="left"/>
            </w:pPr>
            <w:r>
              <w:t xml:space="preserve">      Overall</w:t>
            </w:r>
          </w:p>
        </w:tc>
        <w:tc>
          <w:tcPr/>
          <w:p>
            <w:pPr>
              <w:pStyle w:val="Compact"/>
              <w:jc w:val="center"/>
            </w:pPr>
            <w:r>
              <w:t xml:space="preserve">⁠ ⁠ ⁠0.0015</w:t>
            </w:r>
          </w:p>
        </w:tc>
        <w:tc>
          <w:tcPr/>
          <w:p>
            <w:pPr>
              <w:pStyle w:val="Compact"/>
              <w:jc w:val="center"/>
            </w:pPr>
            <w:r>
              <w:t xml:space="preserve">−0.0289</w:t>
            </w:r>
          </w:p>
        </w:tc>
        <w:tc>
          <w:tcPr/>
          <w:p>
            <w:pPr>
              <w:pStyle w:val="Compact"/>
              <w:jc w:val="center"/>
            </w:pPr>
            <w:r>
              <w:t xml:space="preserve">0.0324</w:t>
            </w:r>
          </w:p>
        </w:tc>
        <w:tc>
          <w:tcPr/>
          <w:p>
            <w:pPr>
              <w:pStyle w:val="Compact"/>
              <w:jc w:val="center"/>
            </w:pPr>
            <w:r>
              <w:t xml:space="preserve">−0.0007</w:t>
            </w:r>
          </w:p>
        </w:tc>
        <w:tc>
          <w:tcPr/>
          <w:p>
            <w:pPr>
              <w:pStyle w:val="Compact"/>
              <w:jc w:val="center"/>
            </w:pPr>
            <w:r>
              <w:t xml:space="preserve">−0.0333</w:t>
            </w:r>
          </w:p>
        </w:tc>
        <w:tc>
          <w:tcPr/>
          <w:p>
            <w:pPr>
              <w:pStyle w:val="Compact"/>
              <w:jc w:val="center"/>
            </w:pPr>
            <w:r>
              <w:t xml:space="preserve">0.0330</w:t>
            </w:r>
          </w:p>
        </w:tc>
      </w:tr>
      <w:tr>
        <w:tc>
          <w:tcPr/>
          <w:p>
            <w:pPr>
              <w:pStyle w:val="Compact"/>
              <w:jc w:val="left"/>
            </w:pPr>
            <w:r>
              <w:t xml:space="preserve">      Mini-Norwegian</w:t>
            </w:r>
          </w:p>
        </w:tc>
        <w:tc>
          <w:tcPr/>
          <w:p>
            <w:pPr>
              <w:pStyle w:val="Compact"/>
              <w:jc w:val="center"/>
            </w:pPr>
            <w:r>
              <w:t xml:space="preserve">⁠ ⁠ ⁠0.0129</w:t>
            </w:r>
          </w:p>
        </w:tc>
        <w:tc>
          <w:tcPr/>
          <w:p>
            <w:pPr>
              <w:pStyle w:val="Compact"/>
              <w:jc w:val="center"/>
            </w:pPr>
            <w:r>
              <w:t xml:space="preserve">−0.0301</w:t>
            </w:r>
          </w:p>
        </w:tc>
        <w:tc>
          <w:tcPr/>
          <w:p>
            <w:pPr>
              <w:pStyle w:val="Compact"/>
              <w:jc w:val="center"/>
            </w:pPr>
            <w:r>
              <w:t xml:space="preserve">0.0577</w:t>
            </w:r>
          </w:p>
        </w:tc>
        <w:tc>
          <w:tcPr/>
          <w:p>
            <w:pPr>
              <w:pStyle w:val="Compact"/>
              <w:jc w:val="center"/>
            </w:pPr>
            <w:r>
              <w:t xml:space="preserve">⁠ ⁠ ⁠0.0078</w:t>
            </w:r>
          </w:p>
        </w:tc>
        <w:tc>
          <w:tcPr/>
          <w:p>
            <w:pPr>
              <w:pStyle w:val="Compact"/>
              <w:jc w:val="center"/>
            </w:pPr>
            <w:r>
              <w:t xml:space="preserve">−0.0390</w:t>
            </w:r>
          </w:p>
        </w:tc>
        <w:tc>
          <w:tcPr/>
          <w:p>
            <w:pPr>
              <w:pStyle w:val="Compact"/>
              <w:jc w:val="center"/>
            </w:pPr>
            <w:r>
              <w:t xml:space="preserve">0.0559</w:t>
            </w:r>
          </w:p>
        </w:tc>
      </w:tr>
      <w:tr>
        <w:tc>
          <w:tcPr/>
          <w:p>
            <w:pPr>
              <w:pStyle w:val="Compact"/>
              <w:jc w:val="left"/>
            </w:pPr>
            <w:r>
              <w:t xml:space="preserve">      Mini-English</w:t>
            </w:r>
          </w:p>
        </w:tc>
        <w:tc>
          <w:tcPr/>
          <w:p>
            <w:pPr>
              <w:pStyle w:val="Compact"/>
              <w:jc w:val="center"/>
            </w:pPr>
            <w:r>
              <w:t xml:space="preserve">−0.0100</w:t>
            </w:r>
          </w:p>
        </w:tc>
        <w:tc>
          <w:tcPr/>
          <w:p>
            <w:pPr>
              <w:pStyle w:val="Compact"/>
              <w:jc w:val="center"/>
            </w:pPr>
            <w:r>
              <w:t xml:space="preserve">−0.0519</w:t>
            </w:r>
          </w:p>
        </w:tc>
        <w:tc>
          <w:tcPr/>
          <w:p>
            <w:pPr>
              <w:pStyle w:val="Compact"/>
              <w:jc w:val="center"/>
            </w:pPr>
            <w:r>
              <w:t xml:space="preserve">0.0330</w:t>
            </w:r>
          </w:p>
        </w:tc>
        <w:tc>
          <w:tcPr/>
          <w:p>
            <w:pPr>
              <w:pStyle w:val="Compact"/>
              <w:jc w:val="center"/>
            </w:pPr>
            <w:r>
              <w:t xml:space="preserve">−0.0091</w:t>
            </w:r>
          </w:p>
        </w:tc>
        <w:tc>
          <w:tcPr/>
          <w:p>
            <w:pPr>
              <w:pStyle w:val="Compact"/>
              <w:jc w:val="center"/>
            </w:pPr>
            <w:r>
              <w:t xml:space="preserve">−0.0550</w:t>
            </w:r>
          </w:p>
        </w:tc>
        <w:tc>
          <w:tcPr/>
          <w:p>
            <w:pPr>
              <w:pStyle w:val="Compact"/>
              <w:jc w:val="center"/>
            </w:pPr>
            <w:r>
              <w:t xml:space="preserve">0.0371</w:t>
            </w:r>
          </w:p>
        </w:tc>
      </w:tr>
      <w:tr>
        <w:tc>
          <w:tcPr/>
          <w:p>
            <w:pPr>
              <w:pStyle w:val="Compact"/>
              <w:jc w:val="left"/>
            </w:pPr>
            <w:r>
              <w:t xml:space="preserve">      Group difference</w:t>
            </w:r>
          </w:p>
        </w:tc>
        <w:tc>
          <w:tcPr/>
          <w:p>
            <w:pPr>
              <w:pStyle w:val="Compact"/>
              <w:jc w:val="center"/>
            </w:pPr>
            <w:r>
              <w:t xml:space="preserve">⁠ ⁠ ⁠0.0229</w:t>
            </w:r>
          </w:p>
        </w:tc>
        <w:tc>
          <w:tcPr/>
          <w:p>
            <w:pPr>
              <w:pStyle w:val="Compact"/>
              <w:jc w:val="center"/>
            </w:pPr>
            <w:r>
              <w:t xml:space="preserve">−0.0381</w:t>
            </w:r>
          </w:p>
        </w:tc>
        <w:tc>
          <w:tcPr/>
          <w:p>
            <w:pPr>
              <w:pStyle w:val="Compact"/>
              <w:jc w:val="center"/>
            </w:pPr>
            <w:r>
              <w:t xml:space="preserve">0.0839</w:t>
            </w:r>
          </w:p>
        </w:tc>
        <w:tc>
          <w:tcPr/>
          <w:p>
            <w:pPr>
              <w:pStyle w:val="Compact"/>
              <w:jc w:val="center"/>
            </w:pPr>
            <w:r>
              <w:t xml:space="preserve">⁠ ⁠ ⁠0.0169</w:t>
            </w:r>
          </w:p>
        </w:tc>
        <w:tc>
          <w:tcPr/>
          <w:p>
            <w:pPr>
              <w:pStyle w:val="Compact"/>
              <w:jc w:val="center"/>
            </w:pPr>
            <w:r>
              <w:t xml:space="preserve">−0.0487</w:t>
            </w:r>
          </w:p>
        </w:tc>
        <w:tc>
          <w:tcPr/>
          <w:p>
            <w:pPr>
              <w:pStyle w:val="Compact"/>
              <w:jc w:val="center"/>
            </w:pPr>
            <w:r>
              <w:t xml:space="preserve">0.0833</w:t>
            </w:r>
          </w:p>
        </w:tc>
      </w:tr>
      <w:tr>
        <w:tc>
          <w:tcPr>
            <w:gridSpan w:val="7"/>
          </w:tcPr>
          <w:p>
            <w:pPr>
              <w:pStyle w:val="Compact"/>
              <w:jc w:val="left"/>
            </w:pPr>
            <w:r>
              <w:t xml:space="preserve">   300–600 ms, lateral</w:t>
            </w:r>
          </w:p>
        </w:tc>
      </w:tr>
      <w:tr>
        <w:tc>
          <w:tcPr/>
          <w:p>
            <w:pPr>
              <w:pStyle w:val="Compact"/>
              <w:jc w:val="left"/>
            </w:pPr>
            <w:r>
              <w:t xml:space="preserve">      Overall</w:t>
            </w:r>
          </w:p>
        </w:tc>
        <w:tc>
          <w:tcPr/>
          <w:p>
            <w:pPr>
              <w:pStyle w:val="Compact"/>
              <w:jc w:val="center"/>
            </w:pPr>
            <w:r>
              <w:t xml:space="preserve">⁠ ⁠ ⁠0.0118</w:t>
            </w:r>
          </w:p>
        </w:tc>
        <w:tc>
          <w:tcPr/>
          <w:p>
            <w:pPr>
              <w:pStyle w:val="Compact"/>
              <w:jc w:val="center"/>
            </w:pPr>
            <w:r>
              <w:t xml:space="preserve">−0.0141</w:t>
            </w:r>
          </w:p>
        </w:tc>
        <w:tc>
          <w:tcPr/>
          <w:p>
            <w:pPr>
              <w:pStyle w:val="Compact"/>
              <w:jc w:val="center"/>
            </w:pPr>
            <w:r>
              <w:t xml:space="preserve">0.0373</w:t>
            </w:r>
          </w:p>
        </w:tc>
        <w:tc>
          <w:tcPr/>
          <w:p>
            <w:pPr>
              <w:pStyle w:val="Compact"/>
              <w:jc w:val="center"/>
            </w:pPr>
            <w:r>
              <w:t xml:space="preserve">⁠ ⁠ ⁠0.0119</w:t>
            </w:r>
          </w:p>
        </w:tc>
        <w:tc>
          <w:tcPr/>
          <w:p>
            <w:pPr>
              <w:pStyle w:val="Compact"/>
              <w:jc w:val="center"/>
            </w:pPr>
            <w:r>
              <w:t xml:space="preserve">−0.0159</w:t>
            </w:r>
          </w:p>
        </w:tc>
        <w:tc>
          <w:tcPr/>
          <w:p>
            <w:pPr>
              <w:pStyle w:val="Compact"/>
              <w:jc w:val="center"/>
            </w:pPr>
            <w:r>
              <w:t xml:space="preserve">0.0399</w:t>
            </w:r>
          </w:p>
        </w:tc>
      </w:tr>
      <w:tr>
        <w:tc>
          <w:tcPr/>
          <w:p>
            <w:pPr>
              <w:pStyle w:val="Compact"/>
              <w:jc w:val="left"/>
            </w:pPr>
            <w:r>
              <w:t xml:space="preserve">      Mini-Norwegian</w:t>
            </w:r>
          </w:p>
        </w:tc>
        <w:tc>
          <w:tcPr/>
          <w:p>
            <w:pPr>
              <w:pStyle w:val="Compact"/>
              <w:jc w:val="center"/>
            </w:pPr>
            <w:r>
              <w:t xml:space="preserve">⁠ ⁠ ⁠0.0105</w:t>
            </w:r>
          </w:p>
        </w:tc>
        <w:tc>
          <w:tcPr/>
          <w:p>
            <w:pPr>
              <w:pStyle w:val="Compact"/>
              <w:jc w:val="center"/>
            </w:pPr>
            <w:r>
              <w:t xml:space="preserve">−0.0263</w:t>
            </w:r>
          </w:p>
        </w:tc>
        <w:tc>
          <w:tcPr/>
          <w:p>
            <w:pPr>
              <w:pStyle w:val="Compact"/>
              <w:jc w:val="center"/>
            </w:pPr>
            <w:r>
              <w:t xml:space="preserve">0.0472</w:t>
            </w:r>
          </w:p>
        </w:tc>
        <w:tc>
          <w:tcPr/>
          <w:p>
            <w:pPr>
              <w:pStyle w:val="Compact"/>
              <w:jc w:val="center"/>
            </w:pPr>
            <w:r>
              <w:t xml:space="preserve">⁠ ⁠ ⁠0.0065</w:t>
            </w:r>
          </w:p>
        </w:tc>
        <w:tc>
          <w:tcPr/>
          <w:p>
            <w:pPr>
              <w:pStyle w:val="Compact"/>
              <w:jc w:val="center"/>
            </w:pPr>
            <w:r>
              <w:t xml:space="preserve">−0.0346</w:t>
            </w:r>
          </w:p>
        </w:tc>
        <w:tc>
          <w:tcPr/>
          <w:p>
            <w:pPr>
              <w:pStyle w:val="Compact"/>
              <w:jc w:val="center"/>
            </w:pPr>
            <w:r>
              <w:t xml:space="preserve">0.0471</w:t>
            </w:r>
          </w:p>
        </w:tc>
      </w:tr>
      <w:tr>
        <w:tc>
          <w:tcPr/>
          <w:p>
            <w:pPr>
              <w:pStyle w:val="Compact"/>
              <w:jc w:val="left"/>
            </w:pPr>
            <w:r>
              <w:t xml:space="preserve">      Mini-English</w:t>
            </w:r>
          </w:p>
        </w:tc>
        <w:tc>
          <w:tcPr/>
          <w:p>
            <w:pPr>
              <w:pStyle w:val="Compact"/>
              <w:jc w:val="center"/>
            </w:pPr>
            <w:r>
              <w:t xml:space="preserve">⁠ ⁠ ⁠0.0128</w:t>
            </w:r>
          </w:p>
        </w:tc>
        <w:tc>
          <w:tcPr/>
          <w:p>
            <w:pPr>
              <w:pStyle w:val="Compact"/>
              <w:jc w:val="center"/>
            </w:pPr>
            <w:r>
              <w:t xml:space="preserve">−0.0229</w:t>
            </w:r>
          </w:p>
        </w:tc>
        <w:tc>
          <w:tcPr/>
          <w:p>
            <w:pPr>
              <w:pStyle w:val="Compact"/>
              <w:jc w:val="center"/>
            </w:pPr>
            <w:r>
              <w:t xml:space="preserve">0.0484</w:t>
            </w:r>
          </w:p>
        </w:tc>
        <w:tc>
          <w:tcPr/>
          <w:p>
            <w:pPr>
              <w:pStyle w:val="Compact"/>
              <w:jc w:val="center"/>
            </w:pPr>
            <w:r>
              <w:t xml:space="preserve">⁠ ⁠ ⁠0.0177</w:t>
            </w:r>
          </w:p>
        </w:tc>
        <w:tc>
          <w:tcPr/>
          <w:p>
            <w:pPr>
              <w:pStyle w:val="Compact"/>
              <w:jc w:val="center"/>
            </w:pPr>
            <w:r>
              <w:t xml:space="preserve">−0.0218</w:t>
            </w:r>
          </w:p>
        </w:tc>
        <w:tc>
          <w:tcPr/>
          <w:p>
            <w:pPr>
              <w:pStyle w:val="Compact"/>
              <w:jc w:val="center"/>
            </w:pPr>
            <w:r>
              <w:t xml:space="preserve">0.0566</w:t>
            </w:r>
          </w:p>
        </w:tc>
      </w:tr>
      <w:tr>
        <w:tc>
          <w:tcPr/>
          <w:p>
            <w:pPr>
              <w:pStyle w:val="Compact"/>
              <w:jc w:val="left"/>
            </w:pPr>
            <w:r>
              <w:t xml:space="preserve">      Group difference</w:t>
            </w:r>
          </w:p>
        </w:tc>
        <w:tc>
          <w:tcPr/>
          <w:p>
            <w:pPr>
              <w:pStyle w:val="Compact"/>
              <w:jc w:val="center"/>
            </w:pPr>
            <w:r>
              <w:t xml:space="preserve">−0.0025</w:t>
            </w:r>
          </w:p>
        </w:tc>
        <w:tc>
          <w:tcPr/>
          <w:p>
            <w:pPr>
              <w:pStyle w:val="Compact"/>
              <w:jc w:val="center"/>
            </w:pPr>
            <w:r>
              <w:t xml:space="preserve">−0.0532</w:t>
            </w:r>
          </w:p>
        </w:tc>
        <w:tc>
          <w:tcPr/>
          <w:p>
            <w:pPr>
              <w:pStyle w:val="Compact"/>
              <w:jc w:val="center"/>
            </w:pPr>
            <w:r>
              <w:t xml:space="preserve">0.0494</w:t>
            </w:r>
          </w:p>
        </w:tc>
        <w:tc>
          <w:tcPr/>
          <w:p>
            <w:pPr>
              <w:pStyle w:val="Compact"/>
              <w:jc w:val="center"/>
            </w:pPr>
            <w:r>
              <w:t xml:space="preserve">−0.0111</w:t>
            </w:r>
          </w:p>
        </w:tc>
        <w:tc>
          <w:tcPr/>
          <w:p>
            <w:pPr>
              <w:pStyle w:val="Compact"/>
              <w:jc w:val="center"/>
            </w:pPr>
            <w:r>
              <w:t xml:space="preserve">−0.0680</w:t>
            </w:r>
          </w:p>
        </w:tc>
        <w:tc>
          <w:tcPr/>
          <w:p>
            <w:pPr>
              <w:pStyle w:val="Compact"/>
              <w:jc w:val="center"/>
            </w:pPr>
            <w:r>
              <w:t xml:space="preserve">0.0455</w:t>
            </w:r>
          </w:p>
        </w:tc>
      </w:tr>
      <w:tr>
        <w:tc>
          <w:tcPr>
            <w:gridSpan w:val="7"/>
          </w:tcPr>
          <w:p>
            <w:pPr>
              <w:pStyle w:val="Compact"/>
              <w:jc w:val="left"/>
            </w:pPr>
            <w:r>
              <w:t xml:space="preserve">   300–600 ms, midline</w:t>
            </w:r>
          </w:p>
        </w:tc>
      </w:tr>
      <w:tr>
        <w:tc>
          <w:tcPr/>
          <w:p>
            <w:pPr>
              <w:pStyle w:val="Compact"/>
              <w:jc w:val="left"/>
            </w:pPr>
            <w:r>
              <w:t xml:space="preserve">      Overall</w:t>
            </w:r>
          </w:p>
        </w:tc>
        <w:tc>
          <w:tcPr/>
          <w:p>
            <w:pPr>
              <w:pStyle w:val="Compact"/>
              <w:jc w:val="center"/>
            </w:pPr>
            <w:r>
              <w:t xml:space="preserve">⁠ ⁠ ⁠0.0084</w:t>
            </w:r>
          </w:p>
        </w:tc>
        <w:tc>
          <w:tcPr/>
          <w:p>
            <w:pPr>
              <w:pStyle w:val="Compact"/>
              <w:jc w:val="center"/>
            </w:pPr>
            <w:r>
              <w:t xml:space="preserve">−0.0206</w:t>
            </w:r>
          </w:p>
        </w:tc>
        <w:tc>
          <w:tcPr/>
          <w:p>
            <w:pPr>
              <w:pStyle w:val="Compact"/>
              <w:jc w:val="center"/>
            </w:pPr>
            <w:r>
              <w:t xml:space="preserve">0.0378</w:t>
            </w:r>
          </w:p>
        </w:tc>
        <w:tc>
          <w:tcPr/>
          <w:p>
            <w:pPr>
              <w:pStyle w:val="Compact"/>
              <w:jc w:val="center"/>
            </w:pPr>
            <w:r>
              <w:t xml:space="preserve">⁠ ⁠ ⁠0.0051</w:t>
            </w:r>
          </w:p>
        </w:tc>
        <w:tc>
          <w:tcPr/>
          <w:p>
            <w:pPr>
              <w:pStyle w:val="Compact"/>
              <w:jc w:val="center"/>
            </w:pPr>
            <w:r>
              <w:t xml:space="preserve">−0.0263</w:t>
            </w:r>
          </w:p>
        </w:tc>
        <w:tc>
          <w:tcPr/>
          <w:p>
            <w:pPr>
              <w:pStyle w:val="Compact"/>
              <w:jc w:val="center"/>
            </w:pPr>
            <w:r>
              <w:t xml:space="preserve">0.0362</w:t>
            </w:r>
          </w:p>
        </w:tc>
      </w:tr>
      <w:tr>
        <w:tc>
          <w:tcPr/>
          <w:p>
            <w:pPr>
              <w:pStyle w:val="Compact"/>
              <w:jc w:val="left"/>
            </w:pPr>
            <w:r>
              <w:t xml:space="preserve">      Mini-Norwegian</w:t>
            </w:r>
          </w:p>
        </w:tc>
        <w:tc>
          <w:tcPr/>
          <w:p>
            <w:pPr>
              <w:pStyle w:val="Compact"/>
              <w:jc w:val="center"/>
            </w:pPr>
            <w:r>
              <w:t xml:space="preserve">⁠ ⁠ ⁠0.0159</w:t>
            </w:r>
          </w:p>
        </w:tc>
        <w:tc>
          <w:tcPr/>
          <w:p>
            <w:pPr>
              <w:pStyle w:val="Compact"/>
              <w:jc w:val="center"/>
            </w:pPr>
            <w:r>
              <w:t xml:space="preserve">−0.0260</w:t>
            </w:r>
          </w:p>
        </w:tc>
        <w:tc>
          <w:tcPr/>
          <w:p>
            <w:pPr>
              <w:pStyle w:val="Compact"/>
              <w:jc w:val="center"/>
            </w:pPr>
            <w:r>
              <w:t xml:space="preserve">0.0585</w:t>
            </w:r>
          </w:p>
        </w:tc>
        <w:tc>
          <w:tcPr/>
          <w:p>
            <w:pPr>
              <w:pStyle w:val="Compact"/>
              <w:jc w:val="center"/>
            </w:pPr>
            <w:r>
              <w:t xml:space="preserve">⁠ ⁠ ⁠0.0102</w:t>
            </w:r>
          </w:p>
        </w:tc>
        <w:tc>
          <w:tcPr/>
          <w:p>
            <w:pPr>
              <w:pStyle w:val="Compact"/>
              <w:jc w:val="center"/>
            </w:pPr>
            <w:r>
              <w:t xml:space="preserve">−0.0341</w:t>
            </w:r>
          </w:p>
        </w:tc>
        <w:tc>
          <w:tcPr/>
          <w:p>
            <w:pPr>
              <w:pStyle w:val="Compact"/>
              <w:jc w:val="center"/>
            </w:pPr>
            <w:r>
              <w:t xml:space="preserve">0.0556</w:t>
            </w:r>
          </w:p>
        </w:tc>
      </w:tr>
      <w:tr>
        <w:tc>
          <w:tcPr/>
          <w:p>
            <w:pPr>
              <w:pStyle w:val="Compact"/>
              <w:jc w:val="left"/>
            </w:pPr>
            <w:r>
              <w:t xml:space="preserve">      Mini-English</w:t>
            </w:r>
          </w:p>
        </w:tc>
        <w:tc>
          <w:tcPr/>
          <w:p>
            <w:pPr>
              <w:pStyle w:val="Compact"/>
              <w:jc w:val="center"/>
            </w:pPr>
            <w:r>
              <w:t xml:space="preserve">⁠ ⁠ ⁠0.0009</w:t>
            </w:r>
          </w:p>
        </w:tc>
        <w:tc>
          <w:tcPr/>
          <w:p>
            <w:pPr>
              <w:pStyle w:val="Compact"/>
              <w:jc w:val="center"/>
            </w:pPr>
            <w:r>
              <w:t xml:space="preserve">−0.0393</w:t>
            </w:r>
          </w:p>
        </w:tc>
        <w:tc>
          <w:tcPr/>
          <w:p>
            <w:pPr>
              <w:pStyle w:val="Compact"/>
              <w:jc w:val="center"/>
            </w:pPr>
            <w:r>
              <w:t xml:space="preserve">0.0414</w:t>
            </w:r>
          </w:p>
        </w:tc>
        <w:tc>
          <w:tcPr/>
          <w:p>
            <w:pPr>
              <w:pStyle w:val="Compact"/>
              <w:jc w:val="center"/>
            </w:pPr>
            <w:r>
              <w:t xml:space="preserve">⁠ ⁠ ⁠0.0000</w:t>
            </w:r>
          </w:p>
        </w:tc>
        <w:tc>
          <w:tcPr/>
          <w:p>
            <w:pPr>
              <w:pStyle w:val="Compact"/>
              <w:jc w:val="center"/>
            </w:pPr>
            <w:r>
              <w:t xml:space="preserve">−0.0435</w:t>
            </w:r>
          </w:p>
        </w:tc>
        <w:tc>
          <w:tcPr/>
          <w:p>
            <w:pPr>
              <w:pStyle w:val="Compact"/>
              <w:jc w:val="center"/>
            </w:pPr>
            <w:r>
              <w:t xml:space="preserve">0.0439</w:t>
            </w:r>
          </w:p>
        </w:tc>
      </w:tr>
      <w:tr>
        <w:tc>
          <w:tcPr/>
          <w:p>
            <w:pPr>
              <w:pStyle w:val="Compact"/>
              <w:jc w:val="left"/>
            </w:pPr>
            <w:r>
              <w:t xml:space="preserve">      Group difference</w:t>
            </w:r>
          </w:p>
        </w:tc>
        <w:tc>
          <w:tcPr/>
          <w:p>
            <w:pPr>
              <w:pStyle w:val="Compact"/>
              <w:jc w:val="center"/>
            </w:pPr>
            <w:r>
              <w:t xml:space="preserve">⁠ ⁠ ⁠0.0153</w:t>
            </w:r>
          </w:p>
        </w:tc>
        <w:tc>
          <w:tcPr/>
          <w:p>
            <w:pPr>
              <w:pStyle w:val="Compact"/>
              <w:jc w:val="center"/>
            </w:pPr>
            <w:r>
              <w:t xml:space="preserve">−0.0434</w:t>
            </w:r>
          </w:p>
        </w:tc>
        <w:tc>
          <w:tcPr/>
          <w:p>
            <w:pPr>
              <w:pStyle w:val="Compact"/>
              <w:jc w:val="center"/>
            </w:pPr>
            <w:r>
              <w:t xml:space="preserve">0.0733</w:t>
            </w:r>
          </w:p>
        </w:tc>
        <w:tc>
          <w:tcPr/>
          <w:p>
            <w:pPr>
              <w:pStyle w:val="Compact"/>
              <w:jc w:val="center"/>
            </w:pPr>
            <w:r>
              <w:t xml:space="preserve">⁠ ⁠ ⁠0.0103</w:t>
            </w:r>
          </w:p>
        </w:tc>
        <w:tc>
          <w:tcPr/>
          <w:p>
            <w:pPr>
              <w:pStyle w:val="Compact"/>
              <w:jc w:val="center"/>
            </w:pPr>
            <w:r>
              <w:t xml:space="preserve">−0.0515</w:t>
            </w:r>
          </w:p>
        </w:tc>
        <w:tc>
          <w:tcPr/>
          <w:p>
            <w:pPr>
              <w:pStyle w:val="Compact"/>
              <w:jc w:val="center"/>
            </w:pPr>
            <w:r>
              <w:t xml:space="preserve">0.0723</w:t>
            </w:r>
          </w:p>
        </w:tc>
      </w:tr>
      <w:tr>
        <w:tc>
          <w:tcPr>
            <w:gridSpan w:val="7"/>
          </w:tcPr>
          <w:p>
            <w:pPr>
              <w:pStyle w:val="Compact"/>
              <w:jc w:val="left"/>
            </w:pPr>
            <w:r>
              <w:t xml:space="preserve">   400–900 ms, lateral</w:t>
            </w:r>
          </w:p>
        </w:tc>
      </w:tr>
      <w:tr>
        <w:tc>
          <w:tcPr/>
          <w:p>
            <w:pPr>
              <w:pStyle w:val="Compact"/>
              <w:jc w:val="left"/>
            </w:pPr>
            <w:r>
              <w:t xml:space="preserve">      Overall</w:t>
            </w:r>
          </w:p>
        </w:tc>
        <w:tc>
          <w:tcPr/>
          <w:p>
            <w:pPr>
              <w:pStyle w:val="Compact"/>
              <w:jc w:val="center"/>
            </w:pPr>
            <w:r>
              <w:t xml:space="preserve">⁠ ⁠ ⁠0.0057</w:t>
            </w:r>
          </w:p>
        </w:tc>
        <w:tc>
          <w:tcPr/>
          <w:p>
            <w:pPr>
              <w:pStyle w:val="Compact"/>
              <w:jc w:val="center"/>
            </w:pPr>
            <w:r>
              <w:t xml:space="preserve">−0.0226</w:t>
            </w:r>
          </w:p>
        </w:tc>
        <w:tc>
          <w:tcPr/>
          <w:p>
            <w:pPr>
              <w:pStyle w:val="Compact"/>
              <w:jc w:val="center"/>
            </w:pPr>
            <w:r>
              <w:t xml:space="preserve">0.0333</w:t>
            </w:r>
          </w:p>
        </w:tc>
        <w:tc>
          <w:tcPr/>
          <w:p>
            <w:pPr>
              <w:pStyle w:val="Compact"/>
              <w:jc w:val="center"/>
            </w:pPr>
            <w:r>
              <w:t xml:space="preserve">⁠ ⁠ ⁠0.0106</w:t>
            </w:r>
          </w:p>
        </w:tc>
        <w:tc>
          <w:tcPr/>
          <w:p>
            <w:pPr>
              <w:pStyle w:val="Compact"/>
              <w:jc w:val="center"/>
            </w:pPr>
            <w:r>
              <w:t xml:space="preserve">−0.0200</w:t>
            </w:r>
          </w:p>
        </w:tc>
        <w:tc>
          <w:tcPr/>
          <w:p>
            <w:pPr>
              <w:pStyle w:val="Compact"/>
              <w:jc w:val="center"/>
            </w:pPr>
            <w:r>
              <w:t xml:space="preserve">0.0398</w:t>
            </w:r>
          </w:p>
        </w:tc>
      </w:tr>
      <w:tr>
        <w:tc>
          <w:tcPr/>
          <w:p>
            <w:pPr>
              <w:pStyle w:val="Compact"/>
              <w:jc w:val="left"/>
            </w:pPr>
            <w:r>
              <w:t xml:space="preserve">      Mini-Norwegian</w:t>
            </w:r>
          </w:p>
        </w:tc>
        <w:tc>
          <w:tcPr/>
          <w:p>
            <w:pPr>
              <w:pStyle w:val="Compact"/>
              <w:jc w:val="center"/>
            </w:pPr>
            <w:r>
              <w:t xml:space="preserve">⁠ ⁠ ⁠0.0011</w:t>
            </w:r>
          </w:p>
        </w:tc>
        <w:tc>
          <w:tcPr/>
          <w:p>
            <w:pPr>
              <w:pStyle w:val="Compact"/>
              <w:jc w:val="center"/>
            </w:pPr>
            <w:r>
              <w:t xml:space="preserve">−0.0391</w:t>
            </w:r>
          </w:p>
        </w:tc>
        <w:tc>
          <w:tcPr/>
          <w:p>
            <w:pPr>
              <w:pStyle w:val="Compact"/>
              <w:jc w:val="center"/>
            </w:pPr>
            <w:r>
              <w:t xml:space="preserve">0.0413</w:t>
            </w:r>
          </w:p>
        </w:tc>
        <w:tc>
          <w:tcPr/>
          <w:p>
            <w:pPr>
              <w:pStyle w:val="Compact"/>
              <w:jc w:val="center"/>
            </w:pPr>
            <w:r>
              <w:t xml:space="preserve">⁠ ⁠ ⁠0.0027</w:t>
            </w:r>
          </w:p>
        </w:tc>
        <w:tc>
          <w:tcPr/>
          <w:p>
            <w:pPr>
              <w:pStyle w:val="Compact"/>
              <w:jc w:val="center"/>
            </w:pPr>
            <w:r>
              <w:t xml:space="preserve">−0.0405</w:t>
            </w:r>
          </w:p>
        </w:tc>
        <w:tc>
          <w:tcPr/>
          <w:p>
            <w:pPr>
              <w:pStyle w:val="Compact"/>
              <w:jc w:val="center"/>
            </w:pPr>
            <w:r>
              <w:t xml:space="preserve">0.0453</w:t>
            </w:r>
          </w:p>
        </w:tc>
      </w:tr>
      <w:tr>
        <w:tc>
          <w:tcPr/>
          <w:p>
            <w:pPr>
              <w:pStyle w:val="Compact"/>
              <w:jc w:val="left"/>
            </w:pPr>
            <w:r>
              <w:t xml:space="preserve">      Mini-English</w:t>
            </w:r>
          </w:p>
        </w:tc>
        <w:tc>
          <w:tcPr/>
          <w:p>
            <w:pPr>
              <w:pStyle w:val="Compact"/>
              <w:jc w:val="center"/>
            </w:pPr>
            <w:r>
              <w:t xml:space="preserve">⁠ ⁠ ⁠0.0102</w:t>
            </w:r>
          </w:p>
        </w:tc>
        <w:tc>
          <w:tcPr/>
          <w:p>
            <w:pPr>
              <w:pStyle w:val="Compact"/>
              <w:jc w:val="center"/>
            </w:pPr>
            <w:r>
              <w:t xml:space="preserve">−0.0290</w:t>
            </w:r>
          </w:p>
        </w:tc>
        <w:tc>
          <w:tcPr/>
          <w:p>
            <w:pPr>
              <w:pStyle w:val="Compact"/>
              <w:jc w:val="center"/>
            </w:pPr>
            <w:r>
              <w:t xml:space="preserve">0.0484</w:t>
            </w:r>
          </w:p>
        </w:tc>
        <w:tc>
          <w:tcPr/>
          <w:p>
            <w:pPr>
              <w:pStyle w:val="Compact"/>
              <w:jc w:val="center"/>
            </w:pPr>
            <w:r>
              <w:t xml:space="preserve">⁠ ⁠ ⁠0.0185</w:t>
            </w:r>
          </w:p>
        </w:tc>
        <w:tc>
          <w:tcPr/>
          <w:p>
            <w:pPr>
              <w:pStyle w:val="Compact"/>
              <w:jc w:val="center"/>
            </w:pPr>
            <w:r>
              <w:t xml:space="preserve">−0.0242</w:t>
            </w:r>
          </w:p>
        </w:tc>
        <w:tc>
          <w:tcPr/>
          <w:p>
            <w:pPr>
              <w:pStyle w:val="Compact"/>
              <w:jc w:val="center"/>
            </w:pPr>
            <w:r>
              <w:t xml:space="preserve">0.0597</w:t>
            </w:r>
          </w:p>
        </w:tc>
      </w:tr>
      <w:tr>
        <w:tc>
          <w:tcPr/>
          <w:p>
            <w:pPr>
              <w:pStyle w:val="Compact"/>
              <w:jc w:val="left"/>
            </w:pPr>
            <w:r>
              <w:t xml:space="preserve">      Group difference</w:t>
            </w:r>
          </w:p>
        </w:tc>
        <w:tc>
          <w:tcPr/>
          <w:p>
            <w:pPr>
              <w:pStyle w:val="Compact"/>
              <w:jc w:val="center"/>
            </w:pPr>
            <w:r>
              <w:t xml:space="preserve">−0.0090</w:t>
            </w:r>
          </w:p>
        </w:tc>
        <w:tc>
          <w:tcPr/>
          <w:p>
            <w:pPr>
              <w:pStyle w:val="Compact"/>
              <w:jc w:val="center"/>
            </w:pPr>
            <w:r>
              <w:t xml:space="preserve">−0.0645</w:t>
            </w:r>
          </w:p>
        </w:tc>
        <w:tc>
          <w:tcPr/>
          <w:p>
            <w:pPr>
              <w:pStyle w:val="Compact"/>
              <w:jc w:val="center"/>
            </w:pPr>
            <w:r>
              <w:t xml:space="preserve">0.0473</w:t>
            </w:r>
          </w:p>
        </w:tc>
        <w:tc>
          <w:tcPr/>
          <w:p>
            <w:pPr>
              <w:pStyle w:val="Compact"/>
              <w:jc w:val="center"/>
            </w:pPr>
            <w:r>
              <w:t xml:space="preserve">−0.0159</w:t>
            </w:r>
          </w:p>
        </w:tc>
        <w:tc>
          <w:tcPr/>
          <w:p>
            <w:pPr>
              <w:pStyle w:val="Compact"/>
              <w:jc w:val="center"/>
            </w:pPr>
            <w:r>
              <w:t xml:space="preserve">−0.0754</w:t>
            </w:r>
          </w:p>
        </w:tc>
        <w:tc>
          <w:tcPr/>
          <w:p>
            <w:pPr>
              <w:pStyle w:val="Compact"/>
              <w:jc w:val="center"/>
            </w:pPr>
            <w:r>
              <w:t xml:space="preserve">0.0463</w:t>
            </w:r>
          </w:p>
        </w:tc>
      </w:tr>
      <w:tr>
        <w:tc>
          <w:tcPr>
            <w:gridSpan w:val="7"/>
          </w:tcPr>
          <w:p>
            <w:pPr>
              <w:pStyle w:val="Compact"/>
              <w:jc w:val="left"/>
            </w:pPr>
            <w:r>
              <w:t xml:space="preserve">   400–900 ms, midline</w:t>
            </w:r>
          </w:p>
        </w:tc>
      </w:tr>
      <w:tr>
        <w:tc>
          <w:tcPr/>
          <w:p>
            <w:pPr>
              <w:pStyle w:val="Compact"/>
              <w:jc w:val="left"/>
            </w:pPr>
            <w:r>
              <w:t xml:space="preserve">      Overall</w:t>
            </w:r>
          </w:p>
        </w:tc>
        <w:tc>
          <w:tcPr/>
          <w:p>
            <w:pPr>
              <w:pStyle w:val="Compact"/>
              <w:jc w:val="center"/>
            </w:pPr>
            <w:r>
              <w:t xml:space="preserve">⁠ ⁠ ⁠0.0013</w:t>
            </w:r>
          </w:p>
        </w:tc>
        <w:tc>
          <w:tcPr/>
          <w:p>
            <w:pPr>
              <w:pStyle w:val="Compact"/>
              <w:jc w:val="center"/>
            </w:pPr>
            <w:r>
              <w:t xml:space="preserve">−0.0296</w:t>
            </w:r>
          </w:p>
        </w:tc>
        <w:tc>
          <w:tcPr/>
          <w:p>
            <w:pPr>
              <w:pStyle w:val="Compact"/>
              <w:jc w:val="center"/>
            </w:pPr>
            <w:r>
              <w:t xml:space="preserve">0.0314</w:t>
            </w:r>
          </w:p>
        </w:tc>
        <w:tc>
          <w:tcPr/>
          <w:p>
            <w:pPr>
              <w:pStyle w:val="Compact"/>
              <w:jc w:val="center"/>
            </w:pPr>
            <w:r>
              <w:t xml:space="preserve">⁠ ⁠ ⁠0.0026</w:t>
            </w:r>
          </w:p>
        </w:tc>
        <w:tc>
          <w:tcPr/>
          <w:p>
            <w:pPr>
              <w:pStyle w:val="Compact"/>
              <w:jc w:val="center"/>
            </w:pPr>
            <w:r>
              <w:t xml:space="preserve">−0.0311</w:t>
            </w:r>
          </w:p>
        </w:tc>
        <w:tc>
          <w:tcPr/>
          <w:p>
            <w:pPr>
              <w:pStyle w:val="Compact"/>
              <w:jc w:val="center"/>
            </w:pPr>
            <w:r>
              <w:t xml:space="preserve">0.0350</w:t>
            </w:r>
          </w:p>
        </w:tc>
      </w:tr>
      <w:tr>
        <w:tc>
          <w:tcPr/>
          <w:p>
            <w:pPr>
              <w:pStyle w:val="Compact"/>
              <w:jc w:val="left"/>
            </w:pPr>
            <w:r>
              <w:t xml:space="preserve">      Mini-Norwegian</w:t>
            </w:r>
          </w:p>
        </w:tc>
        <w:tc>
          <w:tcPr/>
          <w:p>
            <w:pPr>
              <w:pStyle w:val="Compact"/>
              <w:jc w:val="center"/>
            </w:pPr>
            <w:r>
              <w:t xml:space="preserve">⁠ ⁠ ⁠0.0036</w:t>
            </w:r>
          </w:p>
        </w:tc>
        <w:tc>
          <w:tcPr/>
          <w:p>
            <w:pPr>
              <w:pStyle w:val="Compact"/>
              <w:jc w:val="center"/>
            </w:pPr>
            <w:r>
              <w:t xml:space="preserve">−0.0407</w:t>
            </w:r>
          </w:p>
        </w:tc>
        <w:tc>
          <w:tcPr/>
          <w:p>
            <w:pPr>
              <w:pStyle w:val="Compact"/>
              <w:jc w:val="center"/>
            </w:pPr>
            <w:r>
              <w:t xml:space="preserve">0.0473</w:t>
            </w:r>
          </w:p>
        </w:tc>
        <w:tc>
          <w:tcPr/>
          <w:p>
            <w:pPr>
              <w:pStyle w:val="Compact"/>
              <w:jc w:val="center"/>
            </w:pPr>
            <w:r>
              <w:t xml:space="preserve">⁠ ⁠ ⁠0.0035</w:t>
            </w:r>
          </w:p>
        </w:tc>
        <w:tc>
          <w:tcPr/>
          <w:p>
            <w:pPr>
              <w:pStyle w:val="Compact"/>
              <w:jc w:val="center"/>
            </w:pPr>
            <w:r>
              <w:t xml:space="preserve">−0.0440</w:t>
            </w:r>
          </w:p>
        </w:tc>
        <w:tc>
          <w:tcPr/>
          <w:p>
            <w:pPr>
              <w:pStyle w:val="Compact"/>
              <w:jc w:val="center"/>
            </w:pPr>
            <w:r>
              <w:t xml:space="preserve">0.0494</w:t>
            </w:r>
          </w:p>
        </w:tc>
      </w:tr>
      <w:tr>
        <w:tc>
          <w:tcPr/>
          <w:p>
            <w:pPr>
              <w:pStyle w:val="Compact"/>
              <w:jc w:val="left"/>
            </w:pPr>
            <w:r>
              <w:t xml:space="preserve">      Mini-English</w:t>
            </w:r>
          </w:p>
        </w:tc>
        <w:tc>
          <w:tcPr/>
          <w:p>
            <w:pPr>
              <w:pStyle w:val="Compact"/>
              <w:jc w:val="center"/>
            </w:pPr>
            <w:r>
              <w:t xml:space="preserve">−0.0009</w:t>
            </w:r>
          </w:p>
        </w:tc>
        <w:tc>
          <w:tcPr/>
          <w:p>
            <w:pPr>
              <w:pStyle w:val="Compact"/>
              <w:jc w:val="center"/>
            </w:pPr>
            <w:r>
              <w:t xml:space="preserve">−0.0446</w:t>
            </w:r>
          </w:p>
        </w:tc>
        <w:tc>
          <w:tcPr/>
          <w:p>
            <w:pPr>
              <w:pStyle w:val="Compact"/>
              <w:jc w:val="center"/>
            </w:pPr>
            <w:r>
              <w:t xml:space="preserve">0.0400</w:t>
            </w:r>
          </w:p>
        </w:tc>
        <w:tc>
          <w:tcPr/>
          <w:p>
            <w:pPr>
              <w:pStyle w:val="Compact"/>
              <w:jc w:val="center"/>
            </w:pPr>
            <w:r>
              <w:t xml:space="preserve">⁠ ⁠ ⁠0.0021</w:t>
            </w:r>
          </w:p>
        </w:tc>
        <w:tc>
          <w:tcPr/>
          <w:p>
            <w:pPr>
              <w:pStyle w:val="Compact"/>
              <w:jc w:val="center"/>
            </w:pPr>
            <w:r>
              <w:t xml:space="preserve">−0.0455</w:t>
            </w:r>
          </w:p>
        </w:tc>
        <w:tc>
          <w:tcPr/>
          <w:p>
            <w:pPr>
              <w:pStyle w:val="Compact"/>
              <w:jc w:val="center"/>
            </w:pPr>
            <w:r>
              <w:t xml:space="preserve">0.0470</w:t>
            </w:r>
          </w:p>
        </w:tc>
      </w:tr>
      <w:tr>
        <w:tc>
          <w:tcPr/>
          <w:p>
            <w:pPr>
              <w:pStyle w:val="Compact"/>
              <w:jc w:val="left"/>
            </w:pPr>
            <w:r>
              <w:t xml:space="preserve">      Group difference</w:t>
            </w:r>
          </w:p>
        </w:tc>
        <w:tc>
          <w:tcPr/>
          <w:p>
            <w:pPr>
              <w:pStyle w:val="Compact"/>
              <w:jc w:val="center"/>
            </w:pPr>
            <w:r>
              <w:t xml:space="preserve">⁠ ⁠ ⁠0.0045</w:t>
            </w:r>
          </w:p>
        </w:tc>
        <w:tc>
          <w:tcPr/>
          <w:p>
            <w:pPr>
              <w:pStyle w:val="Compact"/>
              <w:jc w:val="center"/>
            </w:pPr>
            <w:r>
              <w:t xml:space="preserve">−0.0544</w:t>
            </w:r>
          </w:p>
        </w:tc>
        <w:tc>
          <w:tcPr/>
          <w:p>
            <w:pPr>
              <w:pStyle w:val="Compact"/>
              <w:jc w:val="center"/>
            </w:pPr>
            <w:r>
              <w:t xml:space="preserve">0.0660</w:t>
            </w:r>
          </w:p>
        </w:tc>
        <w:tc>
          <w:tcPr/>
          <w:p>
            <w:pPr>
              <w:pStyle w:val="Compact"/>
              <w:jc w:val="center"/>
            </w:pPr>
            <w:r>
              <w:t xml:space="preserve">⁠ ⁠ ⁠0.0014</w:t>
            </w:r>
          </w:p>
        </w:tc>
        <w:tc>
          <w:tcPr/>
          <w:p>
            <w:pPr>
              <w:pStyle w:val="Compact"/>
              <w:jc w:val="center"/>
            </w:pPr>
            <w:r>
              <w:t xml:space="preserve">−0.0635</w:t>
            </w:r>
          </w:p>
        </w:tc>
        <w:tc>
          <w:tcPr/>
          <w:p>
            <w:pPr>
              <w:pStyle w:val="Compact"/>
              <w:jc w:val="center"/>
            </w:pPr>
            <w:r>
              <w:t xml:space="preserve">0.0677</w:t>
            </w:r>
          </w:p>
        </w:tc>
      </w:tr>
      <w:tr>
        <w:tc>
          <w:tcPr>
            <w:gridSpan w:val="7"/>
          </w:tcPr>
          <w:p>
            <w:pPr>
              <w:pStyle w:val="Compact"/>
              <w:jc w:val="left"/>
            </w:pPr>
            <w:r>
              <w:rPr>
                <w:i/>
                <w:iCs/>
              </w:rPr>
              <w:t xml:space="preserve">Verb–object number agreement</w:t>
            </w:r>
          </w:p>
        </w:tc>
      </w:tr>
      <w:tr>
        <w:tc>
          <w:tcPr>
            <w:gridSpan w:val="7"/>
          </w:tcPr>
          <w:p>
            <w:pPr>
              <w:pStyle w:val="Compact"/>
              <w:jc w:val="left"/>
            </w:pPr>
            <w:r>
              <w:t xml:space="preserve">   200–500 ms, lateral</w:t>
            </w:r>
          </w:p>
        </w:tc>
      </w:tr>
      <w:tr>
        <w:tc>
          <w:tcPr/>
          <w:p>
            <w:pPr>
              <w:pStyle w:val="Compact"/>
              <w:jc w:val="left"/>
            </w:pPr>
            <w:r>
              <w:t xml:space="preserve">      Overall</w:t>
            </w:r>
          </w:p>
        </w:tc>
        <w:tc>
          <w:tcPr/>
          <w:p>
            <w:pPr>
              <w:pStyle w:val="Compact"/>
              <w:jc w:val="center"/>
            </w:pPr>
            <w:r>
              <w:t xml:space="preserve">−0.0055</w:t>
            </w:r>
          </w:p>
        </w:tc>
        <w:tc>
          <w:tcPr/>
          <w:p>
            <w:pPr>
              <w:pStyle w:val="Compact"/>
              <w:jc w:val="center"/>
            </w:pPr>
            <w:r>
              <w:t xml:space="preserve">−0.0545</w:t>
            </w:r>
          </w:p>
        </w:tc>
        <w:tc>
          <w:tcPr/>
          <w:p>
            <w:pPr>
              <w:pStyle w:val="Compact"/>
              <w:jc w:val="center"/>
            </w:pPr>
            <w:r>
              <w:t xml:space="preserve">0.0432</w:t>
            </w:r>
          </w:p>
        </w:tc>
        <w:tc>
          <w:tcPr/>
          <w:p>
            <w:pPr>
              <w:pStyle w:val="Compact"/>
              <w:jc w:val="center"/>
            </w:pPr>
            <w:r>
              <w:t xml:space="preserve">−0.0014</w:t>
            </w:r>
          </w:p>
        </w:tc>
        <w:tc>
          <w:tcPr/>
          <w:p>
            <w:pPr>
              <w:pStyle w:val="Compact"/>
              <w:jc w:val="center"/>
            </w:pPr>
            <w:r>
              <w:t xml:space="preserve">−0.0510</w:t>
            </w:r>
          </w:p>
        </w:tc>
        <w:tc>
          <w:tcPr/>
          <w:p>
            <w:pPr>
              <w:pStyle w:val="Compact"/>
              <w:jc w:val="center"/>
            </w:pPr>
            <w:r>
              <w:t xml:space="preserve">0.0472</w:t>
            </w:r>
          </w:p>
        </w:tc>
      </w:tr>
      <w:tr>
        <w:tc>
          <w:tcPr/>
          <w:p>
            <w:pPr>
              <w:pStyle w:val="Compact"/>
              <w:jc w:val="left"/>
            </w:pPr>
            <w:r>
              <w:t xml:space="preserve">      Mini-Norwegian</w:t>
            </w:r>
          </w:p>
        </w:tc>
        <w:tc>
          <w:tcPr/>
          <w:p>
            <w:pPr>
              <w:pStyle w:val="Compact"/>
              <w:jc w:val="center"/>
            </w:pPr>
            <w:r>
              <w:t xml:space="preserve">−0.0055</w:t>
            </w:r>
          </w:p>
        </w:tc>
        <w:tc>
          <w:tcPr/>
          <w:p>
            <w:pPr>
              <w:pStyle w:val="Compact"/>
              <w:jc w:val="center"/>
            </w:pPr>
            <w:r>
              <w:t xml:space="preserve">−0.0766</w:t>
            </w:r>
          </w:p>
        </w:tc>
        <w:tc>
          <w:tcPr/>
          <w:p>
            <w:pPr>
              <w:pStyle w:val="Compact"/>
              <w:jc w:val="center"/>
            </w:pPr>
            <w:r>
              <w:t xml:space="preserve">0.0627</w:t>
            </w:r>
          </w:p>
        </w:tc>
        <w:tc>
          <w:tcPr/>
          <w:p>
            <w:pPr>
              <w:pStyle w:val="Compact"/>
              <w:jc w:val="center"/>
            </w:pPr>
            <w:r>
              <w:t xml:space="preserve">−0.0052</w:t>
            </w:r>
          </w:p>
        </w:tc>
        <w:tc>
          <w:tcPr/>
          <w:p>
            <w:pPr>
              <w:pStyle w:val="Compact"/>
              <w:jc w:val="center"/>
            </w:pPr>
            <w:r>
              <w:t xml:space="preserve">−0.0752</w:t>
            </w:r>
          </w:p>
        </w:tc>
        <w:tc>
          <w:tcPr/>
          <w:p>
            <w:pPr>
              <w:pStyle w:val="Compact"/>
              <w:jc w:val="center"/>
            </w:pPr>
            <w:r>
              <w:t xml:space="preserve">0.0634</w:t>
            </w:r>
          </w:p>
        </w:tc>
      </w:tr>
      <w:tr>
        <w:tc>
          <w:tcPr/>
          <w:p>
            <w:pPr>
              <w:pStyle w:val="Compact"/>
              <w:jc w:val="left"/>
            </w:pPr>
            <w:r>
              <w:t xml:space="preserve">      Mini-English</w:t>
            </w:r>
          </w:p>
        </w:tc>
        <w:tc>
          <w:tcPr/>
          <w:p>
            <w:pPr>
              <w:pStyle w:val="Compact"/>
              <w:jc w:val="center"/>
            </w:pPr>
            <w:r>
              <w:t xml:space="preserve">−0.0053</w:t>
            </w:r>
          </w:p>
        </w:tc>
        <w:tc>
          <w:tcPr/>
          <w:p>
            <w:pPr>
              <w:pStyle w:val="Compact"/>
              <w:jc w:val="center"/>
            </w:pPr>
            <w:r>
              <w:t xml:space="preserve">−0.0737</w:t>
            </w:r>
          </w:p>
        </w:tc>
        <w:tc>
          <w:tcPr/>
          <w:p>
            <w:pPr>
              <w:pStyle w:val="Compact"/>
              <w:jc w:val="center"/>
            </w:pPr>
            <w:r>
              <w:t xml:space="preserve">0.0631</w:t>
            </w:r>
          </w:p>
        </w:tc>
        <w:tc>
          <w:tcPr/>
          <w:p>
            <w:pPr>
              <w:pStyle w:val="Compact"/>
              <w:jc w:val="center"/>
            </w:pPr>
            <w:r>
              <w:t xml:space="preserve">⁠ ⁠ ⁠0.0026</w:t>
            </w:r>
          </w:p>
        </w:tc>
        <w:tc>
          <w:tcPr/>
          <w:p>
            <w:pPr>
              <w:pStyle w:val="Compact"/>
              <w:jc w:val="center"/>
            </w:pPr>
            <w:r>
              <w:t xml:space="preserve">−0.0673</w:t>
            </w:r>
          </w:p>
        </w:tc>
        <w:tc>
          <w:tcPr/>
          <w:p>
            <w:pPr>
              <w:pStyle w:val="Compact"/>
              <w:jc w:val="center"/>
            </w:pPr>
            <w:r>
              <w:t xml:space="preserve">0.0718</w:t>
            </w:r>
          </w:p>
        </w:tc>
      </w:tr>
      <w:tr>
        <w:tc>
          <w:tcPr/>
          <w:p>
            <w:pPr>
              <w:pStyle w:val="Compact"/>
              <w:jc w:val="left"/>
            </w:pPr>
            <w:r>
              <w:t xml:space="preserve">      Group difference</w:t>
            </w:r>
          </w:p>
        </w:tc>
        <w:tc>
          <w:tcPr/>
          <w:p>
            <w:pPr>
              <w:pStyle w:val="Compact"/>
              <w:jc w:val="center"/>
            </w:pPr>
            <w:r>
              <w:t xml:space="preserve">−0.0002</w:t>
            </w:r>
          </w:p>
        </w:tc>
        <w:tc>
          <w:tcPr/>
          <w:p>
            <w:pPr>
              <w:pStyle w:val="Compact"/>
              <w:jc w:val="center"/>
            </w:pPr>
            <w:r>
              <w:t xml:space="preserve">−0.0975</w:t>
            </w:r>
          </w:p>
        </w:tc>
        <w:tc>
          <w:tcPr/>
          <w:p>
            <w:pPr>
              <w:pStyle w:val="Compact"/>
              <w:jc w:val="center"/>
            </w:pPr>
            <w:r>
              <w:t xml:space="preserve">0.0957</w:t>
            </w:r>
          </w:p>
        </w:tc>
        <w:tc>
          <w:tcPr/>
          <w:p>
            <w:pPr>
              <w:pStyle w:val="Compact"/>
              <w:jc w:val="center"/>
            </w:pPr>
            <w:r>
              <w:t xml:space="preserve">−0.0077</w:t>
            </w:r>
          </w:p>
        </w:tc>
        <w:tc>
          <w:tcPr/>
          <w:p>
            <w:pPr>
              <w:pStyle w:val="Compact"/>
              <w:jc w:val="center"/>
            </w:pPr>
            <w:r>
              <w:t xml:space="preserve">−0.1066</w:t>
            </w:r>
          </w:p>
        </w:tc>
        <w:tc>
          <w:tcPr/>
          <w:p>
            <w:pPr>
              <w:pStyle w:val="Compact"/>
              <w:jc w:val="center"/>
            </w:pPr>
            <w:r>
              <w:t xml:space="preserve">0.0901</w:t>
            </w:r>
          </w:p>
        </w:tc>
      </w:tr>
      <w:tr>
        <w:tc>
          <w:tcPr>
            <w:gridSpan w:val="7"/>
          </w:tcPr>
          <w:p>
            <w:pPr>
              <w:pStyle w:val="Compact"/>
              <w:jc w:val="left"/>
            </w:pPr>
            <w:r>
              <w:t xml:space="preserve">   200–500 ms, midline</w:t>
            </w:r>
          </w:p>
        </w:tc>
      </w:tr>
      <w:tr>
        <w:tc>
          <w:tcPr/>
          <w:p>
            <w:pPr>
              <w:pStyle w:val="Compact"/>
              <w:jc w:val="left"/>
            </w:pPr>
            <w:r>
              <w:t xml:space="preserve">      Overall</w:t>
            </w:r>
          </w:p>
        </w:tc>
        <w:tc>
          <w:tcPr/>
          <w:p>
            <w:pPr>
              <w:pStyle w:val="Compact"/>
              <w:jc w:val="center"/>
            </w:pPr>
            <w:r>
              <w:t xml:space="preserve">−0.0153</w:t>
            </w:r>
          </w:p>
        </w:tc>
        <w:tc>
          <w:tcPr/>
          <w:p>
            <w:pPr>
              <w:pStyle w:val="Compact"/>
              <w:jc w:val="center"/>
            </w:pPr>
            <w:r>
              <w:t xml:space="preserve">−0.0667</w:t>
            </w:r>
          </w:p>
        </w:tc>
        <w:tc>
          <w:tcPr/>
          <w:p>
            <w:pPr>
              <w:pStyle w:val="Compact"/>
              <w:jc w:val="center"/>
            </w:pPr>
            <w:r>
              <w:t xml:space="preserve">0.0353</w:t>
            </w:r>
          </w:p>
        </w:tc>
        <w:tc>
          <w:tcPr/>
          <w:p>
            <w:pPr>
              <w:pStyle w:val="Compact"/>
              <w:jc w:val="center"/>
            </w:pPr>
            <w:r>
              <w:t xml:space="preserve">−0.0112</w:t>
            </w:r>
          </w:p>
        </w:tc>
        <w:tc>
          <w:tcPr/>
          <w:p>
            <w:pPr>
              <w:pStyle w:val="Compact"/>
              <w:jc w:val="center"/>
            </w:pPr>
            <w:r>
              <w:t xml:space="preserve">−0.0626</w:t>
            </w:r>
          </w:p>
        </w:tc>
        <w:tc>
          <w:tcPr/>
          <w:p>
            <w:pPr>
              <w:pStyle w:val="Compact"/>
              <w:jc w:val="center"/>
            </w:pPr>
            <w:r>
              <w:t xml:space="preserve">0.0402</w:t>
            </w:r>
          </w:p>
        </w:tc>
      </w:tr>
      <w:tr>
        <w:tc>
          <w:tcPr/>
          <w:p>
            <w:pPr>
              <w:pStyle w:val="Compact"/>
              <w:jc w:val="left"/>
            </w:pPr>
            <w:r>
              <w:t xml:space="preserve">      Mini-Norwegian</w:t>
            </w:r>
          </w:p>
        </w:tc>
        <w:tc>
          <w:tcPr/>
          <w:p>
            <w:pPr>
              <w:pStyle w:val="Compact"/>
              <w:jc w:val="center"/>
            </w:pPr>
            <w:r>
              <w:t xml:space="preserve">−0.0125</w:t>
            </w:r>
          </w:p>
        </w:tc>
        <w:tc>
          <w:tcPr/>
          <w:p>
            <w:pPr>
              <w:pStyle w:val="Compact"/>
              <w:jc w:val="center"/>
            </w:pPr>
            <w:r>
              <w:t xml:space="preserve">−0.0852</w:t>
            </w:r>
          </w:p>
        </w:tc>
        <w:tc>
          <w:tcPr/>
          <w:p>
            <w:pPr>
              <w:pStyle w:val="Compact"/>
              <w:jc w:val="center"/>
            </w:pPr>
            <w:r>
              <w:t xml:space="preserve">0.0582</w:t>
            </w:r>
          </w:p>
        </w:tc>
        <w:tc>
          <w:tcPr/>
          <w:p>
            <w:pPr>
              <w:pStyle w:val="Compact"/>
              <w:jc w:val="center"/>
            </w:pPr>
            <w:r>
              <w:t xml:space="preserve">−0.0131</w:t>
            </w:r>
          </w:p>
        </w:tc>
        <w:tc>
          <w:tcPr/>
          <w:p>
            <w:pPr>
              <w:pStyle w:val="Compact"/>
              <w:jc w:val="center"/>
            </w:pPr>
            <w:r>
              <w:t xml:space="preserve">−0.0849</w:t>
            </w:r>
          </w:p>
        </w:tc>
        <w:tc>
          <w:tcPr/>
          <w:p>
            <w:pPr>
              <w:pStyle w:val="Compact"/>
              <w:jc w:val="center"/>
            </w:pPr>
            <w:r>
              <w:t xml:space="preserve">0.0586</w:t>
            </w:r>
          </w:p>
        </w:tc>
      </w:tr>
      <w:tr>
        <w:tc>
          <w:tcPr/>
          <w:p>
            <w:pPr>
              <w:pStyle w:val="Compact"/>
              <w:jc w:val="left"/>
            </w:pPr>
            <w:r>
              <w:t xml:space="preserve">      Mini-English</w:t>
            </w:r>
          </w:p>
        </w:tc>
        <w:tc>
          <w:tcPr/>
          <w:p>
            <w:pPr>
              <w:pStyle w:val="Compact"/>
              <w:jc w:val="center"/>
            </w:pPr>
            <w:r>
              <w:t xml:space="preserve">−0.0180</w:t>
            </w:r>
          </w:p>
        </w:tc>
        <w:tc>
          <w:tcPr/>
          <w:p>
            <w:pPr>
              <w:pStyle w:val="Compact"/>
              <w:jc w:val="center"/>
            </w:pPr>
            <w:r>
              <w:t xml:space="preserve">−0.0897</w:t>
            </w:r>
          </w:p>
        </w:tc>
        <w:tc>
          <w:tcPr/>
          <w:p>
            <w:pPr>
              <w:pStyle w:val="Compact"/>
              <w:jc w:val="center"/>
            </w:pPr>
            <w:r>
              <w:t xml:space="preserve">0.0541</w:t>
            </w:r>
          </w:p>
        </w:tc>
        <w:tc>
          <w:tcPr/>
          <w:p>
            <w:pPr>
              <w:pStyle w:val="Compact"/>
              <w:jc w:val="center"/>
            </w:pPr>
            <w:r>
              <w:t xml:space="preserve">−0.0092</w:t>
            </w:r>
          </w:p>
        </w:tc>
        <w:tc>
          <w:tcPr/>
          <w:p>
            <w:pPr>
              <w:pStyle w:val="Compact"/>
              <w:jc w:val="center"/>
            </w:pPr>
            <w:r>
              <w:t xml:space="preserve">−0.0818</w:t>
            </w:r>
          </w:p>
        </w:tc>
        <w:tc>
          <w:tcPr/>
          <w:p>
            <w:pPr>
              <w:pStyle w:val="Compact"/>
              <w:jc w:val="center"/>
            </w:pPr>
            <w:r>
              <w:t xml:space="preserve">0.0628</w:t>
            </w:r>
          </w:p>
        </w:tc>
      </w:tr>
      <w:tr>
        <w:tc>
          <w:tcPr/>
          <w:p>
            <w:pPr>
              <w:pStyle w:val="Compact"/>
              <w:jc w:val="left"/>
            </w:pPr>
            <w:r>
              <w:t xml:space="preserve">      Group difference</w:t>
            </w:r>
          </w:p>
        </w:tc>
        <w:tc>
          <w:tcPr/>
          <w:p>
            <w:pPr>
              <w:pStyle w:val="Compact"/>
              <w:jc w:val="center"/>
            </w:pPr>
            <w:r>
              <w:t xml:space="preserve">⁠ ⁠ ⁠0.0051</w:t>
            </w:r>
          </w:p>
        </w:tc>
        <w:tc>
          <w:tcPr/>
          <w:p>
            <w:pPr>
              <w:pStyle w:val="Compact"/>
              <w:jc w:val="center"/>
            </w:pPr>
            <w:r>
              <w:t xml:space="preserve">−0.0963</w:t>
            </w:r>
          </w:p>
        </w:tc>
        <w:tc>
          <w:tcPr/>
          <w:p>
            <w:pPr>
              <w:pStyle w:val="Compact"/>
              <w:jc w:val="center"/>
            </w:pPr>
            <w:r>
              <w:t xml:space="preserve">0.1055</w:t>
            </w:r>
          </w:p>
        </w:tc>
        <w:tc>
          <w:tcPr/>
          <w:p>
            <w:pPr>
              <w:pStyle w:val="Compact"/>
              <w:jc w:val="center"/>
            </w:pPr>
            <w:r>
              <w:t xml:space="preserve">−0.0035</w:t>
            </w:r>
          </w:p>
        </w:tc>
        <w:tc>
          <w:tcPr/>
          <w:p>
            <w:pPr>
              <w:pStyle w:val="Compact"/>
              <w:jc w:val="center"/>
            </w:pPr>
            <w:r>
              <w:t xml:space="preserve">−0.1060</w:t>
            </w:r>
          </w:p>
        </w:tc>
        <w:tc>
          <w:tcPr/>
          <w:p>
            <w:pPr>
              <w:pStyle w:val="Compact"/>
              <w:jc w:val="center"/>
            </w:pPr>
            <w:r>
              <w:t xml:space="preserve">0.0980</w:t>
            </w:r>
          </w:p>
        </w:tc>
      </w:tr>
      <w:tr>
        <w:tc>
          <w:tcPr>
            <w:gridSpan w:val="7"/>
          </w:tcPr>
          <w:p>
            <w:pPr>
              <w:pStyle w:val="Compact"/>
              <w:jc w:val="left"/>
            </w:pPr>
            <w:r>
              <w:t xml:space="preserve">   300–600 ms, lateral</w:t>
            </w:r>
          </w:p>
        </w:tc>
      </w:tr>
      <w:tr>
        <w:tc>
          <w:tcPr/>
          <w:p>
            <w:pPr>
              <w:pStyle w:val="Compact"/>
              <w:jc w:val="left"/>
            </w:pPr>
            <w:r>
              <w:t xml:space="preserve">      Overall</w:t>
            </w:r>
          </w:p>
        </w:tc>
        <w:tc>
          <w:tcPr/>
          <w:p>
            <w:pPr>
              <w:pStyle w:val="Compact"/>
              <w:jc w:val="center"/>
            </w:pPr>
            <w:r>
              <w:t xml:space="preserve">⁠ ⁠ ⁠0.0060</w:t>
            </w:r>
          </w:p>
        </w:tc>
        <w:tc>
          <w:tcPr/>
          <w:p>
            <w:pPr>
              <w:pStyle w:val="Compact"/>
              <w:jc w:val="center"/>
            </w:pPr>
            <w:r>
              <w:t xml:space="preserve">−0.0465</w:t>
            </w:r>
          </w:p>
        </w:tc>
        <w:tc>
          <w:tcPr/>
          <w:p>
            <w:pPr>
              <w:pStyle w:val="Compact"/>
              <w:jc w:val="center"/>
            </w:pPr>
            <w:r>
              <w:t xml:space="preserve">0.0569</w:t>
            </w:r>
          </w:p>
        </w:tc>
        <w:tc>
          <w:tcPr/>
          <w:p>
            <w:pPr>
              <w:pStyle w:val="Compact"/>
              <w:jc w:val="center"/>
            </w:pPr>
            <w:r>
              <w:t xml:space="preserve">⁠ ⁠ ⁠0.0092</w:t>
            </w:r>
          </w:p>
        </w:tc>
        <w:tc>
          <w:tcPr/>
          <w:p>
            <w:pPr>
              <w:pStyle w:val="Compact"/>
              <w:jc w:val="center"/>
            </w:pPr>
            <w:r>
              <w:t xml:space="preserve">−0.0438</w:t>
            </w:r>
          </w:p>
        </w:tc>
        <w:tc>
          <w:tcPr/>
          <w:p>
            <w:pPr>
              <w:pStyle w:val="Compact"/>
              <w:jc w:val="center"/>
            </w:pPr>
            <w:r>
              <w:t xml:space="preserve">0.0603</w:t>
            </w:r>
          </w:p>
        </w:tc>
      </w:tr>
      <w:tr>
        <w:tc>
          <w:tcPr/>
          <w:p>
            <w:pPr>
              <w:pStyle w:val="Compact"/>
              <w:jc w:val="left"/>
            </w:pPr>
            <w:r>
              <w:t xml:space="preserve">      Mini-Norwegian</w:t>
            </w:r>
          </w:p>
        </w:tc>
        <w:tc>
          <w:tcPr/>
          <w:p>
            <w:pPr>
              <w:pStyle w:val="Compact"/>
              <w:jc w:val="center"/>
            </w:pPr>
            <w:r>
              <w:t xml:space="preserve">⁠ ⁠ ⁠0.0026</w:t>
            </w:r>
          </w:p>
        </w:tc>
        <w:tc>
          <w:tcPr/>
          <w:p>
            <w:pPr>
              <w:pStyle w:val="Compact"/>
              <w:jc w:val="center"/>
            </w:pPr>
            <w:r>
              <w:t xml:space="preserve">−0.0717</w:t>
            </w:r>
          </w:p>
        </w:tc>
        <w:tc>
          <w:tcPr/>
          <w:p>
            <w:pPr>
              <w:pStyle w:val="Compact"/>
              <w:jc w:val="center"/>
            </w:pPr>
            <w:r>
              <w:t xml:space="preserve">0.0760</w:t>
            </w:r>
          </w:p>
        </w:tc>
        <w:tc>
          <w:tcPr/>
          <w:p>
            <w:pPr>
              <w:pStyle w:val="Compact"/>
              <w:jc w:val="center"/>
            </w:pPr>
            <w:r>
              <w:t xml:space="preserve">⁠ ⁠ ⁠0.0027</w:t>
            </w:r>
          </w:p>
        </w:tc>
        <w:tc>
          <w:tcPr/>
          <w:p>
            <w:pPr>
              <w:pStyle w:val="Compact"/>
              <w:jc w:val="center"/>
            </w:pPr>
            <w:r>
              <w:t xml:space="preserve">−0.0721</w:t>
            </w:r>
          </w:p>
        </w:tc>
        <w:tc>
          <w:tcPr/>
          <w:p>
            <w:pPr>
              <w:pStyle w:val="Compact"/>
              <w:jc w:val="center"/>
            </w:pPr>
            <w:r>
              <w:t xml:space="preserve">0.0757</w:t>
            </w:r>
          </w:p>
        </w:tc>
      </w:tr>
      <w:tr>
        <w:tc>
          <w:tcPr/>
          <w:p>
            <w:pPr>
              <w:pStyle w:val="Compact"/>
              <w:jc w:val="left"/>
            </w:pPr>
            <w:r>
              <w:t xml:space="preserve">      Mini-English</w:t>
            </w:r>
          </w:p>
        </w:tc>
        <w:tc>
          <w:tcPr/>
          <w:p>
            <w:pPr>
              <w:pStyle w:val="Compact"/>
              <w:jc w:val="center"/>
            </w:pPr>
            <w:r>
              <w:t xml:space="preserve">⁠ ⁠ ⁠0.0094</w:t>
            </w:r>
          </w:p>
        </w:tc>
        <w:tc>
          <w:tcPr/>
          <w:p>
            <w:pPr>
              <w:pStyle w:val="Compact"/>
              <w:jc w:val="center"/>
            </w:pPr>
            <w:r>
              <w:t xml:space="preserve">−0.0642</w:t>
            </w:r>
          </w:p>
        </w:tc>
        <w:tc>
          <w:tcPr/>
          <w:p>
            <w:pPr>
              <w:pStyle w:val="Compact"/>
              <w:jc w:val="center"/>
            </w:pPr>
            <w:r>
              <w:t xml:space="preserve">0.0814</w:t>
            </w:r>
          </w:p>
        </w:tc>
        <w:tc>
          <w:tcPr/>
          <w:p>
            <w:pPr>
              <w:pStyle w:val="Compact"/>
              <w:jc w:val="center"/>
            </w:pPr>
            <w:r>
              <w:t xml:space="preserve">⁠ ⁠ ⁠0.0156</w:t>
            </w:r>
          </w:p>
        </w:tc>
        <w:tc>
          <w:tcPr/>
          <w:p>
            <w:pPr>
              <w:pStyle w:val="Compact"/>
              <w:jc w:val="center"/>
            </w:pPr>
            <w:r>
              <w:t xml:space="preserve">−0.0583</w:t>
            </w:r>
          </w:p>
        </w:tc>
        <w:tc>
          <w:tcPr/>
          <w:p>
            <w:pPr>
              <w:pStyle w:val="Compact"/>
              <w:jc w:val="center"/>
            </w:pPr>
            <w:r>
              <w:t xml:space="preserve">0.0904</w:t>
            </w:r>
          </w:p>
        </w:tc>
      </w:tr>
      <w:tr>
        <w:tc>
          <w:tcPr/>
          <w:p>
            <w:pPr>
              <w:pStyle w:val="Compact"/>
              <w:jc w:val="left"/>
            </w:pPr>
            <w:r>
              <w:t xml:space="preserve">      Group difference</w:t>
            </w:r>
          </w:p>
        </w:tc>
        <w:tc>
          <w:tcPr/>
          <w:p>
            <w:pPr>
              <w:pStyle w:val="Compact"/>
              <w:jc w:val="center"/>
            </w:pPr>
            <w:r>
              <w:t xml:space="preserve">−0.0064</w:t>
            </w:r>
          </w:p>
        </w:tc>
        <w:tc>
          <w:tcPr/>
          <w:p>
            <w:pPr>
              <w:pStyle w:val="Compact"/>
              <w:jc w:val="center"/>
            </w:pPr>
            <w:r>
              <w:t xml:space="preserve">−0.1098</w:t>
            </w:r>
          </w:p>
        </w:tc>
        <w:tc>
          <w:tcPr/>
          <w:p>
            <w:pPr>
              <w:pStyle w:val="Compact"/>
              <w:jc w:val="center"/>
            </w:pPr>
            <w:r>
              <w:t xml:space="preserve">0.0963</w:t>
            </w:r>
          </w:p>
        </w:tc>
        <w:tc>
          <w:tcPr/>
          <w:p>
            <w:pPr>
              <w:pStyle w:val="Compact"/>
              <w:jc w:val="center"/>
            </w:pPr>
            <w:r>
              <w:t xml:space="preserve">−0.0128</w:t>
            </w:r>
          </w:p>
        </w:tc>
        <w:tc>
          <w:tcPr/>
          <w:p>
            <w:pPr>
              <w:pStyle w:val="Compact"/>
              <w:jc w:val="center"/>
            </w:pPr>
            <w:r>
              <w:t xml:space="preserve">−0.1180</w:t>
            </w:r>
          </w:p>
        </w:tc>
        <w:tc>
          <w:tcPr/>
          <w:p>
            <w:pPr>
              <w:pStyle w:val="Compact"/>
              <w:jc w:val="center"/>
            </w:pPr>
            <w:r>
              <w:t xml:space="preserve">0.0908</w:t>
            </w:r>
          </w:p>
        </w:tc>
      </w:tr>
      <w:tr>
        <w:tc>
          <w:tcPr>
            <w:gridSpan w:val="7"/>
          </w:tcPr>
          <w:p>
            <w:pPr>
              <w:pStyle w:val="Compact"/>
              <w:jc w:val="left"/>
            </w:pPr>
            <w:r>
              <w:t xml:space="preserve">   300–600 ms, midline</w:t>
            </w:r>
          </w:p>
        </w:tc>
      </w:tr>
      <w:tr>
        <w:tc>
          <w:tcPr/>
          <w:p>
            <w:pPr>
              <w:pStyle w:val="Compact"/>
              <w:jc w:val="left"/>
            </w:pPr>
            <w:r>
              <w:t xml:space="preserve">      Overall</w:t>
            </w:r>
          </w:p>
        </w:tc>
        <w:tc>
          <w:tcPr/>
          <w:p>
            <w:pPr>
              <w:pStyle w:val="Compact"/>
              <w:jc w:val="center"/>
            </w:pPr>
            <w:r>
              <w:t xml:space="preserve">⁠ ⁠ ⁠0.0022</w:t>
            </w:r>
          </w:p>
        </w:tc>
        <w:tc>
          <w:tcPr/>
          <w:p>
            <w:pPr>
              <w:pStyle w:val="Compact"/>
              <w:jc w:val="center"/>
            </w:pPr>
            <w:r>
              <w:t xml:space="preserve">−0.0514</w:t>
            </w:r>
          </w:p>
        </w:tc>
        <w:tc>
          <w:tcPr/>
          <w:p>
            <w:pPr>
              <w:pStyle w:val="Compact"/>
              <w:jc w:val="center"/>
            </w:pPr>
            <w:r>
              <w:t xml:space="preserve">0.0548</w:t>
            </w:r>
          </w:p>
        </w:tc>
        <w:tc>
          <w:tcPr/>
          <w:p>
            <w:pPr>
              <w:pStyle w:val="Compact"/>
              <w:jc w:val="center"/>
            </w:pPr>
            <w:r>
              <w:t xml:space="preserve">⁠ ⁠ ⁠0.0055</w:t>
            </w:r>
          </w:p>
        </w:tc>
        <w:tc>
          <w:tcPr/>
          <w:p>
            <w:pPr>
              <w:pStyle w:val="Compact"/>
              <w:jc w:val="center"/>
            </w:pPr>
            <w:r>
              <w:t xml:space="preserve">−0.0486</w:t>
            </w:r>
          </w:p>
        </w:tc>
        <w:tc>
          <w:tcPr/>
          <w:p>
            <w:pPr>
              <w:pStyle w:val="Compact"/>
              <w:jc w:val="center"/>
            </w:pPr>
            <w:r>
              <w:t xml:space="preserve">0.0585</w:t>
            </w:r>
          </w:p>
        </w:tc>
      </w:tr>
      <w:tr>
        <w:tc>
          <w:tcPr/>
          <w:p>
            <w:pPr>
              <w:pStyle w:val="Compact"/>
              <w:jc w:val="left"/>
            </w:pPr>
            <w:r>
              <w:t xml:space="preserve">      Mini-Norwegian</w:t>
            </w:r>
          </w:p>
        </w:tc>
        <w:tc>
          <w:tcPr/>
          <w:p>
            <w:pPr>
              <w:pStyle w:val="Compact"/>
              <w:jc w:val="center"/>
            </w:pPr>
            <w:r>
              <w:t xml:space="preserve">⁠ ⁠ ⁠0.0072</w:t>
            </w:r>
          </w:p>
        </w:tc>
        <w:tc>
          <w:tcPr/>
          <w:p>
            <w:pPr>
              <w:pStyle w:val="Compact"/>
              <w:jc w:val="center"/>
            </w:pPr>
            <w:r>
              <w:t xml:space="preserve">−0.0688</w:t>
            </w:r>
          </w:p>
        </w:tc>
        <w:tc>
          <w:tcPr/>
          <w:p>
            <w:pPr>
              <w:pStyle w:val="Compact"/>
              <w:jc w:val="center"/>
            </w:pPr>
            <w:r>
              <w:t xml:space="preserve">0.0820</w:t>
            </w:r>
          </w:p>
        </w:tc>
        <w:tc>
          <w:tcPr/>
          <w:p>
            <w:pPr>
              <w:pStyle w:val="Compact"/>
              <w:jc w:val="center"/>
            </w:pPr>
            <w:r>
              <w:t xml:space="preserve">⁠ ⁠ ⁠0.0068</w:t>
            </w:r>
          </w:p>
        </w:tc>
        <w:tc>
          <w:tcPr/>
          <w:p>
            <w:pPr>
              <w:pStyle w:val="Compact"/>
              <w:jc w:val="center"/>
            </w:pPr>
            <w:r>
              <w:t xml:space="preserve">−0.0695</w:t>
            </w:r>
          </w:p>
        </w:tc>
        <w:tc>
          <w:tcPr/>
          <w:p>
            <w:pPr>
              <w:pStyle w:val="Compact"/>
              <w:jc w:val="center"/>
            </w:pPr>
            <w:r>
              <w:t xml:space="preserve">0.0815</w:t>
            </w:r>
          </w:p>
        </w:tc>
      </w:tr>
      <w:tr>
        <w:tc>
          <w:tcPr/>
          <w:p>
            <w:pPr>
              <w:pStyle w:val="Compact"/>
              <w:jc w:val="left"/>
            </w:pPr>
            <w:r>
              <w:t xml:space="preserve">      Mini-English</w:t>
            </w:r>
          </w:p>
        </w:tc>
        <w:tc>
          <w:tcPr/>
          <w:p>
            <w:pPr>
              <w:pStyle w:val="Compact"/>
              <w:jc w:val="center"/>
            </w:pPr>
            <w:r>
              <w:t xml:space="preserve">−0.0027</w:t>
            </w:r>
          </w:p>
        </w:tc>
        <w:tc>
          <w:tcPr/>
          <w:p>
            <w:pPr>
              <w:pStyle w:val="Compact"/>
              <w:jc w:val="center"/>
            </w:pPr>
            <w:r>
              <w:t xml:space="preserve">−0.0781</w:t>
            </w:r>
          </w:p>
        </w:tc>
        <w:tc>
          <w:tcPr/>
          <w:p>
            <w:pPr>
              <w:pStyle w:val="Compact"/>
              <w:jc w:val="center"/>
            </w:pPr>
            <w:r>
              <w:t xml:space="preserve">0.0719</w:t>
            </w:r>
          </w:p>
        </w:tc>
        <w:tc>
          <w:tcPr/>
          <w:p>
            <w:pPr>
              <w:pStyle w:val="Compact"/>
              <w:jc w:val="center"/>
            </w:pPr>
            <w:r>
              <w:t xml:space="preserve">⁠ ⁠ ⁠0.0038</w:t>
            </w:r>
          </w:p>
        </w:tc>
        <w:tc>
          <w:tcPr/>
          <w:p>
            <w:pPr>
              <w:pStyle w:val="Compact"/>
              <w:jc w:val="center"/>
            </w:pPr>
            <w:r>
              <w:t xml:space="preserve">−0.0727</w:t>
            </w:r>
          </w:p>
        </w:tc>
        <w:tc>
          <w:tcPr/>
          <w:p>
            <w:pPr>
              <w:pStyle w:val="Compact"/>
              <w:jc w:val="center"/>
            </w:pPr>
            <w:r>
              <w:t xml:space="preserve">0.0807</w:t>
            </w:r>
          </w:p>
        </w:tc>
      </w:tr>
      <w:tr>
        <w:tc>
          <w:tcPr/>
          <w:p>
            <w:pPr>
              <w:pStyle w:val="Compact"/>
              <w:jc w:val="left"/>
            </w:pPr>
            <w:r>
              <w:t xml:space="preserve">      Group difference</w:t>
            </w:r>
          </w:p>
        </w:tc>
        <w:tc>
          <w:tcPr/>
          <w:p>
            <w:pPr>
              <w:pStyle w:val="Compact"/>
              <w:jc w:val="center"/>
            </w:pPr>
            <w:r>
              <w:t xml:space="preserve">⁠ ⁠ ⁠0.0099</w:t>
            </w:r>
          </w:p>
        </w:tc>
        <w:tc>
          <w:tcPr/>
          <w:p>
            <w:pPr>
              <w:pStyle w:val="Compact"/>
              <w:jc w:val="center"/>
            </w:pPr>
            <w:r>
              <w:t xml:space="preserve">−0.0975</w:t>
            </w:r>
          </w:p>
        </w:tc>
        <w:tc>
          <w:tcPr/>
          <w:p>
            <w:pPr>
              <w:pStyle w:val="Compact"/>
              <w:jc w:val="center"/>
            </w:pPr>
            <w:r>
              <w:t xml:space="preserve">0.1164</w:t>
            </w:r>
          </w:p>
        </w:tc>
        <w:tc>
          <w:tcPr/>
          <w:p>
            <w:pPr>
              <w:pStyle w:val="Compact"/>
              <w:jc w:val="center"/>
            </w:pPr>
            <w:r>
              <w:t xml:space="preserve">⁠ ⁠ ⁠0.0029</w:t>
            </w:r>
          </w:p>
        </w:tc>
        <w:tc>
          <w:tcPr/>
          <w:p>
            <w:pPr>
              <w:pStyle w:val="Compact"/>
              <w:jc w:val="center"/>
            </w:pPr>
            <w:r>
              <w:t xml:space="preserve">−0.1054</w:t>
            </w:r>
          </w:p>
        </w:tc>
        <w:tc>
          <w:tcPr/>
          <w:p>
            <w:pPr>
              <w:pStyle w:val="Compact"/>
              <w:jc w:val="center"/>
            </w:pPr>
            <w:r>
              <w:t xml:space="preserve">0.1085</w:t>
            </w:r>
          </w:p>
        </w:tc>
      </w:tr>
      <w:tr>
        <w:tc>
          <w:tcPr>
            <w:gridSpan w:val="7"/>
          </w:tcPr>
          <w:p>
            <w:pPr>
              <w:pStyle w:val="Compact"/>
              <w:jc w:val="left"/>
            </w:pPr>
            <w:r>
              <w:t xml:space="preserve">   400–900 ms, lateral</w:t>
            </w:r>
          </w:p>
        </w:tc>
      </w:tr>
      <w:tr>
        <w:tc>
          <w:tcPr/>
          <w:p>
            <w:pPr>
              <w:pStyle w:val="Compact"/>
              <w:jc w:val="left"/>
            </w:pPr>
            <w:r>
              <w:t xml:space="preserve">      Overall</w:t>
            </w:r>
          </w:p>
        </w:tc>
        <w:tc>
          <w:tcPr/>
          <w:p>
            <w:pPr>
              <w:pStyle w:val="Compact"/>
              <w:jc w:val="center"/>
            </w:pPr>
            <w:r>
              <w:t xml:space="preserve">⁠ ⁠ ⁠0.0358</w:t>
            </w:r>
          </w:p>
        </w:tc>
        <w:tc>
          <w:tcPr/>
          <w:p>
            <w:pPr>
              <w:pStyle w:val="Compact"/>
              <w:jc w:val="center"/>
            </w:pPr>
            <w:r>
              <w:t xml:space="preserve">−0.0243</w:t>
            </w:r>
          </w:p>
        </w:tc>
        <w:tc>
          <w:tcPr/>
          <w:p>
            <w:pPr>
              <w:pStyle w:val="Compact"/>
              <w:jc w:val="center"/>
            </w:pPr>
            <w:r>
              <w:t xml:space="preserve">0.0927</w:t>
            </w:r>
          </w:p>
        </w:tc>
        <w:tc>
          <w:tcPr/>
          <w:p>
            <w:pPr>
              <w:pStyle w:val="Compact"/>
              <w:jc w:val="center"/>
            </w:pPr>
            <w:r>
              <w:t xml:space="preserve">⁠ ⁠ ⁠0.0400</w:t>
            </w:r>
          </w:p>
        </w:tc>
        <w:tc>
          <w:tcPr/>
          <w:p>
            <w:pPr>
              <w:pStyle w:val="Compact"/>
              <w:jc w:val="center"/>
            </w:pPr>
            <w:r>
              <w:t xml:space="preserve">−0.0197</w:t>
            </w:r>
          </w:p>
        </w:tc>
        <w:tc>
          <w:tcPr/>
          <w:p>
            <w:pPr>
              <w:pStyle w:val="Compact"/>
              <w:jc w:val="center"/>
            </w:pPr>
            <w:r>
              <w:t xml:space="preserve">0.0979</w:t>
            </w:r>
          </w:p>
        </w:tc>
      </w:tr>
      <w:tr>
        <w:tc>
          <w:tcPr/>
          <w:p>
            <w:pPr>
              <w:pStyle w:val="Compact"/>
              <w:jc w:val="left"/>
            </w:pPr>
            <w:r>
              <w:t xml:space="preserve">      Mini-Norwegian</w:t>
            </w:r>
          </w:p>
        </w:tc>
        <w:tc>
          <w:tcPr/>
          <w:p>
            <w:pPr>
              <w:pStyle w:val="Compact"/>
              <w:jc w:val="center"/>
            </w:pPr>
            <w:r>
              <w:t xml:space="preserve">⁠ ⁠ ⁠0.0644</w:t>
            </w:r>
          </w:p>
        </w:tc>
        <w:tc>
          <w:tcPr/>
          <w:p>
            <w:pPr>
              <w:pStyle w:val="Compact"/>
              <w:jc w:val="center"/>
            </w:pPr>
            <w:r>
              <w:t xml:space="preserve">−0.0207</w:t>
            </w:r>
          </w:p>
        </w:tc>
        <w:tc>
          <w:tcPr/>
          <w:p>
            <w:pPr>
              <w:pStyle w:val="Compact"/>
              <w:jc w:val="center"/>
            </w:pPr>
            <w:r>
              <w:t xml:space="preserve">0.1470</w:t>
            </w:r>
          </w:p>
        </w:tc>
        <w:tc>
          <w:tcPr/>
          <w:p>
            <w:pPr>
              <w:pStyle w:val="Compact"/>
              <w:jc w:val="center"/>
            </w:pPr>
            <w:r>
              <w:t xml:space="preserve">⁠ ⁠ ⁠0.0645</w:t>
            </w:r>
          </w:p>
        </w:tc>
        <w:tc>
          <w:tcPr/>
          <w:p>
            <w:pPr>
              <w:pStyle w:val="Compact"/>
              <w:jc w:val="center"/>
            </w:pPr>
            <w:r>
              <w:t xml:space="preserve">−0.0193</w:t>
            </w:r>
          </w:p>
        </w:tc>
        <w:tc>
          <w:tcPr/>
          <w:p>
            <w:pPr>
              <w:pStyle w:val="Compact"/>
              <w:jc w:val="center"/>
            </w:pPr>
            <w:r>
              <w:t xml:space="preserve">0.1457</w:t>
            </w:r>
          </w:p>
        </w:tc>
      </w:tr>
      <w:tr>
        <w:tc>
          <w:tcPr/>
          <w:p>
            <w:pPr>
              <w:pStyle w:val="Compact"/>
              <w:jc w:val="left"/>
            </w:pPr>
            <w:r>
              <w:t xml:space="preserve">      Mini-English</w:t>
            </w:r>
          </w:p>
        </w:tc>
        <w:tc>
          <w:tcPr/>
          <w:p>
            <w:pPr>
              <w:pStyle w:val="Compact"/>
              <w:jc w:val="center"/>
            </w:pPr>
            <w:r>
              <w:t xml:space="preserve">⁠ ⁠ ⁠0.0062</w:t>
            </w:r>
          </w:p>
        </w:tc>
        <w:tc>
          <w:tcPr/>
          <w:p>
            <w:pPr>
              <w:pStyle w:val="Compact"/>
              <w:jc w:val="center"/>
            </w:pPr>
            <w:r>
              <w:t xml:space="preserve">−0.0773</w:t>
            </w:r>
          </w:p>
        </w:tc>
        <w:tc>
          <w:tcPr/>
          <w:p>
            <w:pPr>
              <w:pStyle w:val="Compact"/>
              <w:jc w:val="center"/>
            </w:pPr>
            <w:r>
              <w:t xml:space="preserve">0.0875</w:t>
            </w:r>
          </w:p>
        </w:tc>
        <w:tc>
          <w:tcPr/>
          <w:p>
            <w:pPr>
              <w:pStyle w:val="Compact"/>
              <w:jc w:val="center"/>
            </w:pPr>
            <w:r>
              <w:t xml:space="preserve">⁠ ⁠ ⁠0.0140</w:t>
            </w:r>
          </w:p>
        </w:tc>
        <w:tc>
          <w:tcPr/>
          <w:p>
            <w:pPr>
              <w:pStyle w:val="Compact"/>
              <w:jc w:val="center"/>
            </w:pPr>
            <w:r>
              <w:t xml:space="preserve">−0.0688</w:t>
            </w:r>
          </w:p>
        </w:tc>
        <w:tc>
          <w:tcPr/>
          <w:p>
            <w:pPr>
              <w:pStyle w:val="Compact"/>
              <w:jc w:val="center"/>
            </w:pPr>
            <w:r>
              <w:t xml:space="preserve">0.0973</w:t>
            </w:r>
          </w:p>
        </w:tc>
      </w:tr>
      <w:tr>
        <w:tc>
          <w:tcPr/>
          <w:p>
            <w:pPr>
              <w:pStyle w:val="Compact"/>
              <w:jc w:val="left"/>
            </w:pPr>
            <w:r>
              <w:t xml:space="preserve">      Group difference</w:t>
            </w:r>
          </w:p>
        </w:tc>
        <w:tc>
          <w:tcPr/>
          <w:p>
            <w:pPr>
              <w:pStyle w:val="Compact"/>
              <w:jc w:val="center"/>
            </w:pPr>
            <w:r>
              <w:t xml:space="preserve">⁠ ⁠ ⁠0.0582</w:t>
            </w:r>
          </w:p>
        </w:tc>
        <w:tc>
          <w:tcPr/>
          <w:p>
            <w:pPr>
              <w:pStyle w:val="Compact"/>
              <w:jc w:val="center"/>
            </w:pPr>
            <w:r>
              <w:t xml:space="preserve">−0.0599</w:t>
            </w:r>
          </w:p>
        </w:tc>
        <w:tc>
          <w:tcPr/>
          <w:p>
            <w:pPr>
              <w:pStyle w:val="Compact"/>
              <w:jc w:val="center"/>
            </w:pPr>
            <w:r>
              <w:t xml:space="preserve">0.1752</w:t>
            </w:r>
          </w:p>
        </w:tc>
        <w:tc>
          <w:tcPr/>
          <w:p>
            <w:pPr>
              <w:pStyle w:val="Compact"/>
              <w:jc w:val="center"/>
            </w:pPr>
            <w:r>
              <w:t xml:space="preserve">⁠ ⁠ ⁠0.0502</w:t>
            </w:r>
          </w:p>
        </w:tc>
        <w:tc>
          <w:tcPr/>
          <w:p>
            <w:pPr>
              <w:pStyle w:val="Compact"/>
              <w:jc w:val="center"/>
            </w:pPr>
            <w:r>
              <w:t xml:space="preserve">−0.0675</w:t>
            </w:r>
          </w:p>
        </w:tc>
        <w:tc>
          <w:tcPr/>
          <w:p>
            <w:pPr>
              <w:pStyle w:val="Compact"/>
              <w:jc w:val="center"/>
            </w:pPr>
            <w:r>
              <w:t xml:space="preserve">0.1666</w:t>
            </w:r>
          </w:p>
        </w:tc>
      </w:tr>
      <w:tr>
        <w:tc>
          <w:tcPr>
            <w:gridSpan w:val="7"/>
          </w:tcPr>
          <w:p>
            <w:pPr>
              <w:pStyle w:val="Compact"/>
              <w:jc w:val="left"/>
            </w:pPr>
            <w:r>
              <w:t xml:space="preserve">   400–900 ms, midline</w:t>
            </w:r>
          </w:p>
        </w:tc>
      </w:tr>
      <w:tr>
        <w:tc>
          <w:tcPr/>
          <w:p>
            <w:pPr>
              <w:pStyle w:val="Compact"/>
              <w:jc w:val="left"/>
            </w:pPr>
            <w:r>
              <w:t xml:space="preserve">      Overall</w:t>
            </w:r>
          </w:p>
        </w:tc>
        <w:tc>
          <w:tcPr/>
          <w:p>
            <w:pPr>
              <w:pStyle w:val="Compact"/>
              <w:jc w:val="center"/>
            </w:pPr>
            <w:r>
              <w:t xml:space="preserve">⁠ ⁠ ⁠0.0383</w:t>
            </w:r>
          </w:p>
        </w:tc>
        <w:tc>
          <w:tcPr/>
          <w:p>
            <w:pPr>
              <w:pStyle w:val="Compact"/>
              <w:jc w:val="center"/>
            </w:pPr>
            <w:r>
              <w:t xml:space="preserve">−0.0173</w:t>
            </w:r>
          </w:p>
        </w:tc>
        <w:tc>
          <w:tcPr/>
          <w:p>
            <w:pPr>
              <w:pStyle w:val="Compact"/>
              <w:jc w:val="center"/>
            </w:pPr>
            <w:r>
              <w:t xml:space="preserve">0.0954</w:t>
            </w:r>
          </w:p>
        </w:tc>
        <w:tc>
          <w:tcPr/>
          <w:p>
            <w:pPr>
              <w:pStyle w:val="Compact"/>
              <w:jc w:val="center"/>
            </w:pPr>
            <w:r>
              <w:t xml:space="preserve">⁠ ⁠ ⁠0.0428</w:t>
            </w:r>
          </w:p>
        </w:tc>
        <w:tc>
          <w:tcPr/>
          <w:p>
            <w:pPr>
              <w:pStyle w:val="Compact"/>
              <w:jc w:val="center"/>
            </w:pPr>
            <w:r>
              <w:t xml:space="preserve">−0.0153</w:t>
            </w:r>
          </w:p>
        </w:tc>
        <w:tc>
          <w:tcPr/>
          <w:p>
            <w:pPr>
              <w:pStyle w:val="Compact"/>
              <w:jc w:val="center"/>
            </w:pPr>
            <w:r>
              <w:t xml:space="preserve">0.0993</w:t>
            </w:r>
          </w:p>
        </w:tc>
      </w:tr>
      <w:tr>
        <w:tc>
          <w:tcPr/>
          <w:p>
            <w:pPr>
              <w:pStyle w:val="Compact"/>
              <w:jc w:val="left"/>
            </w:pPr>
            <w:r>
              <w:t xml:space="preserve">      Mini-Norwegian</w:t>
            </w:r>
          </w:p>
        </w:tc>
        <w:tc>
          <w:tcPr/>
          <w:p>
            <w:pPr>
              <w:pStyle w:val="Compact"/>
              <w:jc w:val="center"/>
            </w:pPr>
            <w:r>
              <w:t xml:space="preserve">⁠ ⁠ ⁠0.0709</w:t>
            </w:r>
          </w:p>
        </w:tc>
        <w:tc>
          <w:tcPr/>
          <w:p>
            <w:pPr>
              <w:pStyle w:val="Compact"/>
              <w:jc w:val="center"/>
            </w:pPr>
            <w:r>
              <w:t xml:space="preserve">−0.0094</w:t>
            </w:r>
          </w:p>
        </w:tc>
        <w:tc>
          <w:tcPr/>
          <w:p>
            <w:pPr>
              <w:pStyle w:val="Compact"/>
              <w:jc w:val="center"/>
            </w:pPr>
            <w:r>
              <w:t xml:space="preserve">0.1513</w:t>
            </w:r>
          </w:p>
        </w:tc>
        <w:tc>
          <w:tcPr/>
          <w:p>
            <w:pPr>
              <w:pStyle w:val="Compact"/>
              <w:jc w:val="center"/>
            </w:pPr>
            <w:r>
              <w:t xml:space="preserve">⁠ ⁠ ⁠0.0707</w:t>
            </w:r>
          </w:p>
        </w:tc>
        <w:tc>
          <w:tcPr/>
          <w:p>
            <w:pPr>
              <w:pStyle w:val="Compact"/>
              <w:jc w:val="center"/>
            </w:pPr>
            <w:r>
              <w:t xml:space="preserve">−0.0103</w:t>
            </w:r>
          </w:p>
        </w:tc>
        <w:tc>
          <w:tcPr/>
          <w:p>
            <w:pPr>
              <w:pStyle w:val="Compact"/>
              <w:jc w:val="center"/>
            </w:pPr>
            <w:r>
              <w:t xml:space="preserve">0.1522</w:t>
            </w:r>
          </w:p>
        </w:tc>
      </w:tr>
      <w:tr>
        <w:tc>
          <w:tcPr/>
          <w:p>
            <w:pPr>
              <w:pStyle w:val="Compact"/>
              <w:jc w:val="left"/>
            </w:pPr>
            <w:r>
              <w:t xml:space="preserve">      Mini-English</w:t>
            </w:r>
          </w:p>
        </w:tc>
        <w:tc>
          <w:tcPr/>
          <w:p>
            <w:pPr>
              <w:pStyle w:val="Compact"/>
              <w:jc w:val="center"/>
            </w:pPr>
            <w:r>
              <w:t xml:space="preserve">⁠ ⁠ ⁠0.0050</w:t>
            </w:r>
          </w:p>
        </w:tc>
        <w:tc>
          <w:tcPr/>
          <w:p>
            <w:pPr>
              <w:pStyle w:val="Compact"/>
              <w:jc w:val="center"/>
            </w:pPr>
            <w:r>
              <w:t xml:space="preserve">−0.0752</w:t>
            </w:r>
          </w:p>
        </w:tc>
        <w:tc>
          <w:tcPr/>
          <w:p>
            <w:pPr>
              <w:pStyle w:val="Compact"/>
              <w:jc w:val="center"/>
            </w:pPr>
            <w:r>
              <w:t xml:space="preserve">0.0853</w:t>
            </w:r>
          </w:p>
        </w:tc>
        <w:tc>
          <w:tcPr/>
          <w:p>
            <w:pPr>
              <w:pStyle w:val="Compact"/>
              <w:jc w:val="center"/>
            </w:pPr>
            <w:r>
              <w:t xml:space="preserve">⁠ ⁠ ⁠0.0125</w:t>
            </w:r>
          </w:p>
        </w:tc>
        <w:tc>
          <w:tcPr/>
          <w:p>
            <w:pPr>
              <w:pStyle w:val="Compact"/>
              <w:jc w:val="center"/>
            </w:pPr>
            <w:r>
              <w:t xml:space="preserve">−0.0703</w:t>
            </w:r>
          </w:p>
        </w:tc>
        <w:tc>
          <w:tcPr/>
          <w:p>
            <w:pPr>
              <w:pStyle w:val="Compact"/>
              <w:jc w:val="center"/>
            </w:pPr>
            <w:r>
              <w:t xml:space="preserve">0.0968</w:t>
            </w:r>
          </w:p>
        </w:tc>
      </w:tr>
      <w:tr>
        <w:tc>
          <w:tcPr/>
          <w:p>
            <w:pPr>
              <w:pStyle w:val="Compact"/>
              <w:jc w:val="left"/>
            </w:pPr>
            <w:r>
              <w:t xml:space="preserve">      Group difference</w:t>
            </w:r>
          </w:p>
        </w:tc>
        <w:tc>
          <w:tcPr/>
          <w:p>
            <w:pPr>
              <w:pStyle w:val="Compact"/>
              <w:jc w:val="center"/>
            </w:pPr>
            <w:r>
              <w:t xml:space="preserve">⁠ ⁠ ⁠0.0656</w:t>
            </w:r>
          </w:p>
        </w:tc>
        <w:tc>
          <w:tcPr/>
          <w:p>
            <w:pPr>
              <w:pStyle w:val="Compact"/>
              <w:jc w:val="center"/>
            </w:pPr>
            <w:r>
              <w:t xml:space="preserve">−0.0497</w:t>
            </w:r>
          </w:p>
        </w:tc>
        <w:tc>
          <w:tcPr/>
          <w:p>
            <w:pPr>
              <w:pStyle w:val="Compact"/>
              <w:jc w:val="center"/>
            </w:pPr>
            <w:r>
              <w:t xml:space="preserve">0.1796</w:t>
            </w:r>
          </w:p>
        </w:tc>
        <w:tc>
          <w:tcPr/>
          <w:p>
            <w:pPr>
              <w:pStyle w:val="Compact"/>
              <w:jc w:val="center"/>
            </w:pPr>
            <w:r>
              <w:t xml:space="preserve">⁠ ⁠ ⁠0.0585</w:t>
            </w:r>
          </w:p>
        </w:tc>
        <w:tc>
          <w:tcPr/>
          <w:p>
            <w:pPr>
              <w:pStyle w:val="Compact"/>
              <w:jc w:val="center"/>
            </w:pPr>
            <w:r>
              <w:t xml:space="preserve">−0.0593</w:t>
            </w:r>
          </w:p>
        </w:tc>
        <w:tc>
          <w:tcPr/>
          <w:p>
            <w:pPr>
              <w:pStyle w:val="Compact"/>
              <w:jc w:val="center"/>
            </w:pPr>
            <w:r>
              <w:t xml:space="preserve">0.1753</w:t>
            </w:r>
          </w:p>
        </w:tc>
      </w:tr>
    </w:tbl>
    <w:bookmarkEnd w:id="402"/>
    <w:p>
      <w:pPr>
        <w:pStyle w:val="FigureNote"/>
      </w:pPr>
      <w:r>
        <w:rPr>
          <w:i/>
          <w:iCs/>
        </w:rPr>
        <w:t xml:space="preserve">Note</w:t>
      </w:r>
      <w:r>
        <w:t xml:space="preserve">. Values are posterior summaries of the change in the ERP grammaticality effect from Session 4 to Session 6, as in the table of Session 4 to Session 6 changes, from the reported models fitted to the primary sample (Primary) and refitted without the nine reprocessed Session 3 recordings and the two recovered records (Without reprocessed), in within-participant standard-deviation units of amplitude. Positive values indicate an effect that strengthened over the interval. Overall = averaged over the two groups; Group difference = Mini-Norwegian minus Mini-English.</w:t>
      </w:r>
      <w:r>
        <w:t xml:space="preserve"> </w:t>
      </w:r>
      <w:r>
        <w:rPr>
          <w:i/>
          <w:iCs/>
        </w:rPr>
        <w:t xml:space="preserve">Mdn</w:t>
      </w:r>
      <w:r>
        <w:t xml:space="preserve"> </w:t>
      </w:r>
      <w:r>
        <w:t xml:space="preserve">= posterior median;</w:t>
      </w:r>
      <w:r>
        <w:t xml:space="preserve"> </w:t>
      </w:r>
      <w:r>
        <w:rPr>
          <w:i/>
          <w:iCs/>
        </w:rPr>
        <w:t xml:space="preserve">LL</w:t>
      </w:r>
      <w:r>
        <w:t xml:space="preserve"> </w:t>
      </w:r>
      <w:r>
        <w:t xml:space="preserve">and</w:t>
      </w:r>
      <w:r>
        <w:t xml:space="preserve"> </w:t>
      </w:r>
      <w:r>
        <w:rPr>
          <w:i/>
          <w:iCs/>
        </w:rPr>
        <w:t xml:space="preserve">UL</w:t>
      </w:r>
      <w:r>
        <w:t xml:space="preserve"> </w:t>
      </w:r>
      <w:r>
        <w:t xml:space="preserve">= lower and upper limits of the 95% equal-tailed credible interval. An em dash marks a contrast not available.</w:t>
      </w:r>
    </w:p>
    <w:bookmarkEnd w:id="403"/>
    <w:bookmarkStart w:id="405" w:name="the-trials-the-trigger-rule-discards"/>
    <w:p>
      <w:pPr>
        <w:pStyle w:val="Heading2"/>
      </w:pPr>
      <w:r>
        <w:t xml:space="preserve">The trials the trigger rule discards</w:t>
      </w:r>
    </w:p>
    <w:p>
      <w:pPr>
        <w:pStyle w:val="FirstParagraph"/>
      </w:pPr>
      <w:r>
        <w:t xml:space="preserve">The two-step segmentation described in the Method keeps a critical word only when its</w:t>
      </w:r>
      <w:r>
        <w:t xml:space="preserve"> </w:t>
      </w:r>
      <w:r>
        <w:t xml:space="preserve">condition trigger followed its property trigger by exactly five samples, and about a third of</w:t>
      </w:r>
      <w:r>
        <w:t xml:space="preserve"> </w:t>
      </w:r>
      <w:r>
        <w:t xml:space="preserve">the words failed that rule. Fewer trials lower precision, but they bias the grammaticality</w:t>
      </w:r>
      <w:r>
        <w:t xml:space="preserve"> </w:t>
      </w:r>
      <w:r>
        <w:t xml:space="preserve">contrast only if the discarded trials differ from the kept ones within a condition. The</w:t>
      </w:r>
      <w:r>
        <w:t xml:space="preserve"> </w:t>
      </w:r>
      <w:r>
        <w:t xml:space="preserve">reprocessing protocol fixed a check of that assumption before any reprocessed output was</w:t>
      </w:r>
      <w:r>
        <w:t xml:space="preserve"> </w:t>
      </w:r>
      <w:r>
        <w:t xml:space="preserve">inspected, on the seventeen recordings whose discarded epochs could be rebuilt from the raw</w:t>
      </w:r>
      <w:r>
        <w:t xml:space="preserve"> </w:t>
      </w:r>
      <w:r>
        <w:t xml:space="preserve">data: the nine reprocessed Session 3 records and eight 0.1 Hz recordings rebuilt for the</w:t>
      </w:r>
      <w:r>
        <w:t xml:space="preserve"> </w:t>
      </w:r>
      <w:r>
        <w:t xml:space="preserve">filter validation, four from Session 2 and four from Session 3. Each recording was first</w:t>
      </w:r>
      <w:r>
        <w:t xml:space="preserve"> </w:t>
      </w:r>
      <w:r>
        <w:t xml:space="preserve">rebuilt and checked against its archived exports. Every grammatical and ungrammatical epoch</w:t>
      </w:r>
      <w:r>
        <w:t xml:space="preserve"> </w:t>
      </w:r>
      <w:r>
        <w:t xml:space="preserve">was then locked to the word-onset trigger (</w:t>
      </w:r>
      <m:oMath>
        <m:r>
          <m:rPr>
            <m:sty m:val="p"/>
          </m:rPr>
          <m:t>−</m:t>
        </m:r>
        <m:r>
          <m:t>96</m:t>
        </m:r>
      </m:oMath>
      <w:r>
        <w:t xml:space="preserve"> </w:t>
      </w:r>
      <w:r>
        <w:t xml:space="preserve">to 1,096 ms), and each window mean was</w:t>
      </w:r>
      <w:r>
        <w:t xml:space="preserve"> </w:t>
      </w:r>
      <w:r>
        <w:t xml:space="preserve">adjusted for the pre-stimulus baseline within each recording, as the ERP models adjust it.</w:t>
      </w:r>
      <w:r>
        <w:t xml:space="preserve"> </w:t>
      </w:r>
      <w:r>
        <w:t xml:space="preserve">In each property, window and macroregion, the check estimates</w:t>
      </w:r>
      <w:r>
        <w:t xml:space="preserve"> </w:t>
      </w:r>
      <m:oMath>
        <m:r>
          <m:t>D</m:t>
        </m:r>
      </m:oMath>
      <w:r>
        <w:t xml:space="preserve">, the difference between</w:t>
      </w:r>
      <w:r>
        <w:t xml:space="preserve"> </w:t>
      </w:r>
      <w:r>
        <w:t xml:space="preserve">discarded and kept trials in the ungrammatical-minus-grammatical contrast, weighting the</w:t>
      </w:r>
      <w:r>
        <w:t xml:space="preserve"> </w:t>
      </w:r>
      <w:r>
        <w:t xml:space="preserve">recordings equally. Omitting the discarded trials shifts the analysed contrast by the</w:t>
      </w:r>
      <w:r>
        <w:t xml:space="preserve"> </w:t>
      </w:r>
      <w:r>
        <w:t xml:space="preserve">discarded share times</w:t>
      </w:r>
      <w:r>
        <w:t xml:space="preserve"> </w:t>
      </w:r>
      <m:oMath>
        <m:r>
          <m:t>D</m:t>
        </m:r>
      </m:oMath>
      <w:r>
        <w:t xml:space="preserve">, so the check passes where the 90% interval of</w:t>
      </w:r>
      <w:r>
        <w:t xml:space="preserve"> </w:t>
      </w:r>
      <m:oMath>
        <m:r>
          <m:t>D</m:t>
        </m:r>
      </m:oMath>
      <w:r>
        <w:t xml:space="preserve"> </w:t>
      </w:r>
      <w:r>
        <w:t xml:space="preserve">lies within</w:t>
      </w:r>
      <w:r>
        <w:t xml:space="preserve"> </w:t>
      </w:r>
      <m:oMath>
        <m:r>
          <m:rPr>
            <m:sty m:val="p"/>
          </m:rPr>
          <m:t>±</m:t>
        </m:r>
        <m:r>
          <m:t>0.91</m:t>
        </m:r>
      </m:oMath>
      <w:r>
        <w:t xml:space="preserve"> </w:t>
      </w:r>
      <w:r>
        <w:t xml:space="preserve">µV (two one-sided tests at</w:t>
      </w:r>
      <w:r>
        <w:t xml:space="preserve"> </w:t>
      </w:r>
      <m:oMath>
        <m:r>
          <m:t>α</m:t>
        </m:r>
        <m:r>
          <m:rPr>
            <m:sty m:val="p"/>
          </m:rPr>
          <m:t>=</m:t>
        </m:r>
        <m:r>
          <m:t>.05</m:t>
        </m:r>
      </m:oMath>
      <w:r>
        <w:t xml:space="preserve">), which keeps that shift within about</w:t>
      </w:r>
      <w:r>
        <w:t xml:space="preserve"> </w:t>
      </w:r>
      <w:r>
        <w:t xml:space="preserve">0.33 µV. Three of the twelve cells passed. Across the 17 recordings, 36% of the eligible grammatical and ungrammatical words had been discarded. The interval excluded zero in gender agreement, 200–500 ms, lateral (</w:t>
      </w:r>
      <m:oMath>
        <m:r>
          <m:t>D</m:t>
        </m:r>
        <m:r>
          <m:rPr>
            <m:sty m:val="p"/>
          </m:rPr>
          <m:t>=</m:t>
        </m:r>
        <m:r>
          <m:rPr>
            <m:sty m:val="p"/>
          </m:rPr>
          <m:t>−</m:t>
        </m:r>
        <m:r>
          <m:t>0.55</m:t>
        </m:r>
      </m:oMath>
      <w:r>
        <w:t xml:space="preserve"> </w:t>
      </w:r>
      <w:r>
        <w:t xml:space="preserve">µV, 90% CI</w:t>
      </w:r>
      <w:r>
        <w:t xml:space="preserve"> </w:t>
      </w:r>
      <m:oMath>
        <m:r>
          <m:rPr>
            <m:sty m:val="p"/>
          </m:rPr>
          <m:t>[</m:t>
        </m:r>
        <m:r>
          <m:rPr>
            <m:sty m:val="p"/>
          </m:rPr>
          <m:t>−</m:t>
        </m:r>
        <m:r>
          <m:t>1.07</m:t>
        </m:r>
        <m:r>
          <m:rPr>
            <m:sty m:val="p"/>
          </m:rPr>
          <m:t>,</m:t>
        </m:r>
        <m:r>
          <m:rPr>
            <m:sty m:val="p"/>
          </m:rPr>
          <m:t>−</m:t>
        </m:r>
        <m:r>
          <m:t>0.03</m:t>
        </m:r>
        <m:r>
          <m:rPr>
            <m:sty m:val="p"/>
          </m:rPr>
          <m:t>]</m:t>
        </m:r>
      </m:oMath>
      <w:r>
        <w:t xml:space="preserve">), where the discarded trials carried the more negative ungrammatical-minus-grammatical difference. Across twelve cells, 1.2 such intervals would be expected on average at the 90% level if the two sets of trials did not differ. The interval reaching furthest from zero was that of gender agreement, 200–500 ms, midline (</w:t>
      </w:r>
      <m:oMath>
        <m:r>
          <m:t>D</m:t>
        </m:r>
        <m:r>
          <m:rPr>
            <m:sty m:val="p"/>
          </m:rPr>
          <m:t>=</m:t>
        </m:r>
        <m:r>
          <m:rPr>
            <m:sty m:val="p"/>
          </m:rPr>
          <m:t>−</m:t>
        </m:r>
        <m:r>
          <m:t>0.86</m:t>
        </m:r>
      </m:oMath>
      <w:r>
        <w:t xml:space="preserve"> </w:t>
      </w:r>
      <w:r>
        <w:t xml:space="preserve">µV, 90% CI</w:t>
      </w:r>
      <w:r>
        <w:t xml:space="preserve"> </w:t>
      </w:r>
      <m:oMath>
        <m:r>
          <m:rPr>
            <m:sty m:val="p"/>
          </m:rPr>
          <m:t>[</m:t>
        </m:r>
        <m:r>
          <m:rPr>
            <m:sty m:val="p"/>
          </m:rPr>
          <m:t>−</m:t>
        </m:r>
        <m:r>
          <m:t>1.88</m:t>
        </m:r>
        <m:r>
          <m:rPr>
            <m:sty m:val="p"/>
          </m:rPr>
          <m:t>,</m:t>
        </m:r>
        <m:r>
          <m:t>0.16</m:t>
        </m:r>
        <m:r>
          <m:rPr>
            <m:sty m:val="p"/>
          </m:rPr>
          <m:t>]</m:t>
        </m:r>
      </m:oMath>
      <w:r>
        <w:t xml:space="preserve">), which would shift the analysed contrast by</w:t>
      </w:r>
      <w:r>
        <w:t xml:space="preserve"> </w:t>
      </w:r>
      <m:oMath>
        <m:r>
          <m:rPr>
            <m:sty m:val="p"/>
          </m:rPr>
          <m:t>−</m:t>
        </m:r>
        <m:r>
          <m:t>0.31</m:t>
        </m:r>
      </m:oMath>
      <w:r>
        <w:t xml:space="preserve"> </w:t>
      </w:r>
      <w:r>
        <w:t xml:space="preserve">µV at its median. Every cell is given in</w:t>
      </w:r>
      <w:r>
        <w:t xml:space="preserve"> </w:t>
      </w:r>
      <w:hyperlink w:anchor="tbl-trigger-check">
        <w:r>
          <w:rPr>
            <w:rStyle w:val="Hyperlink"/>
          </w:rPr>
          <w:t xml:space="preserve">Table A3</w:t>
        </w:r>
      </w:hyperlink>
      <w:r>
        <w:t xml:space="preserve">. The check has about 80% power for a single cell, and</w:t>
      </w:r>
      <w:r>
        <w:t xml:space="preserve"> </w:t>
      </w:r>
      <w:r>
        <w:t xml:space="preserve">much less for all of them jointly, so a pass bounds gross differences without establishing</w:t>
      </w:r>
      <w:r>
        <w:t xml:space="preserve"> </w:t>
      </w:r>
      <w:r>
        <w:t xml:space="preserve">that the two sets of trials are equivalent. It admits no trial to any analysis.</w:t>
      </w:r>
    </w:p>
    <w:bookmarkStart w:id="404" w:name="tbl-trigger-check"/>
    <w:p>
      <w:pPr>
        <w:pStyle w:val="FigureTitle"/>
      </w:pPr>
      <w:r>
        <w:t xml:space="preserve">Table A3</w:t>
      </w:r>
    </w:p>
    <w:p>
      <w:pPr>
        <w:pStyle w:val="Caption"/>
      </w:pPr>
      <w:r>
        <w:t xml:space="preserve">Discarded Against Kept Trials in the Ungrammatical-Minus-Grammatical Contrast</w:t>
      </w:r>
    </w:p>
    <w:tbl>
      <w:tblPr>
        <w:tblStyle w:val="Table"/>
        <w:tblW w:type="pct" w:w="4900"/>
        <w:tblLayout w:type="fixed"/>
        <w:tblLook w:firstRow="1" w:lastRow="0" w:firstColumn="0" w:lastColumn="0" w:noHBand="0" w:noVBand="0" w:val="0020"/>
      </w:tblPr>
      <w:tblGrid>
        <w:gridCol w:w="1980"/>
        <w:gridCol w:w="396"/>
        <w:gridCol w:w="712"/>
        <w:gridCol w:w="950"/>
        <w:gridCol w:w="871"/>
        <w:gridCol w:w="871"/>
        <w:gridCol w:w="871"/>
        <w:gridCol w:w="1108"/>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c>
          <w:tcPr>
            <w:gridSpan w:val="2"/>
          </w:tcPr>
          <w:p>
            <w:pPr>
              <w:pStyle w:val="Compact"/>
              <w:jc w:val="center"/>
            </w:pPr>
            <w:r>
              <w:t xml:space="preserve">90% interval</w:t>
            </w:r>
          </w:p>
        </w:tc>
        <w:tc>
          <w:tcPr/>
          <w:p>
            <w:pPr>
              <w:pStyle w:val="Compact"/>
            </w:pPr>
          </w:p>
        </w:tc>
      </w:tr>
      <w:tr>
        <w:trPr>
          <w:tblHeader w:val="on"/>
        </w:trPr>
        <w:tc>
          <w:tcPr/>
          <w:p>
            <w:pPr>
              <w:pStyle w:val="Compact"/>
              <w:jc w:val="left"/>
            </w:pPr>
            <w:r>
              <w:t xml:space="preserve">Window and macroregion</w:t>
            </w:r>
          </w:p>
        </w:tc>
        <w:tc>
          <w:tcPr/>
          <w:p>
            <w:pPr>
              <w:pStyle w:val="Compact"/>
              <w:jc w:val="center"/>
            </w:pPr>
            <w:r>
              <w:rPr>
                <w:i/>
                <w:iCs/>
              </w:rPr>
              <w:t xml:space="preserve">k</w:t>
            </w:r>
          </w:p>
        </w:tc>
        <w:tc>
          <w:tcPr/>
          <w:p>
            <w:pPr>
              <w:pStyle w:val="Compact"/>
              <w:jc w:val="center"/>
            </w:pPr>
            <w:r>
              <w:t xml:space="preserve">Kept</w:t>
            </w:r>
          </w:p>
        </w:tc>
        <w:tc>
          <w:tcPr/>
          <w:p>
            <w:pPr>
              <w:pStyle w:val="Compact"/>
              <w:jc w:val="center"/>
            </w:pPr>
            <w:r>
              <w:t xml:space="preserve">Discarded</w:t>
            </w:r>
          </w:p>
        </w:tc>
        <w:tc>
          <w:tcPr/>
          <w:p>
            <w:pPr>
              <w:pStyle w:val="Compact"/>
              <w:jc w:val="center"/>
            </w:pPr>
            <w:r>
              <w:rPr>
                <w:i/>
                <w:iCs/>
              </w:rPr>
              <w:t xml:space="preserve">D</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left"/>
            </w:pPr>
            <w:r>
              <w:t xml:space="preserve">Within bound</w:t>
            </w:r>
          </w:p>
        </w:tc>
      </w:tr>
      <w:tr>
        <w:tc>
          <w:tcPr>
            <w:gridSpan w:val="8"/>
          </w:tcPr>
          <w:p>
            <w:pPr>
              <w:pStyle w:val="Compact"/>
              <w:jc w:val="left"/>
            </w:pPr>
            <w:r>
              <w:rPr>
                <w:i/>
                <w:iCs/>
              </w:rPr>
              <w:t xml:space="preserve">Gender agreement</w:t>
            </w:r>
          </w:p>
        </w:tc>
      </w:tr>
      <w:tr>
        <w:tc>
          <w:tcPr/>
          <w:p>
            <w:pPr>
              <w:pStyle w:val="Compact"/>
              <w:jc w:val="left"/>
            </w:pPr>
            <w:r>
              <w:t xml:space="preserve">   200–500 ms, lateral</w:t>
            </w:r>
          </w:p>
        </w:tc>
        <w:tc>
          <w:tcPr/>
          <w:p>
            <w:pPr>
              <w:pStyle w:val="Compact"/>
              <w:jc w:val="center"/>
            </w:pPr>
            <w:r>
              <w:t xml:space="preserve">17</w:t>
            </w:r>
          </w:p>
        </w:tc>
        <w:tc>
          <w:tcPr/>
          <w:p>
            <w:pPr>
              <w:pStyle w:val="Compact"/>
              <w:jc w:val="center"/>
            </w:pPr>
            <w:r>
              <w:t xml:space="preserve">1,040</w:t>
            </w:r>
          </w:p>
        </w:tc>
        <w:tc>
          <w:tcPr/>
          <w:p>
            <w:pPr>
              <w:pStyle w:val="Compact"/>
              <w:jc w:val="center"/>
            </w:pPr>
            <w:r>
              <w:t xml:space="preserve">580</w:t>
            </w:r>
          </w:p>
        </w:tc>
        <w:tc>
          <w:tcPr/>
          <w:p>
            <w:pPr>
              <w:pStyle w:val="Compact"/>
              <w:jc w:val="center"/>
            </w:pPr>
            <w:r>
              <w:t xml:space="preserve">−0.55</w:t>
            </w:r>
          </w:p>
        </w:tc>
        <w:tc>
          <w:tcPr/>
          <w:p>
            <w:pPr>
              <w:pStyle w:val="Compact"/>
              <w:jc w:val="center"/>
            </w:pPr>
            <w:r>
              <w:t xml:space="preserve">−1.07</w:t>
            </w:r>
          </w:p>
        </w:tc>
        <w:tc>
          <w:tcPr/>
          <w:p>
            <w:pPr>
              <w:pStyle w:val="Compact"/>
              <w:jc w:val="center"/>
            </w:pPr>
            <w:r>
              <w:t xml:space="preserve">−0.03</w:t>
            </w:r>
          </w:p>
        </w:tc>
        <w:tc>
          <w:tcPr/>
          <w:p>
            <w:pPr>
              <w:pStyle w:val="Compact"/>
              <w:jc w:val="left"/>
            </w:pPr>
            <w:r>
              <w:t xml:space="preserve">No</w:t>
            </w:r>
          </w:p>
        </w:tc>
      </w:tr>
      <w:tr>
        <w:tc>
          <w:tcPr/>
          <w:p>
            <w:pPr>
              <w:pStyle w:val="Compact"/>
              <w:jc w:val="left"/>
            </w:pPr>
            <w:r>
              <w:t xml:space="preserve">   200–500 ms, midline</w:t>
            </w:r>
          </w:p>
        </w:tc>
        <w:tc>
          <w:tcPr/>
          <w:p>
            <w:pPr>
              <w:pStyle w:val="Compact"/>
              <w:jc w:val="center"/>
            </w:pPr>
            <w:r>
              <w:t xml:space="preserve">17</w:t>
            </w:r>
          </w:p>
        </w:tc>
        <w:tc>
          <w:tcPr/>
          <w:p>
            <w:pPr>
              <w:pStyle w:val="Compact"/>
              <w:jc w:val="center"/>
            </w:pPr>
            <w:r>
              <w:t xml:space="preserve">1,040</w:t>
            </w:r>
          </w:p>
        </w:tc>
        <w:tc>
          <w:tcPr/>
          <w:p>
            <w:pPr>
              <w:pStyle w:val="Compact"/>
              <w:jc w:val="center"/>
            </w:pPr>
            <w:r>
              <w:t xml:space="preserve">580</w:t>
            </w:r>
          </w:p>
        </w:tc>
        <w:tc>
          <w:tcPr/>
          <w:p>
            <w:pPr>
              <w:pStyle w:val="Compact"/>
              <w:jc w:val="center"/>
            </w:pPr>
            <w:r>
              <w:t xml:space="preserve">−0.86</w:t>
            </w:r>
          </w:p>
        </w:tc>
        <w:tc>
          <w:tcPr/>
          <w:p>
            <w:pPr>
              <w:pStyle w:val="Compact"/>
              <w:jc w:val="center"/>
            </w:pPr>
            <w:r>
              <w:t xml:space="preserve">−1.88</w:t>
            </w:r>
          </w:p>
        </w:tc>
        <w:tc>
          <w:tcPr/>
          <w:p>
            <w:pPr>
              <w:pStyle w:val="Compact"/>
              <w:jc w:val="center"/>
            </w:pPr>
            <w:r>
              <w:t xml:space="preserve">⁠ ⁠ ⁠0.16</w:t>
            </w:r>
          </w:p>
        </w:tc>
        <w:tc>
          <w:tcPr/>
          <w:p>
            <w:pPr>
              <w:pStyle w:val="Compact"/>
              <w:jc w:val="left"/>
            </w:pPr>
            <w:r>
              <w:t xml:space="preserve">No</w:t>
            </w:r>
          </w:p>
        </w:tc>
      </w:tr>
      <w:tr>
        <w:tc>
          <w:tcPr/>
          <w:p>
            <w:pPr>
              <w:pStyle w:val="Compact"/>
              <w:jc w:val="left"/>
            </w:pPr>
            <w:r>
              <w:t xml:space="preserve">   300–600 ms, lateral</w:t>
            </w:r>
          </w:p>
        </w:tc>
        <w:tc>
          <w:tcPr/>
          <w:p>
            <w:pPr>
              <w:pStyle w:val="Compact"/>
              <w:jc w:val="center"/>
            </w:pPr>
            <w:r>
              <w:t xml:space="preserve">17</w:t>
            </w:r>
          </w:p>
        </w:tc>
        <w:tc>
          <w:tcPr/>
          <w:p>
            <w:pPr>
              <w:pStyle w:val="Compact"/>
              <w:jc w:val="center"/>
            </w:pPr>
            <w:r>
              <w:t xml:space="preserve">1,040</w:t>
            </w:r>
          </w:p>
        </w:tc>
        <w:tc>
          <w:tcPr/>
          <w:p>
            <w:pPr>
              <w:pStyle w:val="Compact"/>
              <w:jc w:val="center"/>
            </w:pPr>
            <w:r>
              <w:t xml:space="preserve">580</w:t>
            </w:r>
          </w:p>
        </w:tc>
        <w:tc>
          <w:tcPr/>
          <w:p>
            <w:pPr>
              <w:pStyle w:val="Compact"/>
              <w:jc w:val="center"/>
            </w:pPr>
            <w:r>
              <w:t xml:space="preserve">−0.33</w:t>
            </w:r>
          </w:p>
        </w:tc>
        <w:tc>
          <w:tcPr/>
          <w:p>
            <w:pPr>
              <w:pStyle w:val="Compact"/>
              <w:jc w:val="center"/>
            </w:pPr>
            <w:r>
              <w:t xml:space="preserve">−0.89</w:t>
            </w:r>
          </w:p>
        </w:tc>
        <w:tc>
          <w:tcPr/>
          <w:p>
            <w:pPr>
              <w:pStyle w:val="Compact"/>
              <w:jc w:val="center"/>
            </w:pPr>
            <w:r>
              <w:t xml:space="preserve">⁠ ⁠ ⁠0.23</w:t>
            </w:r>
          </w:p>
        </w:tc>
        <w:tc>
          <w:tcPr/>
          <w:p>
            <w:pPr>
              <w:pStyle w:val="Compact"/>
              <w:jc w:val="left"/>
            </w:pPr>
            <w:r>
              <w:t xml:space="preserve">Yes</w:t>
            </w:r>
          </w:p>
        </w:tc>
      </w:tr>
      <w:tr>
        <w:tc>
          <w:tcPr/>
          <w:p>
            <w:pPr>
              <w:pStyle w:val="Compact"/>
              <w:jc w:val="left"/>
            </w:pPr>
            <w:r>
              <w:t xml:space="preserve">   300–600 ms, midline</w:t>
            </w:r>
          </w:p>
        </w:tc>
        <w:tc>
          <w:tcPr/>
          <w:p>
            <w:pPr>
              <w:pStyle w:val="Compact"/>
              <w:jc w:val="center"/>
            </w:pPr>
            <w:r>
              <w:t xml:space="preserve">17</w:t>
            </w:r>
          </w:p>
        </w:tc>
        <w:tc>
          <w:tcPr/>
          <w:p>
            <w:pPr>
              <w:pStyle w:val="Compact"/>
              <w:jc w:val="center"/>
            </w:pPr>
            <w:r>
              <w:t xml:space="preserve">1,040</w:t>
            </w:r>
          </w:p>
        </w:tc>
        <w:tc>
          <w:tcPr/>
          <w:p>
            <w:pPr>
              <w:pStyle w:val="Compact"/>
              <w:jc w:val="center"/>
            </w:pPr>
            <w:r>
              <w:t xml:space="preserve">580</w:t>
            </w:r>
          </w:p>
        </w:tc>
        <w:tc>
          <w:tcPr/>
          <w:p>
            <w:pPr>
              <w:pStyle w:val="Compact"/>
              <w:jc w:val="center"/>
            </w:pPr>
            <w:r>
              <w:t xml:space="preserve">−0.59</w:t>
            </w:r>
          </w:p>
        </w:tc>
        <w:tc>
          <w:tcPr/>
          <w:p>
            <w:pPr>
              <w:pStyle w:val="Compact"/>
              <w:jc w:val="center"/>
            </w:pPr>
            <w:r>
              <w:t xml:space="preserve">−1.53</w:t>
            </w:r>
          </w:p>
        </w:tc>
        <w:tc>
          <w:tcPr/>
          <w:p>
            <w:pPr>
              <w:pStyle w:val="Compact"/>
              <w:jc w:val="center"/>
            </w:pPr>
            <w:r>
              <w:t xml:space="preserve">⁠ ⁠ ⁠0.34</w:t>
            </w:r>
          </w:p>
        </w:tc>
        <w:tc>
          <w:tcPr/>
          <w:p>
            <w:pPr>
              <w:pStyle w:val="Compact"/>
              <w:jc w:val="left"/>
            </w:pPr>
            <w:r>
              <w:t xml:space="preserve">No</w:t>
            </w:r>
          </w:p>
        </w:tc>
      </w:tr>
      <w:tr>
        <w:tc>
          <w:tcPr/>
          <w:p>
            <w:pPr>
              <w:pStyle w:val="Compact"/>
              <w:jc w:val="left"/>
            </w:pPr>
            <w:r>
              <w:t xml:space="preserve">   400–900 ms, lateral</w:t>
            </w:r>
          </w:p>
        </w:tc>
        <w:tc>
          <w:tcPr/>
          <w:p>
            <w:pPr>
              <w:pStyle w:val="Compact"/>
              <w:jc w:val="center"/>
            </w:pPr>
            <w:r>
              <w:t xml:space="preserve">17</w:t>
            </w:r>
          </w:p>
        </w:tc>
        <w:tc>
          <w:tcPr/>
          <w:p>
            <w:pPr>
              <w:pStyle w:val="Compact"/>
              <w:jc w:val="center"/>
            </w:pPr>
            <w:r>
              <w:t xml:space="preserve">1,040</w:t>
            </w:r>
          </w:p>
        </w:tc>
        <w:tc>
          <w:tcPr/>
          <w:p>
            <w:pPr>
              <w:pStyle w:val="Compact"/>
              <w:jc w:val="center"/>
            </w:pPr>
            <w:r>
              <w:t xml:space="preserve">580</w:t>
            </w:r>
          </w:p>
        </w:tc>
        <w:tc>
          <w:tcPr/>
          <w:p>
            <w:pPr>
              <w:pStyle w:val="Compact"/>
              <w:jc w:val="center"/>
            </w:pPr>
            <w:r>
              <w:t xml:space="preserve">−0.35</w:t>
            </w:r>
          </w:p>
        </w:tc>
        <w:tc>
          <w:tcPr/>
          <w:p>
            <w:pPr>
              <w:pStyle w:val="Compact"/>
              <w:jc w:val="center"/>
            </w:pPr>
            <w:r>
              <w:t xml:space="preserve">−0.97</w:t>
            </w:r>
          </w:p>
        </w:tc>
        <w:tc>
          <w:tcPr/>
          <w:p>
            <w:pPr>
              <w:pStyle w:val="Compact"/>
              <w:jc w:val="center"/>
            </w:pPr>
            <w:r>
              <w:t xml:space="preserve">⁠ ⁠ ⁠0.28</w:t>
            </w:r>
          </w:p>
        </w:tc>
        <w:tc>
          <w:tcPr/>
          <w:p>
            <w:pPr>
              <w:pStyle w:val="Compact"/>
              <w:jc w:val="left"/>
            </w:pPr>
            <w:r>
              <w:t xml:space="preserve">No</w:t>
            </w:r>
          </w:p>
        </w:tc>
      </w:tr>
      <w:tr>
        <w:tc>
          <w:tcPr/>
          <w:p>
            <w:pPr>
              <w:pStyle w:val="Compact"/>
              <w:jc w:val="left"/>
            </w:pPr>
            <w:r>
              <w:t xml:space="preserve">   400–900 ms, midline</w:t>
            </w:r>
          </w:p>
        </w:tc>
        <w:tc>
          <w:tcPr/>
          <w:p>
            <w:pPr>
              <w:pStyle w:val="Compact"/>
              <w:jc w:val="center"/>
            </w:pPr>
            <w:r>
              <w:t xml:space="preserve">17</w:t>
            </w:r>
          </w:p>
        </w:tc>
        <w:tc>
          <w:tcPr/>
          <w:p>
            <w:pPr>
              <w:pStyle w:val="Compact"/>
              <w:jc w:val="center"/>
            </w:pPr>
            <w:r>
              <w:t xml:space="preserve">1,040</w:t>
            </w:r>
          </w:p>
        </w:tc>
        <w:tc>
          <w:tcPr/>
          <w:p>
            <w:pPr>
              <w:pStyle w:val="Compact"/>
              <w:jc w:val="center"/>
            </w:pPr>
            <w:r>
              <w:t xml:space="preserve">580</w:t>
            </w:r>
          </w:p>
        </w:tc>
        <w:tc>
          <w:tcPr/>
          <w:p>
            <w:pPr>
              <w:pStyle w:val="Compact"/>
              <w:jc w:val="center"/>
            </w:pPr>
            <w:r>
              <w:t xml:space="preserve">−0.57</w:t>
            </w:r>
          </w:p>
        </w:tc>
        <w:tc>
          <w:tcPr/>
          <w:p>
            <w:pPr>
              <w:pStyle w:val="Compact"/>
              <w:jc w:val="center"/>
            </w:pPr>
            <w:r>
              <w:t xml:space="preserve">−1.47</w:t>
            </w:r>
          </w:p>
        </w:tc>
        <w:tc>
          <w:tcPr/>
          <w:p>
            <w:pPr>
              <w:pStyle w:val="Compact"/>
              <w:jc w:val="center"/>
            </w:pPr>
            <w:r>
              <w:t xml:space="preserve">⁠ ⁠ ⁠0.33</w:t>
            </w:r>
          </w:p>
        </w:tc>
        <w:tc>
          <w:tcPr/>
          <w:p>
            <w:pPr>
              <w:pStyle w:val="Compact"/>
              <w:jc w:val="left"/>
            </w:pPr>
            <w:r>
              <w:t xml:space="preserve">No</w:t>
            </w:r>
          </w:p>
        </w:tc>
      </w:tr>
      <w:tr>
        <w:tc>
          <w:tcPr>
            <w:gridSpan w:val="8"/>
          </w:tcPr>
          <w:p>
            <w:pPr>
              <w:pStyle w:val="Compact"/>
              <w:jc w:val="left"/>
            </w:pPr>
            <w:r>
              <w:rPr>
                <w:i/>
                <w:iCs/>
              </w:rPr>
              <w:t xml:space="preserve">Differential object marking</w:t>
            </w:r>
          </w:p>
        </w:tc>
      </w:tr>
      <w:tr>
        <w:tc>
          <w:tcPr/>
          <w:p>
            <w:pPr>
              <w:pStyle w:val="Compact"/>
              <w:jc w:val="left"/>
            </w:pPr>
            <w:r>
              <w:t xml:space="preserve">   200–500 ms, lateral</w:t>
            </w:r>
          </w:p>
        </w:tc>
        <w:tc>
          <w:tcPr/>
          <w:p>
            <w:pPr>
              <w:pStyle w:val="Compact"/>
              <w:jc w:val="center"/>
            </w:pPr>
            <w:r>
              <w:t xml:space="preserve">13</w:t>
            </w:r>
          </w:p>
        </w:tc>
        <w:tc>
          <w:tcPr/>
          <w:p>
            <w:pPr>
              <w:pStyle w:val="Compact"/>
              <w:jc w:val="center"/>
            </w:pPr>
            <w:r>
              <w:t xml:space="preserve">⁠ ⁠ ⁠805</w:t>
            </w:r>
          </w:p>
        </w:tc>
        <w:tc>
          <w:tcPr/>
          <w:p>
            <w:pPr>
              <w:pStyle w:val="Compact"/>
              <w:jc w:val="center"/>
            </w:pPr>
            <w:r>
              <w:t xml:space="preserve">440</w:t>
            </w:r>
          </w:p>
        </w:tc>
        <w:tc>
          <w:tcPr/>
          <w:p>
            <w:pPr>
              <w:pStyle w:val="Compact"/>
              <w:jc w:val="center"/>
            </w:pPr>
            <w:r>
              <w:t xml:space="preserve">⁠ ⁠ ⁠0.03</w:t>
            </w:r>
          </w:p>
        </w:tc>
        <w:tc>
          <w:tcPr/>
          <w:p>
            <w:pPr>
              <w:pStyle w:val="Compact"/>
              <w:jc w:val="center"/>
            </w:pPr>
            <w:r>
              <w:t xml:space="preserve">−0.75</w:t>
            </w:r>
          </w:p>
        </w:tc>
        <w:tc>
          <w:tcPr/>
          <w:p>
            <w:pPr>
              <w:pStyle w:val="Compact"/>
              <w:jc w:val="center"/>
            </w:pPr>
            <w:r>
              <w:t xml:space="preserve">⁠ ⁠ ⁠0.81</w:t>
            </w:r>
          </w:p>
        </w:tc>
        <w:tc>
          <w:tcPr/>
          <w:p>
            <w:pPr>
              <w:pStyle w:val="Compact"/>
              <w:jc w:val="left"/>
            </w:pPr>
            <w:r>
              <w:t xml:space="preserve">Yes</w:t>
            </w:r>
          </w:p>
        </w:tc>
      </w:tr>
      <w:tr>
        <w:tc>
          <w:tcPr/>
          <w:p>
            <w:pPr>
              <w:pStyle w:val="Compact"/>
              <w:jc w:val="left"/>
            </w:pPr>
            <w:r>
              <w:t xml:space="preserve">   200–500 ms, midline</w:t>
            </w:r>
          </w:p>
        </w:tc>
        <w:tc>
          <w:tcPr/>
          <w:p>
            <w:pPr>
              <w:pStyle w:val="Compact"/>
              <w:jc w:val="center"/>
            </w:pPr>
            <w:r>
              <w:t xml:space="preserve">13</w:t>
            </w:r>
          </w:p>
        </w:tc>
        <w:tc>
          <w:tcPr/>
          <w:p>
            <w:pPr>
              <w:pStyle w:val="Compact"/>
              <w:jc w:val="center"/>
            </w:pPr>
            <w:r>
              <w:t xml:space="preserve">⁠ ⁠ ⁠805</w:t>
            </w:r>
          </w:p>
        </w:tc>
        <w:tc>
          <w:tcPr/>
          <w:p>
            <w:pPr>
              <w:pStyle w:val="Compact"/>
              <w:jc w:val="center"/>
            </w:pPr>
            <w:r>
              <w:t xml:space="preserve">440</w:t>
            </w:r>
          </w:p>
        </w:tc>
        <w:tc>
          <w:tcPr/>
          <w:p>
            <w:pPr>
              <w:pStyle w:val="Compact"/>
              <w:jc w:val="center"/>
            </w:pPr>
            <w:r>
              <w:t xml:space="preserve">−0.32</w:t>
            </w:r>
          </w:p>
        </w:tc>
        <w:tc>
          <w:tcPr/>
          <w:p>
            <w:pPr>
              <w:pStyle w:val="Compact"/>
              <w:jc w:val="center"/>
            </w:pPr>
            <w:r>
              <w:t xml:space="preserve">−1.51</w:t>
            </w:r>
          </w:p>
        </w:tc>
        <w:tc>
          <w:tcPr/>
          <w:p>
            <w:pPr>
              <w:pStyle w:val="Compact"/>
              <w:jc w:val="center"/>
            </w:pPr>
            <w:r>
              <w:t xml:space="preserve">⁠ ⁠ ⁠0.87</w:t>
            </w:r>
          </w:p>
        </w:tc>
        <w:tc>
          <w:tcPr/>
          <w:p>
            <w:pPr>
              <w:pStyle w:val="Compact"/>
              <w:jc w:val="left"/>
            </w:pPr>
            <w:r>
              <w:t xml:space="preserve">No</w:t>
            </w:r>
          </w:p>
        </w:tc>
      </w:tr>
      <w:tr>
        <w:tc>
          <w:tcPr/>
          <w:p>
            <w:pPr>
              <w:pStyle w:val="Compact"/>
              <w:jc w:val="left"/>
            </w:pPr>
            <w:r>
              <w:t xml:space="preserve">   300–600 ms, lateral</w:t>
            </w:r>
          </w:p>
        </w:tc>
        <w:tc>
          <w:tcPr/>
          <w:p>
            <w:pPr>
              <w:pStyle w:val="Compact"/>
              <w:jc w:val="center"/>
            </w:pPr>
            <w:r>
              <w:t xml:space="preserve">13</w:t>
            </w:r>
          </w:p>
        </w:tc>
        <w:tc>
          <w:tcPr/>
          <w:p>
            <w:pPr>
              <w:pStyle w:val="Compact"/>
              <w:jc w:val="center"/>
            </w:pPr>
            <w:r>
              <w:t xml:space="preserve">⁠ ⁠ ⁠805</w:t>
            </w:r>
          </w:p>
        </w:tc>
        <w:tc>
          <w:tcPr/>
          <w:p>
            <w:pPr>
              <w:pStyle w:val="Compact"/>
              <w:jc w:val="center"/>
            </w:pPr>
            <w:r>
              <w:t xml:space="preserve">440</w:t>
            </w:r>
          </w:p>
        </w:tc>
        <w:tc>
          <w:tcPr/>
          <w:p>
            <w:pPr>
              <w:pStyle w:val="Compact"/>
              <w:jc w:val="center"/>
            </w:pPr>
            <w:r>
              <w:t xml:space="preserve">⁠ ⁠ ⁠0.02</w:t>
            </w:r>
          </w:p>
        </w:tc>
        <w:tc>
          <w:tcPr/>
          <w:p>
            <w:pPr>
              <w:pStyle w:val="Compact"/>
              <w:jc w:val="center"/>
            </w:pPr>
            <w:r>
              <w:t xml:space="preserve">−0.70</w:t>
            </w:r>
          </w:p>
        </w:tc>
        <w:tc>
          <w:tcPr/>
          <w:p>
            <w:pPr>
              <w:pStyle w:val="Compact"/>
              <w:jc w:val="center"/>
            </w:pPr>
            <w:r>
              <w:t xml:space="preserve">⁠ ⁠ ⁠0.74</w:t>
            </w:r>
          </w:p>
        </w:tc>
        <w:tc>
          <w:tcPr/>
          <w:p>
            <w:pPr>
              <w:pStyle w:val="Compact"/>
              <w:jc w:val="left"/>
            </w:pPr>
            <w:r>
              <w:t xml:space="preserve">Yes</w:t>
            </w:r>
          </w:p>
        </w:tc>
      </w:tr>
      <w:tr>
        <w:tc>
          <w:tcPr/>
          <w:p>
            <w:pPr>
              <w:pStyle w:val="Compact"/>
              <w:jc w:val="left"/>
            </w:pPr>
            <w:r>
              <w:t xml:space="preserve">   300–600 ms, midline</w:t>
            </w:r>
          </w:p>
        </w:tc>
        <w:tc>
          <w:tcPr/>
          <w:p>
            <w:pPr>
              <w:pStyle w:val="Compact"/>
              <w:jc w:val="center"/>
            </w:pPr>
            <w:r>
              <w:t xml:space="preserve">13</w:t>
            </w:r>
          </w:p>
        </w:tc>
        <w:tc>
          <w:tcPr/>
          <w:p>
            <w:pPr>
              <w:pStyle w:val="Compact"/>
              <w:jc w:val="center"/>
            </w:pPr>
            <w:r>
              <w:t xml:space="preserve">⁠ ⁠ ⁠805</w:t>
            </w:r>
          </w:p>
        </w:tc>
        <w:tc>
          <w:tcPr/>
          <w:p>
            <w:pPr>
              <w:pStyle w:val="Compact"/>
              <w:jc w:val="center"/>
            </w:pPr>
            <w:r>
              <w:t xml:space="preserve">440</w:t>
            </w:r>
          </w:p>
        </w:tc>
        <w:tc>
          <w:tcPr/>
          <w:p>
            <w:pPr>
              <w:pStyle w:val="Compact"/>
              <w:jc w:val="center"/>
            </w:pPr>
            <w:r>
              <w:t xml:space="preserve">−0.44</w:t>
            </w:r>
          </w:p>
        </w:tc>
        <w:tc>
          <w:tcPr/>
          <w:p>
            <w:pPr>
              <w:pStyle w:val="Compact"/>
              <w:jc w:val="center"/>
            </w:pPr>
            <w:r>
              <w:t xml:space="preserve">−1.69</w:t>
            </w:r>
          </w:p>
        </w:tc>
        <w:tc>
          <w:tcPr/>
          <w:p>
            <w:pPr>
              <w:pStyle w:val="Compact"/>
              <w:jc w:val="center"/>
            </w:pPr>
            <w:r>
              <w:t xml:space="preserve">⁠ ⁠ ⁠0.82</w:t>
            </w:r>
          </w:p>
        </w:tc>
        <w:tc>
          <w:tcPr/>
          <w:p>
            <w:pPr>
              <w:pStyle w:val="Compact"/>
              <w:jc w:val="left"/>
            </w:pPr>
            <w:r>
              <w:t xml:space="preserve">No</w:t>
            </w:r>
          </w:p>
        </w:tc>
      </w:tr>
      <w:tr>
        <w:tc>
          <w:tcPr/>
          <w:p>
            <w:pPr>
              <w:pStyle w:val="Compact"/>
              <w:jc w:val="left"/>
            </w:pPr>
            <w:r>
              <w:t xml:space="preserve">   400–900 ms, lateral</w:t>
            </w:r>
          </w:p>
        </w:tc>
        <w:tc>
          <w:tcPr/>
          <w:p>
            <w:pPr>
              <w:pStyle w:val="Compact"/>
              <w:jc w:val="center"/>
            </w:pPr>
            <w:r>
              <w:t xml:space="preserve">13</w:t>
            </w:r>
          </w:p>
        </w:tc>
        <w:tc>
          <w:tcPr/>
          <w:p>
            <w:pPr>
              <w:pStyle w:val="Compact"/>
              <w:jc w:val="center"/>
            </w:pPr>
            <w:r>
              <w:t xml:space="preserve">⁠ ⁠ ⁠805</w:t>
            </w:r>
          </w:p>
        </w:tc>
        <w:tc>
          <w:tcPr/>
          <w:p>
            <w:pPr>
              <w:pStyle w:val="Compact"/>
              <w:jc w:val="center"/>
            </w:pPr>
            <w:r>
              <w:t xml:space="preserve">440</w:t>
            </w:r>
          </w:p>
        </w:tc>
        <w:tc>
          <w:tcPr/>
          <w:p>
            <w:pPr>
              <w:pStyle w:val="Compact"/>
              <w:jc w:val="center"/>
            </w:pPr>
            <w:r>
              <w:t xml:space="preserve">⁠ ⁠ ⁠0.16</w:t>
            </w:r>
          </w:p>
        </w:tc>
        <w:tc>
          <w:tcPr/>
          <w:p>
            <w:pPr>
              <w:pStyle w:val="Compact"/>
              <w:jc w:val="center"/>
            </w:pPr>
            <w:r>
              <w:t xml:space="preserve">−0.64</w:t>
            </w:r>
          </w:p>
        </w:tc>
        <w:tc>
          <w:tcPr/>
          <w:p>
            <w:pPr>
              <w:pStyle w:val="Compact"/>
              <w:jc w:val="center"/>
            </w:pPr>
            <w:r>
              <w:t xml:space="preserve">⁠ ⁠ ⁠0.95</w:t>
            </w:r>
          </w:p>
        </w:tc>
        <w:tc>
          <w:tcPr/>
          <w:p>
            <w:pPr>
              <w:pStyle w:val="Compact"/>
              <w:jc w:val="left"/>
            </w:pPr>
            <w:r>
              <w:t xml:space="preserve">No</w:t>
            </w:r>
          </w:p>
        </w:tc>
      </w:tr>
      <w:tr>
        <w:tc>
          <w:tcPr/>
          <w:p>
            <w:pPr>
              <w:pStyle w:val="Compact"/>
              <w:jc w:val="left"/>
            </w:pPr>
            <w:r>
              <w:t xml:space="preserve">   400–900 ms, midline</w:t>
            </w:r>
          </w:p>
        </w:tc>
        <w:tc>
          <w:tcPr/>
          <w:p>
            <w:pPr>
              <w:pStyle w:val="Compact"/>
              <w:jc w:val="center"/>
            </w:pPr>
            <w:r>
              <w:t xml:space="preserve">13</w:t>
            </w:r>
          </w:p>
        </w:tc>
        <w:tc>
          <w:tcPr/>
          <w:p>
            <w:pPr>
              <w:pStyle w:val="Compact"/>
              <w:jc w:val="center"/>
            </w:pPr>
            <w:r>
              <w:t xml:space="preserve">⁠ ⁠ ⁠805</w:t>
            </w:r>
          </w:p>
        </w:tc>
        <w:tc>
          <w:tcPr/>
          <w:p>
            <w:pPr>
              <w:pStyle w:val="Compact"/>
              <w:jc w:val="center"/>
            </w:pPr>
            <w:r>
              <w:t xml:space="preserve">440</w:t>
            </w:r>
          </w:p>
        </w:tc>
        <w:tc>
          <w:tcPr/>
          <w:p>
            <w:pPr>
              <w:pStyle w:val="Compact"/>
              <w:jc w:val="center"/>
            </w:pPr>
            <w:r>
              <w:t xml:space="preserve">−0.09</w:t>
            </w:r>
          </w:p>
        </w:tc>
        <w:tc>
          <w:tcPr/>
          <w:p>
            <w:pPr>
              <w:pStyle w:val="Compact"/>
              <w:jc w:val="center"/>
            </w:pPr>
            <w:r>
              <w:t xml:space="preserve">−1.59</w:t>
            </w:r>
          </w:p>
        </w:tc>
        <w:tc>
          <w:tcPr/>
          <w:p>
            <w:pPr>
              <w:pStyle w:val="Compact"/>
              <w:jc w:val="center"/>
            </w:pPr>
            <w:r>
              <w:t xml:space="preserve">⁠ ⁠ ⁠1.40</w:t>
            </w:r>
          </w:p>
        </w:tc>
        <w:tc>
          <w:tcPr/>
          <w:p>
            <w:pPr>
              <w:pStyle w:val="Compact"/>
              <w:jc w:val="left"/>
            </w:pPr>
            <w:r>
              <w:t xml:space="preserve">No</w:t>
            </w:r>
          </w:p>
        </w:tc>
      </w:tr>
    </w:tbl>
    <w:bookmarkEnd w:id="404"/>
    <w:p>
      <w:pPr>
        <w:pStyle w:val="FigureNote"/>
      </w:pPr>
      <w:r>
        <w:rPr>
          <w:i/>
          <w:iCs/>
        </w:rPr>
        <w:t xml:space="preserve">Note</w:t>
      </w:r>
      <w:r>
        <w:t xml:space="preserve">.</w:t>
      </w:r>
      <w:r>
        <w:t xml:space="preserve"> </w:t>
      </w:r>
      <w:r>
        <w:rPr>
          <w:i/>
          <w:iCs/>
        </w:rPr>
        <w:t xml:space="preserve">D</w:t>
      </w:r>
      <w:r>
        <w:t xml:space="preserve"> = difference between the trials the five-sample trigger rule discards and the trials it keeps in the ungrammatical-minus-grammatical contrast of the window mean (µV), locked to the word-onset trigger and adjusted for the pre-stimulus baseline within each recording, averaged over recordings with equal weight.</w:t>
      </w:r>
      <w:r>
        <w:t xml:space="preserve"> </w:t>
      </w:r>
      <w:r>
        <w:rPr>
          <w:i/>
          <w:iCs/>
        </w:rPr>
        <w:t xml:space="preserve">k</w:t>
      </w:r>
      <w:r>
        <w:t xml:space="preserve"> </w:t>
      </w:r>
      <w:r>
        <w:t xml:space="preserve">= recordings; Kept and Discarded = grammatical and ungrammatical trials in each set.</w:t>
      </w:r>
      <w:r>
        <w:t xml:space="preserve"> </w:t>
      </w:r>
      <w:r>
        <w:rPr>
          <w:i/>
          <w:iCs/>
        </w:rPr>
        <w:t xml:space="preserve">LL</w:t>
      </w:r>
      <w:r>
        <w:t xml:space="preserve"> </w:t>
      </w:r>
      <w:r>
        <w:t xml:space="preserve">and</w:t>
      </w:r>
      <w:r>
        <w:t xml:space="preserve"> </w:t>
      </w:r>
      <w:r>
        <w:rPr>
          <w:i/>
          <w:iCs/>
        </w:rPr>
        <w:t xml:space="preserve">UL</w:t>
      </w:r>
      <w:r>
        <w:t xml:space="preserve"> </w:t>
      </w:r>
      <w:r>
        <w:t xml:space="preserve">= limits of the 90% interval of the two one-sided tests; a cell passes where both lie within ±0.91 µV. Gender agreement is recorded at Sessions 2 and 3 and differential object marking at Session 3, so the two properties draw on different recordings.</w:t>
      </w:r>
    </w:p>
    <w:bookmarkEnd w:id="405"/>
    <w:bookmarkStart w:id="406" w:name="the-decoding-correction-family"/>
    <w:p>
      <w:pPr>
        <w:pStyle w:val="Heading2"/>
      </w:pPr>
      <w:r>
        <w:t xml:space="preserve">The decoding correction family</w:t>
      </w:r>
    </w:p>
    <w:p>
      <w:pPr>
        <w:pStyle w:val="FirstParagraph"/>
      </w:pPr>
      <w:r>
        <w:t xml:space="preserve">The Method states how the second layer of multiplicity control on the decoding analyses</w:t>
      </w:r>
      <w:r>
        <w:t xml:space="preserve"> </w:t>
      </w:r>
      <w:r>
        <w:t xml:space="preserve">is defined. Correcting instead across the pooled, per-session and</w:t>
      </w:r>
      <w:r>
        <w:t xml:space="preserve"> </w:t>
      </w:r>
      <w:r>
        <w:t xml:space="preserve">per-session-by-language cells of one property would span nested, overlapping re-analyses</w:t>
      </w:r>
      <w:r>
        <w:t xml:space="preserve"> </w:t>
      </w:r>
      <w:r>
        <w:t xml:space="preserve">of the same trials. Across those, the number of hypotheses is not well defined, and the</w:t>
      </w:r>
      <w:r>
        <w:t xml:space="preserve"> </w:t>
      </w:r>
      <w:r>
        <w:t xml:space="preserve">positive-dependence condition that licenses Benjamini–Hochberg under dependence cannot</w:t>
      </w:r>
      <w:r>
        <w:t xml:space="preserve"> </w:t>
      </w:r>
      <w:r>
        <w:t xml:space="preserve">be established. A false-discovery rate computed over such a family is not interpretable.</w:t>
      </w:r>
      <w:r>
        <w:t xml:space="preserve"> </w:t>
      </w:r>
      <w:r>
        <w:t xml:space="preserve">The three properties’ pooled time-courses rest on disjoint sets of trials, and correcting</w:t>
      </w:r>
      <w:r>
        <w:t xml:space="preserve"> </w:t>
      </w:r>
      <w:r>
        <w:t xml:space="preserve">each property’s family separately keeps every family self-contained.</w:t>
      </w:r>
    </w:p>
    <w:p>
      <w:pPr>
        <w:pStyle w:val="BodyText"/>
      </w:pPr>
      <w:r>
        <w:t xml:space="preserve">Within a property, the second layer adds no error control to the maximum-cluster test.</w:t>
      </w:r>
      <w:r>
        <w:t xml:space="preserve"> </w:t>
      </w:r>
      <w:r>
        <w:t xml:space="preserve">That test controls the family-wise error rate across the time-course, in the sense the</w:t>
      </w:r>
      <w:r>
        <w:t xml:space="preserve"> </w:t>
      </w:r>
      <w:r>
        <w:t xml:space="preserve">Results describe, and the false-discovery rate cannot exceed it. A Benjamini–Hochberg</w:t>
      </w:r>
      <w:r>
        <w:t xml:space="preserve"> </w:t>
      </w:r>
      <w:r>
        <w:t xml:space="preserve">adjustment never lowers a</w:t>
      </w:r>
      <w:r>
        <w:t xml:space="preserve"> </w:t>
      </w:r>
      <m:oMath>
        <m:r>
          <m:t>p</m:t>
        </m:r>
      </m:oMath>
      <w:r>
        <w:t xml:space="preserve"> </w:t>
      </w:r>
      <w:r>
        <w:t xml:space="preserve">value, so applied to these values it can only remove</w:t>
      </w:r>
      <w:r>
        <w:t xml:space="preserve"> </w:t>
      </w:r>
      <w:r>
        <w:t xml:space="preserve">clusters. The layer was specified, and stated in the Method, before the decoding of the</w:t>
      </w:r>
      <w:r>
        <w:t xml:space="preserve"> </w:t>
      </w:r>
      <w:r>
        <w:t xml:space="preserve">corrected sample was run. That it adds no error control was noted in an audit of the</w:t>
      </w:r>
      <w:r>
        <w:t xml:space="preserve"> </w:t>
      </w:r>
      <w:r>
        <w:t xml:space="preserve">analysis code before that run, and the decision to keep it was taken once the corrected</w:t>
      </w:r>
      <w:r>
        <w:t xml:space="preserve"> </w:t>
      </w:r>
      <w:r>
        <w:t xml:space="preserve">results were available. We keep it so that no decision rests on a correction chosen after</w:t>
      </w:r>
      <w:r>
        <w:t xml:space="preserve"> </w:t>
      </w:r>
      <w:r>
        <w:t xml:space="preserve">those results were seen. Its cost is visible wherever it matters, because the clusters that</w:t>
      </w:r>
      <w:r>
        <w:t xml:space="preserve"> </w:t>
      </w:r>
      <w:r>
        <w:t xml:space="preserve">pass the maximum-cluster test are reported beside those that survive both layers. For</w:t>
      </w:r>
      <w:r>
        <w:t xml:space="preserve"> </w:t>
      </w:r>
      <w:r>
        <w:t xml:space="preserve">gender agreement, it is what separates four clusters</w:t>
      </w:r>
      <w:r>
        <w:t xml:space="preserve"> </w:t>
      </w:r>
      <w:r>
        <w:t xml:space="preserve">that pass the first test from none that survive both. With its 17 confirmatory clusters, the smallest cluster-level</w:t>
      </w:r>
      <w:r>
        <w:t xml:space="preserve"> </w:t>
      </w:r>
      <m:oMath>
        <m:r>
          <m:t>p</m:t>
        </m:r>
        <m:r>
          <m:rPr>
            <m:sty m:val="p"/>
          </m:rPr>
          <m:t>=</m:t>
        </m:r>
        <m:r>
          <m:t>.003</m:t>
        </m:r>
      </m:oMath>
      <w:r>
        <w:t xml:space="preserve"> </w:t>
      </w:r>
      <w:r>
        <w:t xml:space="preserve">becomes</w:t>
      </w:r>
      <w:r>
        <w:t xml:space="preserve"> </w:t>
      </w:r>
      <m:oMath>
        <m:r>
          <m:t>q</m:t>
        </m:r>
        <m:r>
          <m:rPr>
            <m:sty m:val="p"/>
          </m:rPr>
          <m:t>=</m:t>
        </m:r>
        <m:r>
          <m:t>.051</m:t>
        </m:r>
      </m:oMath>
      <w:r>
        <w:t xml:space="preserve">.</w:t>
      </w:r>
      <w:r>
        <w:t xml:space="preserve"> </w:t>
      </w:r>
      <w:r>
        <w:t xml:space="preserve">The family itself was narrowed to the pooled time-course in July 2026, after a run under</w:t>
      </w:r>
      <w:r>
        <w:t xml:space="preserve"> </w:t>
      </w:r>
      <w:r>
        <w:t xml:space="preserve">the wider family had been inspected, for the reasons given above.</w:t>
      </w:r>
    </w:p>
    <w:p>
      <w:r>
        <w:br w:type="page"/>
      </w:r>
    </w:p>
    <w:bookmarkEnd w:id="406"/>
    <w:bookmarkEnd w:id="407"/>
    <w:p>
      <w:pPr>
        <w:pStyle w:val="Heading1"/>
      </w:pPr>
      <w:r>
        <w:t xml:space="preserve">Appendix B</w:t>
      </w:r>
    </w:p>
    <w:bookmarkStart w:id="411" w:name="apx-retention-tables"/>
    <w:p>
      <w:pPr>
        <w:pStyle w:val="Heading1"/>
      </w:pPr>
      <w:r>
        <w:t xml:space="preserve">Retention contrasts in full</w:t>
      </w:r>
    </w:p>
    <w:p>
      <w:pPr>
        <w:pStyle w:val="FirstParagraph"/>
      </w:pPr>
      <w:r>
        <w:t xml:space="preserve">The Results report the contrasts that carry the argument. The three tables below give the</w:t>
      </w:r>
      <w:r>
        <w:t xml:space="preserve"> </w:t>
      </w:r>
      <w:r>
        <w:t xml:space="preserve">full record: every Session 4 to Session 6 contrast of the reported ERP models</w:t>
      </w:r>
      <w:r>
        <w:t xml:space="preserve"> </w:t>
      </w:r>
      <w:r>
        <w:t xml:space="preserve">(</w:t>
      </w:r>
      <w:hyperlink w:anchor="tbl-retention">
        <w:r>
          <w:rPr>
            <w:rStyle w:val="Hyperlink"/>
          </w:rPr>
          <w:t xml:space="preserve">Table B1</w:t>
        </w:r>
      </w:hyperlink>
      <w:r>
        <w:t xml:space="preserve">), every retention-free contrast from the refits that carry an explicit</w:t>
      </w:r>
      <w:r>
        <w:t xml:space="preserve"> </w:t>
      </w:r>
      <w:r>
        <w:t xml:space="preserve">retention indicator (</w:t>
      </w:r>
      <w:hyperlink w:anchor="tbl-retention-free">
        <w:r>
          <w:rPr>
            <w:rStyle w:val="Hyperlink"/>
          </w:rPr>
          <w:t xml:space="preserve">Table B2</w:t>
        </w:r>
      </w:hyperlink>
      <w:r>
        <w:t xml:space="preserve">), and the sensitivity and criterion contrasts</w:t>
      </w:r>
      <w:r>
        <w:t xml:space="preserve"> </w:t>
      </w:r>
      <w:r>
        <w:t xml:space="preserve">derived from the judgement models (</w:t>
      </w:r>
      <w:hyperlink w:anchor="tbl-sdt-contrasts">
        <w:r>
          <w:rPr>
            <w:rStyle w:val="Hyperlink"/>
          </w:rPr>
          <w:t xml:space="preserve">Table B3</w:t>
        </w:r>
      </w:hyperlink>
      <w:r>
        <w:t xml:space="preserve">). All three are read from the pooled</w:t>
      </w:r>
      <w:r>
        <w:t xml:space="preserve"> </w:t>
      </w:r>
      <w:r>
        <w:t xml:space="preserve">summary artefacts and reproduce with them.</w:t>
      </w:r>
    </w:p>
    <w:bookmarkStart w:id="408" w:name="tbl-retention"/>
    <w:p>
      <w:pPr>
        <w:pStyle w:val="FigureTitle"/>
      </w:pPr>
      <w:r>
        <w:t xml:space="preserve">Table B1</w:t>
      </w:r>
    </w:p>
    <w:p>
      <w:pPr>
        <w:pStyle w:val="Caption"/>
      </w:pPr>
      <w:r>
        <w:t xml:space="preserve">Change in the ERP Grammaticality Effect From Session 4 to Session 6</w:t>
      </w:r>
    </w:p>
    <w:tbl>
      <w:tblPr>
        <w:tblStyle w:val="Table"/>
        <w:tblW w:type="pct" w:w="4995"/>
        <w:tblLayout w:type="fixed"/>
        <w:tblLook w:firstRow="1" w:lastRow="0" w:firstColumn="0" w:lastColumn="0" w:noHBand="0" w:noVBand="0" w:val="0020"/>
      </w:tblPr>
      <w:tblGrid>
        <w:gridCol w:w="1813"/>
        <w:gridCol w:w="795"/>
        <w:gridCol w:w="795"/>
        <w:gridCol w:w="795"/>
        <w:gridCol w:w="661"/>
        <w:gridCol w:w="795"/>
        <w:gridCol w:w="795"/>
        <w:gridCol w:w="795"/>
        <w:gridCol w:w="661"/>
      </w:tblGrid>
      <w:tr>
        <w:trPr>
          <w:tblHeader w:val="on"/>
        </w:trPr>
        <w:tc>
          <w:tcPr/>
          <w:p>
            <w:pPr>
              <w:pStyle w:val="Compact"/>
            </w:pPr>
          </w:p>
        </w:tc>
        <w:tc>
          <w:tcPr>
            <w:gridSpan w:val="4"/>
          </w:tcPr>
          <w:p>
            <w:pPr>
              <w:pStyle w:val="Compact"/>
              <w:jc w:val="center"/>
            </w:pPr>
            <w:r>
              <w:t xml:space="preserve">Lateral</w:t>
            </w:r>
          </w:p>
        </w:tc>
        <w:tc>
          <w:tcPr>
            <w:gridSpan w:val="4"/>
          </w:tcPr>
          <w:p>
            <w:pPr>
              <w:pStyle w:val="Compact"/>
              <w:jc w:val="center"/>
            </w:pPr>
            <w:r>
              <w:t xml:space="preserve">Midline</w:t>
            </w:r>
          </w:p>
        </w:tc>
      </w:tr>
      <w:tr>
        <w:trPr>
          <w:tblHeader w:val="on"/>
        </w:trPr>
        <w:tc>
          <w:tcPr/>
          <w:p>
            <w:pPr>
              <w:pStyle w:val="Compact"/>
              <w:jc w:val="left"/>
            </w:pPr>
            <w:r>
              <w:t xml:space="preserve">Contrast</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center"/>
            </w:pPr>
            <w:r>
              <w:rPr>
                <w:i/>
                <w:iCs/>
              </w:rPr>
              <w:t xml:space="preserve">p</w:t>
            </w:r>
            <w:r>
              <w:rPr>
                <w:vertAlign w:val="subscript"/>
              </w:rPr>
              <w:t xml:space="preserve">d</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center"/>
            </w:pPr>
            <w:r>
              <w:rPr>
                <w:i/>
                <w:iCs/>
              </w:rPr>
              <w:t xml:space="preserve">p</w:t>
            </w:r>
            <w:r>
              <w:rPr>
                <w:vertAlign w:val="subscript"/>
              </w:rPr>
              <w:t xml:space="preserve">d</w:t>
            </w:r>
          </w:p>
        </w:tc>
      </w:tr>
      <w:tr>
        <w:tc>
          <w:tcPr>
            <w:gridSpan w:val="9"/>
          </w:tcPr>
          <w:p>
            <w:pPr>
              <w:pStyle w:val="Compact"/>
              <w:jc w:val="left"/>
            </w:pPr>
            <w:r>
              <w:rPr>
                <w:i/>
                <w:iCs/>
              </w:rPr>
              <w:t xml:space="preserve">Gender agreement</w:t>
            </w:r>
          </w:p>
        </w:tc>
      </w:tr>
      <w:tr>
        <w:tc>
          <w:tcPr>
            <w:gridSpan w:val="9"/>
          </w:tcPr>
          <w:p>
            <w:pPr>
              <w:pStyle w:val="Compact"/>
              <w:jc w:val="left"/>
            </w:pPr>
            <w:r>
              <w:t xml:space="preserve">   200–500 ms</w:t>
            </w:r>
          </w:p>
        </w:tc>
      </w:tr>
      <w:tr>
        <w:tc>
          <w:tcPr/>
          <w:p>
            <w:pPr>
              <w:pStyle w:val="Compact"/>
              <w:jc w:val="left"/>
            </w:pPr>
            <w:r>
              <w:t xml:space="preserve">      Overall</w:t>
            </w:r>
          </w:p>
        </w:tc>
        <w:tc>
          <w:tcPr/>
          <w:p>
            <w:pPr>
              <w:pStyle w:val="Compact"/>
              <w:jc w:val="center"/>
            </w:pPr>
            <w:r>
              <w:t xml:space="preserve">⁠ ⁠ ⁠0.0052</w:t>
            </w:r>
          </w:p>
        </w:tc>
        <w:tc>
          <w:tcPr/>
          <w:p>
            <w:pPr>
              <w:pStyle w:val="Compact"/>
              <w:jc w:val="center"/>
            </w:pPr>
            <w:r>
              <w:t xml:space="preserve">−0.0096</w:t>
            </w:r>
          </w:p>
        </w:tc>
        <w:tc>
          <w:tcPr/>
          <w:p>
            <w:pPr>
              <w:pStyle w:val="Compact"/>
              <w:jc w:val="center"/>
            </w:pPr>
            <w:r>
              <w:t xml:space="preserve">0.0199</w:t>
            </w:r>
          </w:p>
        </w:tc>
        <w:tc>
          <w:tcPr/>
          <w:p>
            <w:pPr>
              <w:pStyle w:val="Compact"/>
              <w:jc w:val="center"/>
            </w:pPr>
            <w:r>
              <w:t xml:space="preserve">.76⁠ ⁠</w:t>
            </w:r>
          </w:p>
        </w:tc>
        <w:tc>
          <w:tcPr/>
          <w:p>
            <w:pPr>
              <w:pStyle w:val="Compact"/>
              <w:jc w:val="center"/>
            </w:pPr>
            <w:r>
              <w:t xml:space="preserve">−0.0005</w:t>
            </w:r>
          </w:p>
        </w:tc>
        <w:tc>
          <w:tcPr/>
          <w:p>
            <w:pPr>
              <w:pStyle w:val="Compact"/>
              <w:jc w:val="center"/>
            </w:pPr>
            <w:r>
              <w:t xml:space="preserve">−0.0170</w:t>
            </w:r>
          </w:p>
        </w:tc>
        <w:tc>
          <w:tcPr/>
          <w:p>
            <w:pPr>
              <w:pStyle w:val="Compact"/>
              <w:jc w:val="center"/>
            </w:pPr>
            <w:r>
              <w:t xml:space="preserve">0.0158</w:t>
            </w:r>
          </w:p>
        </w:tc>
        <w:tc>
          <w:tcPr/>
          <w:p>
            <w:pPr>
              <w:pStyle w:val="Compact"/>
              <w:jc w:val="center"/>
            </w:pPr>
            <w:r>
              <w:t xml:space="preserve">.52</w:t>
            </w:r>
          </w:p>
        </w:tc>
      </w:tr>
      <w:tr>
        <w:tc>
          <w:tcPr/>
          <w:p>
            <w:pPr>
              <w:pStyle w:val="Compact"/>
              <w:jc w:val="left"/>
            </w:pPr>
            <w:r>
              <w:t xml:space="preserve">      Mini-Norwegian</w:t>
            </w:r>
          </w:p>
        </w:tc>
        <w:tc>
          <w:tcPr/>
          <w:p>
            <w:pPr>
              <w:pStyle w:val="Compact"/>
              <w:jc w:val="center"/>
            </w:pPr>
            <w:r>
              <w:t xml:space="preserve">⁠ ⁠ ⁠0.0070</w:t>
            </w:r>
          </w:p>
        </w:tc>
        <w:tc>
          <w:tcPr/>
          <w:p>
            <w:pPr>
              <w:pStyle w:val="Compact"/>
              <w:jc w:val="center"/>
            </w:pPr>
            <w:r>
              <w:t xml:space="preserve">−0.0143</w:t>
            </w:r>
          </w:p>
        </w:tc>
        <w:tc>
          <w:tcPr/>
          <w:p>
            <w:pPr>
              <w:pStyle w:val="Compact"/>
              <w:jc w:val="center"/>
            </w:pPr>
            <w:r>
              <w:t xml:space="preserve">0.0286</w:t>
            </w:r>
          </w:p>
        </w:tc>
        <w:tc>
          <w:tcPr/>
          <w:p>
            <w:pPr>
              <w:pStyle w:val="Compact"/>
              <w:jc w:val="center"/>
            </w:pPr>
            <w:r>
              <w:t xml:space="preserve">.74⁠ ⁠</w:t>
            </w:r>
          </w:p>
        </w:tc>
        <w:tc>
          <w:tcPr/>
          <w:p>
            <w:pPr>
              <w:pStyle w:val="Compact"/>
              <w:jc w:val="center"/>
            </w:pPr>
            <w:r>
              <w:t xml:space="preserve">⁠ ⁠ ⁠0.0046</w:t>
            </w:r>
          </w:p>
        </w:tc>
        <w:tc>
          <w:tcPr/>
          <w:p>
            <w:pPr>
              <w:pStyle w:val="Compact"/>
              <w:jc w:val="center"/>
            </w:pPr>
            <w:r>
              <w:t xml:space="preserve">−0.0194</w:t>
            </w:r>
          </w:p>
        </w:tc>
        <w:tc>
          <w:tcPr/>
          <w:p>
            <w:pPr>
              <w:pStyle w:val="Compact"/>
              <w:jc w:val="center"/>
            </w:pPr>
            <w:r>
              <w:t xml:space="preserve">0.0286</w:t>
            </w:r>
          </w:p>
        </w:tc>
        <w:tc>
          <w:tcPr/>
          <w:p>
            <w:pPr>
              <w:pStyle w:val="Compact"/>
              <w:jc w:val="center"/>
            </w:pPr>
            <w:r>
              <w:t xml:space="preserve">.65</w:t>
            </w:r>
          </w:p>
        </w:tc>
      </w:tr>
      <w:tr>
        <w:tc>
          <w:tcPr/>
          <w:p>
            <w:pPr>
              <w:pStyle w:val="Compact"/>
              <w:jc w:val="left"/>
            </w:pPr>
            <w:r>
              <w:t xml:space="preserve">      Mini-English</w:t>
            </w:r>
          </w:p>
        </w:tc>
        <w:tc>
          <w:tcPr/>
          <w:p>
            <w:pPr>
              <w:pStyle w:val="Compact"/>
              <w:jc w:val="center"/>
            </w:pPr>
            <w:r>
              <w:t xml:space="preserve">⁠ ⁠ ⁠0.0035</w:t>
            </w:r>
          </w:p>
        </w:tc>
        <w:tc>
          <w:tcPr/>
          <w:p>
            <w:pPr>
              <w:pStyle w:val="Compact"/>
              <w:jc w:val="center"/>
            </w:pPr>
            <w:r>
              <w:t xml:space="preserve">−0.0166</w:t>
            </w:r>
          </w:p>
        </w:tc>
        <w:tc>
          <w:tcPr/>
          <w:p>
            <w:pPr>
              <w:pStyle w:val="Compact"/>
              <w:jc w:val="center"/>
            </w:pPr>
            <w:r>
              <w:t xml:space="preserve">0.0237</w:t>
            </w:r>
          </w:p>
        </w:tc>
        <w:tc>
          <w:tcPr/>
          <w:p>
            <w:pPr>
              <w:pStyle w:val="Compact"/>
              <w:jc w:val="center"/>
            </w:pPr>
            <w:r>
              <w:t xml:space="preserve">.63⁠ ⁠</w:t>
            </w:r>
          </w:p>
        </w:tc>
        <w:tc>
          <w:tcPr/>
          <w:p>
            <w:pPr>
              <w:pStyle w:val="Compact"/>
              <w:jc w:val="center"/>
            </w:pPr>
            <w:r>
              <w:t xml:space="preserve">−0.0053</w:t>
            </w:r>
          </w:p>
        </w:tc>
        <w:tc>
          <w:tcPr/>
          <w:p>
            <w:pPr>
              <w:pStyle w:val="Compact"/>
              <w:jc w:val="center"/>
            </w:pPr>
            <w:r>
              <w:t xml:space="preserve">−0.0277</w:t>
            </w:r>
          </w:p>
        </w:tc>
        <w:tc>
          <w:tcPr/>
          <w:p>
            <w:pPr>
              <w:pStyle w:val="Compact"/>
              <w:jc w:val="center"/>
            </w:pPr>
            <w:r>
              <w:t xml:space="preserve">0.0171</w:t>
            </w:r>
          </w:p>
        </w:tc>
        <w:tc>
          <w:tcPr/>
          <w:p>
            <w:pPr>
              <w:pStyle w:val="Compact"/>
              <w:jc w:val="center"/>
            </w:pPr>
            <w:r>
              <w:t xml:space="preserve">.68</w:t>
            </w:r>
          </w:p>
        </w:tc>
      </w:tr>
      <w:tr>
        <w:tc>
          <w:tcPr/>
          <w:p>
            <w:pPr>
              <w:pStyle w:val="Compact"/>
              <w:jc w:val="left"/>
            </w:pPr>
            <w:r>
              <w:t xml:space="preserve">      Group difference</w:t>
            </w:r>
          </w:p>
        </w:tc>
        <w:tc>
          <w:tcPr/>
          <w:p>
            <w:pPr>
              <w:pStyle w:val="Compact"/>
              <w:jc w:val="center"/>
            </w:pPr>
            <w:r>
              <w:t xml:space="preserve">⁠ ⁠ ⁠0.0036</w:t>
            </w:r>
          </w:p>
        </w:tc>
        <w:tc>
          <w:tcPr/>
          <w:p>
            <w:pPr>
              <w:pStyle w:val="Compact"/>
              <w:jc w:val="center"/>
            </w:pPr>
            <w:r>
              <w:t xml:space="preserve">−0.0262</w:t>
            </w:r>
          </w:p>
        </w:tc>
        <w:tc>
          <w:tcPr/>
          <w:p>
            <w:pPr>
              <w:pStyle w:val="Compact"/>
              <w:jc w:val="center"/>
            </w:pPr>
            <w:r>
              <w:t xml:space="preserve">0.0327</w:t>
            </w:r>
          </w:p>
        </w:tc>
        <w:tc>
          <w:tcPr/>
          <w:p>
            <w:pPr>
              <w:pStyle w:val="Compact"/>
              <w:jc w:val="center"/>
            </w:pPr>
            <w:r>
              <w:t xml:space="preserve">.59⁠ ⁠</w:t>
            </w:r>
          </w:p>
        </w:tc>
        <w:tc>
          <w:tcPr/>
          <w:p>
            <w:pPr>
              <w:pStyle w:val="Compact"/>
              <w:jc w:val="center"/>
            </w:pPr>
            <w:r>
              <w:t xml:space="preserve">⁠ ⁠ ⁠0.0099</w:t>
            </w:r>
          </w:p>
        </w:tc>
        <w:tc>
          <w:tcPr/>
          <w:p>
            <w:pPr>
              <w:pStyle w:val="Compact"/>
              <w:jc w:val="center"/>
            </w:pPr>
            <w:r>
              <w:t xml:space="preserve">−0.0233</w:t>
            </w:r>
          </w:p>
        </w:tc>
        <w:tc>
          <w:tcPr/>
          <w:p>
            <w:pPr>
              <w:pStyle w:val="Compact"/>
              <w:jc w:val="center"/>
            </w:pPr>
            <w:r>
              <w:t xml:space="preserve">0.0430</w:t>
            </w:r>
          </w:p>
        </w:tc>
        <w:tc>
          <w:tcPr/>
          <w:p>
            <w:pPr>
              <w:pStyle w:val="Compact"/>
              <w:jc w:val="center"/>
            </w:pPr>
            <w:r>
              <w:t xml:space="preserve">.72</w:t>
            </w:r>
          </w:p>
        </w:tc>
      </w:tr>
      <w:tr>
        <w:tc>
          <w:tcPr>
            <w:gridSpan w:val="9"/>
          </w:tcPr>
          <w:p>
            <w:pPr>
              <w:pStyle w:val="Compact"/>
              <w:jc w:val="left"/>
            </w:pPr>
            <w:r>
              <w:t xml:space="preserve">   300–600 ms</w:t>
            </w:r>
          </w:p>
        </w:tc>
      </w:tr>
      <w:tr>
        <w:tc>
          <w:tcPr/>
          <w:p>
            <w:pPr>
              <w:pStyle w:val="Compact"/>
              <w:jc w:val="left"/>
            </w:pPr>
            <w:r>
              <w:t xml:space="preserve">      Overall</w:t>
            </w:r>
          </w:p>
        </w:tc>
        <w:tc>
          <w:tcPr/>
          <w:p>
            <w:pPr>
              <w:pStyle w:val="Compact"/>
              <w:jc w:val="center"/>
            </w:pPr>
            <w:r>
              <w:t xml:space="preserve">⁠ ⁠ ⁠0.0107</w:t>
            </w:r>
          </w:p>
        </w:tc>
        <w:tc>
          <w:tcPr/>
          <w:p>
            <w:pPr>
              <w:pStyle w:val="Compact"/>
              <w:jc w:val="center"/>
            </w:pPr>
            <w:r>
              <w:t xml:space="preserve">−0.0048</w:t>
            </w:r>
          </w:p>
        </w:tc>
        <w:tc>
          <w:tcPr/>
          <w:p>
            <w:pPr>
              <w:pStyle w:val="Compact"/>
              <w:jc w:val="center"/>
            </w:pPr>
            <w:r>
              <w:t xml:space="preserve">0.0260</w:t>
            </w:r>
          </w:p>
        </w:tc>
        <w:tc>
          <w:tcPr/>
          <w:p>
            <w:pPr>
              <w:pStyle w:val="Compact"/>
              <w:jc w:val="center"/>
            </w:pPr>
            <w:r>
              <w:t xml:space="preserve">.91⁠ ⁠</w:t>
            </w:r>
          </w:p>
        </w:tc>
        <w:tc>
          <w:tcPr/>
          <w:p>
            <w:pPr>
              <w:pStyle w:val="Compact"/>
              <w:jc w:val="center"/>
            </w:pPr>
            <w:r>
              <w:t xml:space="preserve">⁠ ⁠ ⁠0.0055</w:t>
            </w:r>
          </w:p>
        </w:tc>
        <w:tc>
          <w:tcPr/>
          <w:p>
            <w:pPr>
              <w:pStyle w:val="Compact"/>
              <w:jc w:val="center"/>
            </w:pPr>
            <w:r>
              <w:t xml:space="preserve">−0.0112</w:t>
            </w:r>
          </w:p>
        </w:tc>
        <w:tc>
          <w:tcPr/>
          <w:p>
            <w:pPr>
              <w:pStyle w:val="Compact"/>
              <w:jc w:val="center"/>
            </w:pPr>
            <w:r>
              <w:t xml:space="preserve">0.0222</w:t>
            </w:r>
          </w:p>
        </w:tc>
        <w:tc>
          <w:tcPr/>
          <w:p>
            <w:pPr>
              <w:pStyle w:val="Compact"/>
              <w:jc w:val="center"/>
            </w:pPr>
            <w:r>
              <w:t xml:space="preserve">.74</w:t>
            </w:r>
          </w:p>
        </w:tc>
      </w:tr>
      <w:tr>
        <w:tc>
          <w:tcPr/>
          <w:p>
            <w:pPr>
              <w:pStyle w:val="Compact"/>
              <w:jc w:val="left"/>
            </w:pPr>
            <w:r>
              <w:t xml:space="preserve">      Mini-Norwegian</w:t>
            </w:r>
          </w:p>
        </w:tc>
        <w:tc>
          <w:tcPr/>
          <w:p>
            <w:pPr>
              <w:pStyle w:val="Compact"/>
              <w:jc w:val="center"/>
            </w:pPr>
            <w:r>
              <w:t xml:space="preserve">⁠ ⁠ ⁠0.0081</w:t>
            </w:r>
          </w:p>
        </w:tc>
        <w:tc>
          <w:tcPr/>
          <w:p>
            <w:pPr>
              <w:pStyle w:val="Compact"/>
              <w:jc w:val="center"/>
            </w:pPr>
            <w:r>
              <w:t xml:space="preserve">−0.0146</w:t>
            </w:r>
          </w:p>
        </w:tc>
        <w:tc>
          <w:tcPr/>
          <w:p>
            <w:pPr>
              <w:pStyle w:val="Compact"/>
              <w:jc w:val="center"/>
            </w:pPr>
            <w:r>
              <w:t xml:space="preserve">0.0304</w:t>
            </w:r>
          </w:p>
        </w:tc>
        <w:tc>
          <w:tcPr/>
          <w:p>
            <w:pPr>
              <w:pStyle w:val="Compact"/>
              <w:jc w:val="center"/>
            </w:pPr>
            <w:r>
              <w:t xml:space="preserve">.76⁠ ⁠</w:t>
            </w:r>
          </w:p>
        </w:tc>
        <w:tc>
          <w:tcPr/>
          <w:p>
            <w:pPr>
              <w:pStyle w:val="Compact"/>
              <w:jc w:val="center"/>
            </w:pPr>
            <w:r>
              <w:t xml:space="preserve">⁠ ⁠ ⁠0.0066</w:t>
            </w:r>
          </w:p>
        </w:tc>
        <w:tc>
          <w:tcPr/>
          <w:p>
            <w:pPr>
              <w:pStyle w:val="Compact"/>
              <w:jc w:val="center"/>
            </w:pPr>
            <w:r>
              <w:t xml:space="preserve">−0.0177</w:t>
            </w:r>
          </w:p>
        </w:tc>
        <w:tc>
          <w:tcPr/>
          <w:p>
            <w:pPr>
              <w:pStyle w:val="Compact"/>
              <w:jc w:val="center"/>
            </w:pPr>
            <w:r>
              <w:t xml:space="preserve">0.0311</w:t>
            </w:r>
          </w:p>
        </w:tc>
        <w:tc>
          <w:tcPr/>
          <w:p>
            <w:pPr>
              <w:pStyle w:val="Compact"/>
              <w:jc w:val="center"/>
            </w:pPr>
            <w:r>
              <w:t xml:space="preserve">.70</w:t>
            </w:r>
          </w:p>
        </w:tc>
      </w:tr>
      <w:tr>
        <w:tc>
          <w:tcPr/>
          <w:p>
            <w:pPr>
              <w:pStyle w:val="Compact"/>
              <w:jc w:val="left"/>
            </w:pPr>
            <w:r>
              <w:t xml:space="preserve">      Mini-English</w:t>
            </w:r>
          </w:p>
        </w:tc>
        <w:tc>
          <w:tcPr/>
          <w:p>
            <w:pPr>
              <w:pStyle w:val="Compact"/>
              <w:jc w:val="center"/>
            </w:pPr>
            <w:r>
              <w:t xml:space="preserve">⁠ ⁠ ⁠0.0131</w:t>
            </w:r>
          </w:p>
        </w:tc>
        <w:tc>
          <w:tcPr/>
          <w:p>
            <w:pPr>
              <w:pStyle w:val="Compact"/>
              <w:jc w:val="center"/>
            </w:pPr>
            <w:r>
              <w:t xml:space="preserve">−0.0083</w:t>
            </w:r>
          </w:p>
        </w:tc>
        <w:tc>
          <w:tcPr/>
          <w:p>
            <w:pPr>
              <w:pStyle w:val="Compact"/>
              <w:jc w:val="center"/>
            </w:pPr>
            <w:r>
              <w:t xml:space="preserve">0.0343</w:t>
            </w:r>
          </w:p>
        </w:tc>
        <w:tc>
          <w:tcPr/>
          <w:p>
            <w:pPr>
              <w:pStyle w:val="Compact"/>
              <w:jc w:val="center"/>
            </w:pPr>
            <w:r>
              <w:t xml:space="preserve">.89⁠ ⁠</w:t>
            </w:r>
          </w:p>
        </w:tc>
        <w:tc>
          <w:tcPr/>
          <w:p>
            <w:pPr>
              <w:pStyle w:val="Compact"/>
              <w:jc w:val="center"/>
            </w:pPr>
            <w:r>
              <w:t xml:space="preserve">⁠ ⁠ ⁠0.0043</w:t>
            </w:r>
          </w:p>
        </w:tc>
        <w:tc>
          <w:tcPr/>
          <w:p>
            <w:pPr>
              <w:pStyle w:val="Compact"/>
              <w:jc w:val="center"/>
            </w:pPr>
            <w:r>
              <w:t xml:space="preserve">−0.0184</w:t>
            </w:r>
          </w:p>
        </w:tc>
        <w:tc>
          <w:tcPr/>
          <w:p>
            <w:pPr>
              <w:pStyle w:val="Compact"/>
              <w:jc w:val="center"/>
            </w:pPr>
            <w:r>
              <w:t xml:space="preserve">0.0278</w:t>
            </w:r>
          </w:p>
        </w:tc>
        <w:tc>
          <w:tcPr/>
          <w:p>
            <w:pPr>
              <w:pStyle w:val="Compact"/>
              <w:jc w:val="center"/>
            </w:pPr>
            <w:r>
              <w:t xml:space="preserve">.65</w:t>
            </w:r>
          </w:p>
        </w:tc>
      </w:tr>
      <w:tr>
        <w:tc>
          <w:tcPr/>
          <w:p>
            <w:pPr>
              <w:pStyle w:val="Compact"/>
              <w:jc w:val="left"/>
            </w:pPr>
            <w:r>
              <w:t xml:space="preserve">      Group difference</w:t>
            </w:r>
          </w:p>
        </w:tc>
        <w:tc>
          <w:tcPr/>
          <w:p>
            <w:pPr>
              <w:pStyle w:val="Compact"/>
              <w:jc w:val="center"/>
            </w:pPr>
            <w:r>
              <w:t xml:space="preserve">−0.0051</w:t>
            </w:r>
          </w:p>
        </w:tc>
        <w:tc>
          <w:tcPr/>
          <w:p>
            <w:pPr>
              <w:pStyle w:val="Compact"/>
              <w:jc w:val="center"/>
            </w:pPr>
            <w:r>
              <w:t xml:space="preserve">−0.0361</w:t>
            </w:r>
          </w:p>
        </w:tc>
        <w:tc>
          <w:tcPr/>
          <w:p>
            <w:pPr>
              <w:pStyle w:val="Compact"/>
              <w:jc w:val="center"/>
            </w:pPr>
            <w:r>
              <w:t xml:space="preserve">0.0257</w:t>
            </w:r>
          </w:p>
        </w:tc>
        <w:tc>
          <w:tcPr/>
          <w:p>
            <w:pPr>
              <w:pStyle w:val="Compact"/>
              <w:jc w:val="center"/>
            </w:pPr>
            <w:r>
              <w:t xml:space="preserve">.62⁠ ⁠</w:t>
            </w:r>
          </w:p>
        </w:tc>
        <w:tc>
          <w:tcPr/>
          <w:p>
            <w:pPr>
              <w:pStyle w:val="Compact"/>
              <w:jc w:val="center"/>
            </w:pPr>
            <w:r>
              <w:t xml:space="preserve">⁠ ⁠ ⁠0.0023</w:t>
            </w:r>
          </w:p>
        </w:tc>
        <w:tc>
          <w:tcPr/>
          <w:p>
            <w:pPr>
              <w:pStyle w:val="Compact"/>
              <w:jc w:val="center"/>
            </w:pPr>
            <w:r>
              <w:t xml:space="preserve">−0.0318</w:t>
            </w:r>
          </w:p>
        </w:tc>
        <w:tc>
          <w:tcPr/>
          <w:p>
            <w:pPr>
              <w:pStyle w:val="Compact"/>
              <w:jc w:val="center"/>
            </w:pPr>
            <w:r>
              <w:t xml:space="preserve">0.0354</w:t>
            </w:r>
          </w:p>
        </w:tc>
        <w:tc>
          <w:tcPr/>
          <w:p>
            <w:pPr>
              <w:pStyle w:val="Compact"/>
              <w:jc w:val="center"/>
            </w:pPr>
            <w:r>
              <w:t xml:space="preserve">.55</w:t>
            </w:r>
          </w:p>
        </w:tc>
      </w:tr>
      <w:tr>
        <w:tc>
          <w:tcPr>
            <w:gridSpan w:val="9"/>
          </w:tcPr>
          <w:p>
            <w:pPr>
              <w:pStyle w:val="Compact"/>
              <w:jc w:val="left"/>
            </w:pPr>
            <w:r>
              <w:t xml:space="preserve">   400–900 ms</w:t>
            </w:r>
          </w:p>
        </w:tc>
      </w:tr>
      <w:tr>
        <w:tc>
          <w:tcPr/>
          <w:p>
            <w:pPr>
              <w:pStyle w:val="Compact"/>
              <w:jc w:val="left"/>
            </w:pPr>
            <w:r>
              <w:t xml:space="preserve">      Overall</w:t>
            </w:r>
          </w:p>
        </w:tc>
        <w:tc>
          <w:tcPr/>
          <w:p>
            <w:pPr>
              <w:pStyle w:val="Compact"/>
              <w:jc w:val="center"/>
            </w:pPr>
            <w:r>
              <w:t xml:space="preserve">⁠ ⁠ ⁠0.0222</w:t>
            </w:r>
          </w:p>
        </w:tc>
        <w:tc>
          <w:tcPr/>
          <w:p>
            <w:pPr>
              <w:pStyle w:val="Compact"/>
              <w:jc w:val="center"/>
            </w:pPr>
            <w:r>
              <w:t xml:space="preserve">⁠ ⁠ ⁠0.0056</w:t>
            </w:r>
          </w:p>
        </w:tc>
        <w:tc>
          <w:tcPr/>
          <w:p>
            <w:pPr>
              <w:pStyle w:val="Compact"/>
              <w:jc w:val="center"/>
            </w:pPr>
            <w:r>
              <w:t xml:space="preserve">0.0390</w:t>
            </w:r>
          </w:p>
        </w:tc>
        <w:tc>
          <w:tcPr/>
          <w:p>
            <w:pPr>
              <w:pStyle w:val="Compact"/>
              <w:jc w:val="center"/>
            </w:pPr>
            <w:r>
              <w:t xml:space="preserve">.995</w:t>
            </w:r>
          </w:p>
        </w:tc>
        <w:tc>
          <w:tcPr/>
          <w:p>
            <w:pPr>
              <w:pStyle w:val="Compact"/>
              <w:jc w:val="center"/>
            </w:pPr>
            <w:r>
              <w:t xml:space="preserve">⁠ ⁠ ⁠0.0201</w:t>
            </w:r>
          </w:p>
        </w:tc>
        <w:tc>
          <w:tcPr/>
          <w:p>
            <w:pPr>
              <w:pStyle w:val="Compact"/>
              <w:jc w:val="center"/>
            </w:pPr>
            <w:r>
              <w:t xml:space="preserve">⁠ ⁠ ⁠0.0019</w:t>
            </w:r>
          </w:p>
        </w:tc>
        <w:tc>
          <w:tcPr/>
          <w:p>
            <w:pPr>
              <w:pStyle w:val="Compact"/>
              <w:jc w:val="center"/>
            </w:pPr>
            <w:r>
              <w:t xml:space="preserve">0.0384</w:t>
            </w:r>
          </w:p>
        </w:tc>
        <w:tc>
          <w:tcPr/>
          <w:p>
            <w:pPr>
              <w:pStyle w:val="Compact"/>
              <w:jc w:val="center"/>
            </w:pPr>
            <w:r>
              <w:t xml:space="preserve">.98</w:t>
            </w:r>
          </w:p>
        </w:tc>
      </w:tr>
      <w:tr>
        <w:tc>
          <w:tcPr/>
          <w:p>
            <w:pPr>
              <w:pStyle w:val="Compact"/>
              <w:jc w:val="left"/>
            </w:pPr>
            <w:r>
              <w:t xml:space="preserve">      Mini-Norwegian</w:t>
            </w:r>
          </w:p>
        </w:tc>
        <w:tc>
          <w:tcPr/>
          <w:p>
            <w:pPr>
              <w:pStyle w:val="Compact"/>
              <w:jc w:val="center"/>
            </w:pPr>
            <w:r>
              <w:t xml:space="preserve">⁠ ⁠ ⁠0.0189</w:t>
            </w:r>
          </w:p>
        </w:tc>
        <w:tc>
          <w:tcPr/>
          <w:p>
            <w:pPr>
              <w:pStyle w:val="Compact"/>
              <w:jc w:val="center"/>
            </w:pPr>
            <w:r>
              <w:t xml:space="preserve">−0.0060</w:t>
            </w:r>
          </w:p>
        </w:tc>
        <w:tc>
          <w:tcPr/>
          <w:p>
            <w:pPr>
              <w:pStyle w:val="Compact"/>
              <w:jc w:val="center"/>
            </w:pPr>
            <w:r>
              <w:t xml:space="preserve">0.0436</w:t>
            </w:r>
          </w:p>
        </w:tc>
        <w:tc>
          <w:tcPr/>
          <w:p>
            <w:pPr>
              <w:pStyle w:val="Compact"/>
              <w:jc w:val="center"/>
            </w:pPr>
            <w:r>
              <w:t xml:space="preserve">.93⁠ ⁠</w:t>
            </w:r>
          </w:p>
        </w:tc>
        <w:tc>
          <w:tcPr/>
          <w:p>
            <w:pPr>
              <w:pStyle w:val="Compact"/>
              <w:jc w:val="center"/>
            </w:pPr>
            <w:r>
              <w:t xml:space="preserve">⁠ ⁠ ⁠0.0151</w:t>
            </w:r>
          </w:p>
        </w:tc>
        <w:tc>
          <w:tcPr/>
          <w:p>
            <w:pPr>
              <w:pStyle w:val="Compact"/>
              <w:jc w:val="center"/>
            </w:pPr>
            <w:r>
              <w:t xml:space="preserve">−0.0118</w:t>
            </w:r>
          </w:p>
        </w:tc>
        <w:tc>
          <w:tcPr/>
          <w:p>
            <w:pPr>
              <w:pStyle w:val="Compact"/>
              <w:jc w:val="center"/>
            </w:pPr>
            <w:r>
              <w:t xml:space="preserve">0.0410</w:t>
            </w:r>
          </w:p>
        </w:tc>
        <w:tc>
          <w:tcPr/>
          <w:p>
            <w:pPr>
              <w:pStyle w:val="Compact"/>
              <w:jc w:val="center"/>
            </w:pPr>
            <w:r>
              <w:t xml:space="preserve">.87</w:t>
            </w:r>
          </w:p>
        </w:tc>
      </w:tr>
      <w:tr>
        <w:tc>
          <w:tcPr/>
          <w:p>
            <w:pPr>
              <w:pStyle w:val="Compact"/>
              <w:jc w:val="left"/>
            </w:pPr>
            <w:r>
              <w:t xml:space="preserve">      Mini-English</w:t>
            </w:r>
          </w:p>
        </w:tc>
        <w:tc>
          <w:tcPr/>
          <w:p>
            <w:pPr>
              <w:pStyle w:val="Compact"/>
              <w:jc w:val="center"/>
            </w:pPr>
            <w:r>
              <w:t xml:space="preserve">⁠ ⁠ ⁠0.0254</w:t>
            </w:r>
          </w:p>
        </w:tc>
        <w:tc>
          <w:tcPr/>
          <w:p>
            <w:pPr>
              <w:pStyle w:val="Compact"/>
              <w:jc w:val="center"/>
            </w:pPr>
            <w:r>
              <w:t xml:space="preserve">⁠ ⁠ ⁠0.0024</w:t>
            </w:r>
          </w:p>
        </w:tc>
        <w:tc>
          <w:tcPr/>
          <w:p>
            <w:pPr>
              <w:pStyle w:val="Compact"/>
              <w:jc w:val="center"/>
            </w:pPr>
            <w:r>
              <w:t xml:space="preserve">0.0485</w:t>
            </w:r>
          </w:p>
        </w:tc>
        <w:tc>
          <w:tcPr/>
          <w:p>
            <w:pPr>
              <w:pStyle w:val="Compact"/>
              <w:jc w:val="center"/>
            </w:pPr>
            <w:r>
              <w:t xml:space="preserve">.99⁠ ⁠</w:t>
            </w:r>
          </w:p>
        </w:tc>
        <w:tc>
          <w:tcPr/>
          <w:p>
            <w:pPr>
              <w:pStyle w:val="Compact"/>
              <w:jc w:val="center"/>
            </w:pPr>
            <w:r>
              <w:t xml:space="preserve">⁠ ⁠ ⁠0.0248</w:t>
            </w:r>
          </w:p>
        </w:tc>
        <w:tc>
          <w:tcPr/>
          <w:p>
            <w:pPr>
              <w:pStyle w:val="Compact"/>
              <w:jc w:val="center"/>
            </w:pPr>
            <w:r>
              <w:t xml:space="preserve">−0.0001</w:t>
            </w:r>
          </w:p>
        </w:tc>
        <w:tc>
          <w:tcPr/>
          <w:p>
            <w:pPr>
              <w:pStyle w:val="Compact"/>
              <w:jc w:val="center"/>
            </w:pPr>
            <w:r>
              <w:t xml:space="preserve">0.0507</w:t>
            </w:r>
          </w:p>
        </w:tc>
        <w:tc>
          <w:tcPr/>
          <w:p>
            <w:pPr>
              <w:pStyle w:val="Compact"/>
              <w:jc w:val="center"/>
            </w:pPr>
            <w:r>
              <w:t xml:space="preserve">.97</w:t>
            </w:r>
          </w:p>
        </w:tc>
      </w:tr>
      <w:tr>
        <w:tc>
          <w:tcPr/>
          <w:p>
            <w:pPr>
              <w:pStyle w:val="Compact"/>
              <w:jc w:val="left"/>
            </w:pPr>
            <w:r>
              <w:t xml:space="preserve">      Group difference</w:t>
            </w:r>
          </w:p>
        </w:tc>
        <w:tc>
          <w:tcPr/>
          <w:p>
            <w:pPr>
              <w:pStyle w:val="Compact"/>
              <w:jc w:val="center"/>
            </w:pPr>
            <w:r>
              <w:t xml:space="preserve">−0.0065</w:t>
            </w:r>
          </w:p>
        </w:tc>
        <w:tc>
          <w:tcPr/>
          <w:p>
            <w:pPr>
              <w:pStyle w:val="Compact"/>
              <w:jc w:val="center"/>
            </w:pPr>
            <w:r>
              <w:t xml:space="preserve">−0.0406</w:t>
            </w:r>
          </w:p>
        </w:tc>
        <w:tc>
          <w:tcPr/>
          <w:p>
            <w:pPr>
              <w:pStyle w:val="Compact"/>
              <w:jc w:val="center"/>
            </w:pPr>
            <w:r>
              <w:t xml:space="preserve">0.0269</w:t>
            </w:r>
          </w:p>
        </w:tc>
        <w:tc>
          <w:tcPr/>
          <w:p>
            <w:pPr>
              <w:pStyle w:val="Compact"/>
              <w:jc w:val="center"/>
            </w:pPr>
            <w:r>
              <w:t xml:space="preserve">.64⁠ ⁠</w:t>
            </w:r>
          </w:p>
        </w:tc>
        <w:tc>
          <w:tcPr/>
          <w:p>
            <w:pPr>
              <w:pStyle w:val="Compact"/>
              <w:jc w:val="center"/>
            </w:pPr>
            <w:r>
              <w:t xml:space="preserve">−0.0097</w:t>
            </w:r>
          </w:p>
        </w:tc>
        <w:tc>
          <w:tcPr/>
          <w:p>
            <w:pPr>
              <w:pStyle w:val="Compact"/>
              <w:jc w:val="center"/>
            </w:pPr>
            <w:r>
              <w:t xml:space="preserve">−0.0473</w:t>
            </w:r>
          </w:p>
        </w:tc>
        <w:tc>
          <w:tcPr/>
          <w:p>
            <w:pPr>
              <w:pStyle w:val="Compact"/>
              <w:jc w:val="center"/>
            </w:pPr>
            <w:r>
              <w:t xml:space="preserve">0.0262</w:t>
            </w:r>
          </w:p>
        </w:tc>
        <w:tc>
          <w:tcPr/>
          <w:p>
            <w:pPr>
              <w:pStyle w:val="Compact"/>
              <w:jc w:val="center"/>
            </w:pPr>
            <w:r>
              <w:t xml:space="preserve">.70</w:t>
            </w:r>
          </w:p>
        </w:tc>
      </w:tr>
      <w:tr>
        <w:tc>
          <w:tcPr>
            <w:gridSpan w:val="9"/>
          </w:tcPr>
          <w:p>
            <w:pPr>
              <w:pStyle w:val="Compact"/>
              <w:jc w:val="left"/>
            </w:pPr>
            <w:r>
              <w:rPr>
                <w:i/>
                <w:iCs/>
              </w:rPr>
              <w:t xml:space="preserve">Differential object marking</w:t>
            </w:r>
          </w:p>
        </w:tc>
      </w:tr>
      <w:tr>
        <w:tc>
          <w:tcPr>
            <w:gridSpan w:val="9"/>
          </w:tcPr>
          <w:p>
            <w:pPr>
              <w:pStyle w:val="Compact"/>
              <w:jc w:val="left"/>
            </w:pPr>
            <w:r>
              <w:t xml:space="preserve">   200–500 ms</w:t>
            </w:r>
          </w:p>
        </w:tc>
      </w:tr>
      <w:tr>
        <w:tc>
          <w:tcPr/>
          <w:p>
            <w:pPr>
              <w:pStyle w:val="Compact"/>
              <w:jc w:val="left"/>
            </w:pPr>
            <w:r>
              <w:t xml:space="preserve">      Overall</w:t>
            </w:r>
          </w:p>
        </w:tc>
        <w:tc>
          <w:tcPr/>
          <w:p>
            <w:pPr>
              <w:pStyle w:val="Compact"/>
              <w:jc w:val="center"/>
            </w:pPr>
            <w:r>
              <w:t xml:space="preserve">⁠ ⁠ ⁠0.0054</w:t>
            </w:r>
          </w:p>
        </w:tc>
        <w:tc>
          <w:tcPr/>
          <w:p>
            <w:pPr>
              <w:pStyle w:val="Compact"/>
              <w:jc w:val="center"/>
            </w:pPr>
            <w:r>
              <w:t xml:space="preserve">−0.0205</w:t>
            </w:r>
          </w:p>
        </w:tc>
        <w:tc>
          <w:tcPr/>
          <w:p>
            <w:pPr>
              <w:pStyle w:val="Compact"/>
              <w:jc w:val="center"/>
            </w:pPr>
            <w:r>
              <w:t xml:space="preserve">0.0318</w:t>
            </w:r>
          </w:p>
        </w:tc>
        <w:tc>
          <w:tcPr/>
          <w:p>
            <w:pPr>
              <w:pStyle w:val="Compact"/>
              <w:jc w:val="center"/>
            </w:pPr>
            <w:r>
              <w:t xml:space="preserve">.66⁠ ⁠</w:t>
            </w:r>
          </w:p>
        </w:tc>
        <w:tc>
          <w:tcPr/>
          <w:p>
            <w:pPr>
              <w:pStyle w:val="Compact"/>
              <w:jc w:val="center"/>
            </w:pPr>
            <w:r>
              <w:t xml:space="preserve">⁠ ⁠ ⁠0.0015</w:t>
            </w:r>
          </w:p>
        </w:tc>
        <w:tc>
          <w:tcPr/>
          <w:p>
            <w:pPr>
              <w:pStyle w:val="Compact"/>
              <w:jc w:val="center"/>
            </w:pPr>
            <w:r>
              <w:t xml:space="preserve">−0.0289</w:t>
            </w:r>
          </w:p>
        </w:tc>
        <w:tc>
          <w:tcPr/>
          <w:p>
            <w:pPr>
              <w:pStyle w:val="Compact"/>
              <w:jc w:val="center"/>
            </w:pPr>
            <w:r>
              <w:t xml:space="preserve">0.0324</w:t>
            </w:r>
          </w:p>
        </w:tc>
        <w:tc>
          <w:tcPr/>
          <w:p>
            <w:pPr>
              <w:pStyle w:val="Compact"/>
              <w:jc w:val="center"/>
            </w:pPr>
            <w:r>
              <w:t xml:space="preserve">.54</w:t>
            </w:r>
          </w:p>
        </w:tc>
      </w:tr>
      <w:tr>
        <w:tc>
          <w:tcPr/>
          <w:p>
            <w:pPr>
              <w:pStyle w:val="Compact"/>
              <w:jc w:val="left"/>
            </w:pPr>
            <w:r>
              <w:t xml:space="preserve">      Mini-Norwegian</w:t>
            </w:r>
          </w:p>
        </w:tc>
        <w:tc>
          <w:tcPr/>
          <w:p>
            <w:pPr>
              <w:pStyle w:val="Compact"/>
              <w:jc w:val="center"/>
            </w:pPr>
            <w:r>
              <w:t xml:space="preserve">⁠ ⁠ ⁠0.0044</w:t>
            </w:r>
          </w:p>
        </w:tc>
        <w:tc>
          <w:tcPr/>
          <w:p>
            <w:pPr>
              <w:pStyle w:val="Compact"/>
              <w:jc w:val="center"/>
            </w:pPr>
            <w:r>
              <w:t xml:space="preserve">−0.0329</w:t>
            </w:r>
          </w:p>
        </w:tc>
        <w:tc>
          <w:tcPr/>
          <w:p>
            <w:pPr>
              <w:pStyle w:val="Compact"/>
              <w:jc w:val="center"/>
            </w:pPr>
            <w:r>
              <w:t xml:space="preserve">0.0423</w:t>
            </w:r>
          </w:p>
        </w:tc>
        <w:tc>
          <w:tcPr/>
          <w:p>
            <w:pPr>
              <w:pStyle w:val="Compact"/>
              <w:jc w:val="center"/>
            </w:pPr>
            <w:r>
              <w:t xml:space="preserve">.59⁠ ⁠</w:t>
            </w:r>
          </w:p>
        </w:tc>
        <w:tc>
          <w:tcPr/>
          <w:p>
            <w:pPr>
              <w:pStyle w:val="Compact"/>
              <w:jc w:val="center"/>
            </w:pPr>
            <w:r>
              <w:t xml:space="preserve">⁠ ⁠ ⁠0.0129</w:t>
            </w:r>
          </w:p>
        </w:tc>
        <w:tc>
          <w:tcPr/>
          <w:p>
            <w:pPr>
              <w:pStyle w:val="Compact"/>
              <w:jc w:val="center"/>
            </w:pPr>
            <w:r>
              <w:t xml:space="preserve">−0.0301</w:t>
            </w:r>
          </w:p>
        </w:tc>
        <w:tc>
          <w:tcPr/>
          <w:p>
            <w:pPr>
              <w:pStyle w:val="Compact"/>
              <w:jc w:val="center"/>
            </w:pPr>
            <w:r>
              <w:t xml:space="preserve">0.0577</w:t>
            </w:r>
          </w:p>
        </w:tc>
        <w:tc>
          <w:tcPr/>
          <w:p>
            <w:pPr>
              <w:pStyle w:val="Compact"/>
              <w:jc w:val="center"/>
            </w:pPr>
            <w:r>
              <w:t xml:space="preserve">.72</w:t>
            </w:r>
          </w:p>
        </w:tc>
      </w:tr>
      <w:tr>
        <w:tc>
          <w:tcPr/>
          <w:p>
            <w:pPr>
              <w:pStyle w:val="Compact"/>
              <w:jc w:val="left"/>
            </w:pPr>
            <w:r>
              <w:t xml:space="preserve">      Mini-English</w:t>
            </w:r>
          </w:p>
        </w:tc>
        <w:tc>
          <w:tcPr/>
          <w:p>
            <w:pPr>
              <w:pStyle w:val="Compact"/>
              <w:jc w:val="center"/>
            </w:pPr>
            <w:r>
              <w:t xml:space="preserve">⁠ ⁠ ⁠0.0063</w:t>
            </w:r>
          </w:p>
        </w:tc>
        <w:tc>
          <w:tcPr/>
          <w:p>
            <w:pPr>
              <w:pStyle w:val="Compact"/>
              <w:jc w:val="center"/>
            </w:pPr>
            <w:r>
              <w:t xml:space="preserve">−0.0298</w:t>
            </w:r>
          </w:p>
        </w:tc>
        <w:tc>
          <w:tcPr/>
          <w:p>
            <w:pPr>
              <w:pStyle w:val="Compact"/>
              <w:jc w:val="center"/>
            </w:pPr>
            <w:r>
              <w:t xml:space="preserve">0.0427</w:t>
            </w:r>
          </w:p>
        </w:tc>
        <w:tc>
          <w:tcPr/>
          <w:p>
            <w:pPr>
              <w:pStyle w:val="Compact"/>
              <w:jc w:val="center"/>
            </w:pPr>
            <w:r>
              <w:t xml:space="preserve">.63⁠ ⁠</w:t>
            </w:r>
          </w:p>
        </w:tc>
        <w:tc>
          <w:tcPr/>
          <w:p>
            <w:pPr>
              <w:pStyle w:val="Compact"/>
              <w:jc w:val="center"/>
            </w:pPr>
            <w:r>
              <w:t xml:space="preserve">−0.0100</w:t>
            </w:r>
          </w:p>
        </w:tc>
        <w:tc>
          <w:tcPr/>
          <w:p>
            <w:pPr>
              <w:pStyle w:val="Compact"/>
              <w:jc w:val="center"/>
            </w:pPr>
            <w:r>
              <w:t xml:space="preserve">−0.0519</w:t>
            </w:r>
          </w:p>
        </w:tc>
        <w:tc>
          <w:tcPr/>
          <w:p>
            <w:pPr>
              <w:pStyle w:val="Compact"/>
              <w:jc w:val="center"/>
            </w:pPr>
            <w:r>
              <w:t xml:space="preserve">0.0330</w:t>
            </w:r>
          </w:p>
        </w:tc>
        <w:tc>
          <w:tcPr/>
          <w:p>
            <w:pPr>
              <w:pStyle w:val="Compact"/>
              <w:jc w:val="center"/>
            </w:pPr>
            <w:r>
              <w:t xml:space="preserve">.68</w:t>
            </w:r>
          </w:p>
        </w:tc>
      </w:tr>
      <w:tr>
        <w:tc>
          <w:tcPr/>
          <w:p>
            <w:pPr>
              <w:pStyle w:val="Compact"/>
              <w:jc w:val="left"/>
            </w:pPr>
            <w:r>
              <w:t xml:space="preserve">      Group difference</w:t>
            </w:r>
          </w:p>
        </w:tc>
        <w:tc>
          <w:tcPr/>
          <w:p>
            <w:pPr>
              <w:pStyle w:val="Compact"/>
              <w:jc w:val="center"/>
            </w:pPr>
            <w:r>
              <w:t xml:space="preserve">−0.0020</w:t>
            </w:r>
          </w:p>
        </w:tc>
        <w:tc>
          <w:tcPr/>
          <w:p>
            <w:pPr>
              <w:pStyle w:val="Compact"/>
              <w:jc w:val="center"/>
            </w:pPr>
            <w:r>
              <w:t xml:space="preserve">−0.0533</w:t>
            </w:r>
          </w:p>
        </w:tc>
        <w:tc>
          <w:tcPr/>
          <w:p>
            <w:pPr>
              <w:pStyle w:val="Compact"/>
              <w:jc w:val="center"/>
            </w:pPr>
            <w:r>
              <w:t xml:space="preserve">0.0504</w:t>
            </w:r>
          </w:p>
        </w:tc>
        <w:tc>
          <w:tcPr/>
          <w:p>
            <w:pPr>
              <w:pStyle w:val="Compact"/>
              <w:jc w:val="center"/>
            </w:pPr>
            <w:r>
              <w:t xml:space="preserve">.53⁠ ⁠</w:t>
            </w:r>
          </w:p>
        </w:tc>
        <w:tc>
          <w:tcPr/>
          <w:p>
            <w:pPr>
              <w:pStyle w:val="Compact"/>
              <w:jc w:val="center"/>
            </w:pPr>
            <w:r>
              <w:t xml:space="preserve">⁠ ⁠ ⁠0.0229</w:t>
            </w:r>
          </w:p>
        </w:tc>
        <w:tc>
          <w:tcPr/>
          <w:p>
            <w:pPr>
              <w:pStyle w:val="Compact"/>
              <w:jc w:val="center"/>
            </w:pPr>
            <w:r>
              <w:t xml:space="preserve">−0.0381</w:t>
            </w:r>
          </w:p>
        </w:tc>
        <w:tc>
          <w:tcPr/>
          <w:p>
            <w:pPr>
              <w:pStyle w:val="Compact"/>
              <w:jc w:val="center"/>
            </w:pPr>
            <w:r>
              <w:t xml:space="preserve">0.0839</w:t>
            </w:r>
          </w:p>
        </w:tc>
        <w:tc>
          <w:tcPr/>
          <w:p>
            <w:pPr>
              <w:pStyle w:val="Compact"/>
              <w:jc w:val="center"/>
            </w:pPr>
            <w:r>
              <w:t xml:space="preserve">.77</w:t>
            </w:r>
          </w:p>
        </w:tc>
      </w:tr>
      <w:tr>
        <w:tc>
          <w:tcPr>
            <w:gridSpan w:val="9"/>
          </w:tcPr>
          <w:p>
            <w:pPr>
              <w:pStyle w:val="Compact"/>
              <w:jc w:val="left"/>
            </w:pPr>
            <w:r>
              <w:t xml:space="preserve">   300–600 ms</w:t>
            </w:r>
          </w:p>
        </w:tc>
      </w:tr>
      <w:tr>
        <w:tc>
          <w:tcPr/>
          <w:p>
            <w:pPr>
              <w:pStyle w:val="Compact"/>
              <w:jc w:val="left"/>
            </w:pPr>
            <w:r>
              <w:t xml:space="preserve">      Overall</w:t>
            </w:r>
          </w:p>
        </w:tc>
        <w:tc>
          <w:tcPr/>
          <w:p>
            <w:pPr>
              <w:pStyle w:val="Compact"/>
              <w:jc w:val="center"/>
            </w:pPr>
            <w:r>
              <w:t xml:space="preserve">⁠ ⁠ ⁠0.0118</w:t>
            </w:r>
          </w:p>
        </w:tc>
        <w:tc>
          <w:tcPr/>
          <w:p>
            <w:pPr>
              <w:pStyle w:val="Compact"/>
              <w:jc w:val="center"/>
            </w:pPr>
            <w:r>
              <w:t xml:space="preserve">−0.0141</w:t>
            </w:r>
          </w:p>
        </w:tc>
        <w:tc>
          <w:tcPr/>
          <w:p>
            <w:pPr>
              <w:pStyle w:val="Compact"/>
              <w:jc w:val="center"/>
            </w:pPr>
            <w:r>
              <w:t xml:space="preserve">0.0373</w:t>
            </w:r>
          </w:p>
        </w:tc>
        <w:tc>
          <w:tcPr/>
          <w:p>
            <w:pPr>
              <w:pStyle w:val="Compact"/>
              <w:jc w:val="center"/>
            </w:pPr>
            <w:r>
              <w:t xml:space="preserve">.82⁠ ⁠</w:t>
            </w:r>
          </w:p>
        </w:tc>
        <w:tc>
          <w:tcPr/>
          <w:p>
            <w:pPr>
              <w:pStyle w:val="Compact"/>
              <w:jc w:val="center"/>
            </w:pPr>
            <w:r>
              <w:t xml:space="preserve">⁠ ⁠ ⁠0.0084</w:t>
            </w:r>
          </w:p>
        </w:tc>
        <w:tc>
          <w:tcPr/>
          <w:p>
            <w:pPr>
              <w:pStyle w:val="Compact"/>
              <w:jc w:val="center"/>
            </w:pPr>
            <w:r>
              <w:t xml:space="preserve">−0.0206</w:t>
            </w:r>
          </w:p>
        </w:tc>
        <w:tc>
          <w:tcPr/>
          <w:p>
            <w:pPr>
              <w:pStyle w:val="Compact"/>
              <w:jc w:val="center"/>
            </w:pPr>
            <w:r>
              <w:t xml:space="preserve">0.0378</w:t>
            </w:r>
          </w:p>
        </w:tc>
        <w:tc>
          <w:tcPr/>
          <w:p>
            <w:pPr>
              <w:pStyle w:val="Compact"/>
              <w:jc w:val="center"/>
            </w:pPr>
            <w:r>
              <w:t xml:space="preserve">.72</w:t>
            </w:r>
          </w:p>
        </w:tc>
      </w:tr>
      <w:tr>
        <w:tc>
          <w:tcPr/>
          <w:p>
            <w:pPr>
              <w:pStyle w:val="Compact"/>
              <w:jc w:val="left"/>
            </w:pPr>
            <w:r>
              <w:t xml:space="preserve">      Mini-Norwegian</w:t>
            </w:r>
          </w:p>
        </w:tc>
        <w:tc>
          <w:tcPr/>
          <w:p>
            <w:pPr>
              <w:pStyle w:val="Compact"/>
              <w:jc w:val="center"/>
            </w:pPr>
            <w:r>
              <w:t xml:space="preserve">⁠ ⁠ ⁠0.0105</w:t>
            </w:r>
          </w:p>
        </w:tc>
        <w:tc>
          <w:tcPr/>
          <w:p>
            <w:pPr>
              <w:pStyle w:val="Compact"/>
              <w:jc w:val="center"/>
            </w:pPr>
            <w:r>
              <w:t xml:space="preserve">−0.0263</w:t>
            </w:r>
          </w:p>
        </w:tc>
        <w:tc>
          <w:tcPr/>
          <w:p>
            <w:pPr>
              <w:pStyle w:val="Compact"/>
              <w:jc w:val="center"/>
            </w:pPr>
            <w:r>
              <w:t xml:space="preserve">0.0472</w:t>
            </w:r>
          </w:p>
        </w:tc>
        <w:tc>
          <w:tcPr/>
          <w:p>
            <w:pPr>
              <w:pStyle w:val="Compact"/>
              <w:jc w:val="center"/>
            </w:pPr>
            <w:r>
              <w:t xml:space="preserve">.71⁠ ⁠</w:t>
            </w:r>
          </w:p>
        </w:tc>
        <w:tc>
          <w:tcPr/>
          <w:p>
            <w:pPr>
              <w:pStyle w:val="Compact"/>
              <w:jc w:val="center"/>
            </w:pPr>
            <w:r>
              <w:t xml:space="preserve">⁠ ⁠ ⁠0.0159</w:t>
            </w:r>
          </w:p>
        </w:tc>
        <w:tc>
          <w:tcPr/>
          <w:p>
            <w:pPr>
              <w:pStyle w:val="Compact"/>
              <w:jc w:val="center"/>
            </w:pPr>
            <w:r>
              <w:t xml:space="preserve">−0.0260</w:t>
            </w:r>
          </w:p>
        </w:tc>
        <w:tc>
          <w:tcPr/>
          <w:p>
            <w:pPr>
              <w:pStyle w:val="Compact"/>
              <w:jc w:val="center"/>
            </w:pPr>
            <w:r>
              <w:t xml:space="preserve">0.0585</w:t>
            </w:r>
          </w:p>
        </w:tc>
        <w:tc>
          <w:tcPr/>
          <w:p>
            <w:pPr>
              <w:pStyle w:val="Compact"/>
              <w:jc w:val="center"/>
            </w:pPr>
            <w:r>
              <w:t xml:space="preserve">.78</w:t>
            </w:r>
          </w:p>
        </w:tc>
      </w:tr>
      <w:tr>
        <w:tc>
          <w:tcPr/>
          <w:p>
            <w:pPr>
              <w:pStyle w:val="Compact"/>
              <w:jc w:val="left"/>
            </w:pPr>
            <w:r>
              <w:t xml:space="preserve">      Mini-English</w:t>
            </w:r>
          </w:p>
        </w:tc>
        <w:tc>
          <w:tcPr/>
          <w:p>
            <w:pPr>
              <w:pStyle w:val="Compact"/>
              <w:jc w:val="center"/>
            </w:pPr>
            <w:r>
              <w:t xml:space="preserve">⁠ ⁠ ⁠0.0128</w:t>
            </w:r>
          </w:p>
        </w:tc>
        <w:tc>
          <w:tcPr/>
          <w:p>
            <w:pPr>
              <w:pStyle w:val="Compact"/>
              <w:jc w:val="center"/>
            </w:pPr>
            <w:r>
              <w:t xml:space="preserve">−0.0229</w:t>
            </w:r>
          </w:p>
        </w:tc>
        <w:tc>
          <w:tcPr/>
          <w:p>
            <w:pPr>
              <w:pStyle w:val="Compact"/>
              <w:jc w:val="center"/>
            </w:pPr>
            <w:r>
              <w:t xml:space="preserve">0.0484</w:t>
            </w:r>
          </w:p>
        </w:tc>
        <w:tc>
          <w:tcPr/>
          <w:p>
            <w:pPr>
              <w:pStyle w:val="Compact"/>
              <w:jc w:val="center"/>
            </w:pPr>
            <w:r>
              <w:t xml:space="preserve">.76⁠ ⁠</w:t>
            </w:r>
          </w:p>
        </w:tc>
        <w:tc>
          <w:tcPr/>
          <w:p>
            <w:pPr>
              <w:pStyle w:val="Compact"/>
              <w:jc w:val="center"/>
            </w:pPr>
            <w:r>
              <w:t xml:space="preserve">⁠ ⁠ ⁠0.0009</w:t>
            </w:r>
          </w:p>
        </w:tc>
        <w:tc>
          <w:tcPr/>
          <w:p>
            <w:pPr>
              <w:pStyle w:val="Compact"/>
              <w:jc w:val="center"/>
            </w:pPr>
            <w:r>
              <w:t xml:space="preserve">−0.0393</w:t>
            </w:r>
          </w:p>
        </w:tc>
        <w:tc>
          <w:tcPr/>
          <w:p>
            <w:pPr>
              <w:pStyle w:val="Compact"/>
              <w:jc w:val="center"/>
            </w:pPr>
            <w:r>
              <w:t xml:space="preserve">0.0414</w:t>
            </w:r>
          </w:p>
        </w:tc>
        <w:tc>
          <w:tcPr/>
          <w:p>
            <w:pPr>
              <w:pStyle w:val="Compact"/>
              <w:jc w:val="center"/>
            </w:pPr>
            <w:r>
              <w:t xml:space="preserve">.52</w:t>
            </w:r>
          </w:p>
        </w:tc>
      </w:tr>
      <w:tr>
        <w:tc>
          <w:tcPr/>
          <w:p>
            <w:pPr>
              <w:pStyle w:val="Compact"/>
              <w:jc w:val="left"/>
            </w:pPr>
            <w:r>
              <w:t xml:space="preserve">      Group difference</w:t>
            </w:r>
          </w:p>
        </w:tc>
        <w:tc>
          <w:tcPr/>
          <w:p>
            <w:pPr>
              <w:pStyle w:val="Compact"/>
              <w:jc w:val="center"/>
            </w:pPr>
            <w:r>
              <w:t xml:space="preserve">−0.0025</w:t>
            </w:r>
          </w:p>
        </w:tc>
        <w:tc>
          <w:tcPr/>
          <w:p>
            <w:pPr>
              <w:pStyle w:val="Compact"/>
              <w:jc w:val="center"/>
            </w:pPr>
            <w:r>
              <w:t xml:space="preserve">−0.0532</w:t>
            </w:r>
          </w:p>
        </w:tc>
        <w:tc>
          <w:tcPr/>
          <w:p>
            <w:pPr>
              <w:pStyle w:val="Compact"/>
              <w:jc w:val="center"/>
            </w:pPr>
            <w:r>
              <w:t xml:space="preserve">0.0494</w:t>
            </w:r>
          </w:p>
        </w:tc>
        <w:tc>
          <w:tcPr/>
          <w:p>
            <w:pPr>
              <w:pStyle w:val="Compact"/>
              <w:jc w:val="center"/>
            </w:pPr>
            <w:r>
              <w:t xml:space="preserve">.54⁠ ⁠</w:t>
            </w:r>
          </w:p>
        </w:tc>
        <w:tc>
          <w:tcPr/>
          <w:p>
            <w:pPr>
              <w:pStyle w:val="Compact"/>
              <w:jc w:val="center"/>
            </w:pPr>
            <w:r>
              <w:t xml:space="preserve">⁠ ⁠ ⁠0.0153</w:t>
            </w:r>
          </w:p>
        </w:tc>
        <w:tc>
          <w:tcPr/>
          <w:p>
            <w:pPr>
              <w:pStyle w:val="Compact"/>
              <w:jc w:val="center"/>
            </w:pPr>
            <w:r>
              <w:t xml:space="preserve">−0.0434</w:t>
            </w:r>
          </w:p>
        </w:tc>
        <w:tc>
          <w:tcPr/>
          <w:p>
            <w:pPr>
              <w:pStyle w:val="Compact"/>
              <w:jc w:val="center"/>
            </w:pPr>
            <w:r>
              <w:t xml:space="preserve">0.0733</w:t>
            </w:r>
          </w:p>
        </w:tc>
        <w:tc>
          <w:tcPr/>
          <w:p>
            <w:pPr>
              <w:pStyle w:val="Compact"/>
              <w:jc w:val="center"/>
            </w:pPr>
            <w:r>
              <w:t xml:space="preserve">.70</w:t>
            </w:r>
          </w:p>
        </w:tc>
      </w:tr>
      <w:tr>
        <w:tc>
          <w:tcPr>
            <w:gridSpan w:val="9"/>
          </w:tcPr>
          <w:p>
            <w:pPr>
              <w:pStyle w:val="Compact"/>
              <w:jc w:val="left"/>
            </w:pPr>
            <w:r>
              <w:t xml:space="preserve">   400–900 ms</w:t>
            </w:r>
          </w:p>
        </w:tc>
      </w:tr>
      <w:tr>
        <w:tc>
          <w:tcPr/>
          <w:p>
            <w:pPr>
              <w:pStyle w:val="Compact"/>
              <w:jc w:val="left"/>
            </w:pPr>
            <w:r>
              <w:t xml:space="preserve">      Overall</w:t>
            </w:r>
          </w:p>
        </w:tc>
        <w:tc>
          <w:tcPr/>
          <w:p>
            <w:pPr>
              <w:pStyle w:val="Compact"/>
              <w:jc w:val="center"/>
            </w:pPr>
            <w:r>
              <w:t xml:space="preserve">⁠ ⁠ ⁠0.0057</w:t>
            </w:r>
          </w:p>
        </w:tc>
        <w:tc>
          <w:tcPr/>
          <w:p>
            <w:pPr>
              <w:pStyle w:val="Compact"/>
              <w:jc w:val="center"/>
            </w:pPr>
            <w:r>
              <w:t xml:space="preserve">−0.0226</w:t>
            </w:r>
          </w:p>
        </w:tc>
        <w:tc>
          <w:tcPr/>
          <w:p>
            <w:pPr>
              <w:pStyle w:val="Compact"/>
              <w:jc w:val="center"/>
            </w:pPr>
            <w:r>
              <w:t xml:space="preserve">0.0333</w:t>
            </w:r>
          </w:p>
        </w:tc>
        <w:tc>
          <w:tcPr/>
          <w:p>
            <w:pPr>
              <w:pStyle w:val="Compact"/>
              <w:jc w:val="center"/>
            </w:pPr>
            <w:r>
              <w:t xml:space="preserve">.66⁠ ⁠</w:t>
            </w:r>
          </w:p>
        </w:tc>
        <w:tc>
          <w:tcPr/>
          <w:p>
            <w:pPr>
              <w:pStyle w:val="Compact"/>
              <w:jc w:val="center"/>
            </w:pPr>
            <w:r>
              <w:t xml:space="preserve">⁠ ⁠ ⁠0.0013</w:t>
            </w:r>
          </w:p>
        </w:tc>
        <w:tc>
          <w:tcPr/>
          <w:p>
            <w:pPr>
              <w:pStyle w:val="Compact"/>
              <w:jc w:val="center"/>
            </w:pPr>
            <w:r>
              <w:t xml:space="preserve">−0.0296</w:t>
            </w:r>
          </w:p>
        </w:tc>
        <w:tc>
          <w:tcPr/>
          <w:p>
            <w:pPr>
              <w:pStyle w:val="Compact"/>
              <w:jc w:val="center"/>
            </w:pPr>
            <w:r>
              <w:t xml:space="preserve">0.0314</w:t>
            </w:r>
          </w:p>
        </w:tc>
        <w:tc>
          <w:tcPr/>
          <w:p>
            <w:pPr>
              <w:pStyle w:val="Compact"/>
              <w:jc w:val="center"/>
            </w:pPr>
            <w:r>
              <w:t xml:space="preserve">.54</w:t>
            </w:r>
          </w:p>
        </w:tc>
      </w:tr>
      <w:tr>
        <w:tc>
          <w:tcPr/>
          <w:p>
            <w:pPr>
              <w:pStyle w:val="Compact"/>
              <w:jc w:val="left"/>
            </w:pPr>
            <w:r>
              <w:t xml:space="preserve">      Mini-Norwegian</w:t>
            </w:r>
          </w:p>
        </w:tc>
        <w:tc>
          <w:tcPr/>
          <w:p>
            <w:pPr>
              <w:pStyle w:val="Compact"/>
              <w:jc w:val="center"/>
            </w:pPr>
            <w:r>
              <w:t xml:space="preserve">⁠ ⁠ ⁠0.0011</w:t>
            </w:r>
          </w:p>
        </w:tc>
        <w:tc>
          <w:tcPr/>
          <w:p>
            <w:pPr>
              <w:pStyle w:val="Compact"/>
              <w:jc w:val="center"/>
            </w:pPr>
            <w:r>
              <w:t xml:space="preserve">−0.0391</w:t>
            </w:r>
          </w:p>
        </w:tc>
        <w:tc>
          <w:tcPr/>
          <w:p>
            <w:pPr>
              <w:pStyle w:val="Compact"/>
              <w:jc w:val="center"/>
            </w:pPr>
            <w:r>
              <w:t xml:space="preserve">0.0413</w:t>
            </w:r>
          </w:p>
        </w:tc>
        <w:tc>
          <w:tcPr/>
          <w:p>
            <w:pPr>
              <w:pStyle w:val="Compact"/>
              <w:jc w:val="center"/>
            </w:pPr>
            <w:r>
              <w:t xml:space="preserve">.52⁠ ⁠</w:t>
            </w:r>
          </w:p>
        </w:tc>
        <w:tc>
          <w:tcPr/>
          <w:p>
            <w:pPr>
              <w:pStyle w:val="Compact"/>
              <w:jc w:val="center"/>
            </w:pPr>
            <w:r>
              <w:t xml:space="preserve">⁠ ⁠ ⁠0.0036</w:t>
            </w:r>
          </w:p>
        </w:tc>
        <w:tc>
          <w:tcPr/>
          <w:p>
            <w:pPr>
              <w:pStyle w:val="Compact"/>
              <w:jc w:val="center"/>
            </w:pPr>
            <w:r>
              <w:t xml:space="preserve">−0.0407</w:t>
            </w:r>
          </w:p>
        </w:tc>
        <w:tc>
          <w:tcPr/>
          <w:p>
            <w:pPr>
              <w:pStyle w:val="Compact"/>
              <w:jc w:val="center"/>
            </w:pPr>
            <w:r>
              <w:t xml:space="preserve">0.0473</w:t>
            </w:r>
          </w:p>
        </w:tc>
        <w:tc>
          <w:tcPr/>
          <w:p>
            <w:pPr>
              <w:pStyle w:val="Compact"/>
              <w:jc w:val="center"/>
            </w:pPr>
            <w:r>
              <w:t xml:space="preserve">.57</w:t>
            </w:r>
          </w:p>
        </w:tc>
      </w:tr>
      <w:tr>
        <w:tc>
          <w:tcPr/>
          <w:p>
            <w:pPr>
              <w:pStyle w:val="Compact"/>
              <w:jc w:val="left"/>
            </w:pPr>
            <w:r>
              <w:t xml:space="preserve">      Mini-English</w:t>
            </w:r>
          </w:p>
        </w:tc>
        <w:tc>
          <w:tcPr/>
          <w:p>
            <w:pPr>
              <w:pStyle w:val="Compact"/>
              <w:jc w:val="center"/>
            </w:pPr>
            <w:r>
              <w:t xml:space="preserve">⁠ ⁠ ⁠0.0102</w:t>
            </w:r>
          </w:p>
        </w:tc>
        <w:tc>
          <w:tcPr/>
          <w:p>
            <w:pPr>
              <w:pStyle w:val="Compact"/>
              <w:jc w:val="center"/>
            </w:pPr>
            <w:r>
              <w:t xml:space="preserve">−0.0290</w:t>
            </w:r>
          </w:p>
        </w:tc>
        <w:tc>
          <w:tcPr/>
          <w:p>
            <w:pPr>
              <w:pStyle w:val="Compact"/>
              <w:jc w:val="center"/>
            </w:pPr>
            <w:r>
              <w:t xml:space="preserve">0.0484</w:t>
            </w:r>
          </w:p>
        </w:tc>
        <w:tc>
          <w:tcPr/>
          <w:p>
            <w:pPr>
              <w:pStyle w:val="Compact"/>
              <w:jc w:val="center"/>
            </w:pPr>
            <w:r>
              <w:t xml:space="preserve">.70⁠ ⁠</w:t>
            </w:r>
          </w:p>
        </w:tc>
        <w:tc>
          <w:tcPr/>
          <w:p>
            <w:pPr>
              <w:pStyle w:val="Compact"/>
              <w:jc w:val="center"/>
            </w:pPr>
            <w:r>
              <w:t xml:space="preserve">−0.0009</w:t>
            </w:r>
          </w:p>
        </w:tc>
        <w:tc>
          <w:tcPr/>
          <w:p>
            <w:pPr>
              <w:pStyle w:val="Compact"/>
              <w:jc w:val="center"/>
            </w:pPr>
            <w:r>
              <w:t xml:space="preserve">−0.0446</w:t>
            </w:r>
          </w:p>
        </w:tc>
        <w:tc>
          <w:tcPr/>
          <w:p>
            <w:pPr>
              <w:pStyle w:val="Compact"/>
              <w:jc w:val="center"/>
            </w:pPr>
            <w:r>
              <w:t xml:space="preserve">0.0400</w:t>
            </w:r>
          </w:p>
        </w:tc>
        <w:tc>
          <w:tcPr/>
          <w:p>
            <w:pPr>
              <w:pStyle w:val="Compact"/>
              <w:jc w:val="center"/>
            </w:pPr>
            <w:r>
              <w:t xml:space="preserve">.52</w:t>
            </w:r>
          </w:p>
        </w:tc>
      </w:tr>
      <w:tr>
        <w:tc>
          <w:tcPr/>
          <w:p>
            <w:pPr>
              <w:pStyle w:val="Compact"/>
              <w:jc w:val="left"/>
            </w:pPr>
            <w:r>
              <w:t xml:space="preserve">      Group difference</w:t>
            </w:r>
          </w:p>
        </w:tc>
        <w:tc>
          <w:tcPr/>
          <w:p>
            <w:pPr>
              <w:pStyle w:val="Compact"/>
              <w:jc w:val="center"/>
            </w:pPr>
            <w:r>
              <w:t xml:space="preserve">−0.0090</w:t>
            </w:r>
          </w:p>
        </w:tc>
        <w:tc>
          <w:tcPr/>
          <w:p>
            <w:pPr>
              <w:pStyle w:val="Compact"/>
              <w:jc w:val="center"/>
            </w:pPr>
            <w:r>
              <w:t xml:space="preserve">−0.0645</w:t>
            </w:r>
          </w:p>
        </w:tc>
        <w:tc>
          <w:tcPr/>
          <w:p>
            <w:pPr>
              <w:pStyle w:val="Compact"/>
              <w:jc w:val="center"/>
            </w:pPr>
            <w:r>
              <w:t xml:space="preserve">0.0473</w:t>
            </w:r>
          </w:p>
        </w:tc>
        <w:tc>
          <w:tcPr/>
          <w:p>
            <w:pPr>
              <w:pStyle w:val="Compact"/>
              <w:jc w:val="center"/>
            </w:pPr>
            <w:r>
              <w:t xml:space="preserve">.63⁠ ⁠</w:t>
            </w:r>
          </w:p>
        </w:tc>
        <w:tc>
          <w:tcPr/>
          <w:p>
            <w:pPr>
              <w:pStyle w:val="Compact"/>
              <w:jc w:val="center"/>
            </w:pPr>
            <w:r>
              <w:t xml:space="preserve">⁠ ⁠ ⁠0.0045</w:t>
            </w:r>
          </w:p>
        </w:tc>
        <w:tc>
          <w:tcPr/>
          <w:p>
            <w:pPr>
              <w:pStyle w:val="Compact"/>
              <w:jc w:val="center"/>
            </w:pPr>
            <w:r>
              <w:t xml:space="preserve">−0.0544</w:t>
            </w:r>
          </w:p>
        </w:tc>
        <w:tc>
          <w:tcPr/>
          <w:p>
            <w:pPr>
              <w:pStyle w:val="Compact"/>
              <w:jc w:val="center"/>
            </w:pPr>
            <w:r>
              <w:t xml:space="preserve">0.0660</w:t>
            </w:r>
          </w:p>
        </w:tc>
        <w:tc>
          <w:tcPr/>
          <w:p>
            <w:pPr>
              <w:pStyle w:val="Compact"/>
              <w:jc w:val="center"/>
            </w:pPr>
            <w:r>
              <w:t xml:space="preserve">.56</w:t>
            </w:r>
          </w:p>
        </w:tc>
      </w:tr>
      <w:tr>
        <w:tc>
          <w:tcPr>
            <w:gridSpan w:val="9"/>
          </w:tcPr>
          <w:p>
            <w:pPr>
              <w:pStyle w:val="Compact"/>
              <w:jc w:val="left"/>
            </w:pPr>
            <w:r>
              <w:rPr>
                <w:i/>
                <w:iCs/>
              </w:rPr>
              <w:t xml:space="preserve">Verb–object number agreement</w:t>
            </w:r>
          </w:p>
        </w:tc>
      </w:tr>
      <w:tr>
        <w:tc>
          <w:tcPr>
            <w:gridSpan w:val="9"/>
          </w:tcPr>
          <w:p>
            <w:pPr>
              <w:pStyle w:val="Compact"/>
              <w:jc w:val="left"/>
            </w:pPr>
            <w:r>
              <w:t xml:space="preserve">   200–500 ms</w:t>
            </w:r>
          </w:p>
        </w:tc>
      </w:tr>
      <w:tr>
        <w:tc>
          <w:tcPr/>
          <w:p>
            <w:pPr>
              <w:pStyle w:val="Compact"/>
              <w:jc w:val="left"/>
            </w:pPr>
            <w:r>
              <w:t xml:space="preserve">      Overall</w:t>
            </w:r>
          </w:p>
        </w:tc>
        <w:tc>
          <w:tcPr/>
          <w:p>
            <w:pPr>
              <w:pStyle w:val="Compact"/>
              <w:jc w:val="center"/>
            </w:pPr>
            <w:r>
              <w:t xml:space="preserve">−0.0055</w:t>
            </w:r>
          </w:p>
        </w:tc>
        <w:tc>
          <w:tcPr/>
          <w:p>
            <w:pPr>
              <w:pStyle w:val="Compact"/>
              <w:jc w:val="center"/>
            </w:pPr>
            <w:r>
              <w:t xml:space="preserve">−0.0545</w:t>
            </w:r>
          </w:p>
        </w:tc>
        <w:tc>
          <w:tcPr/>
          <w:p>
            <w:pPr>
              <w:pStyle w:val="Compact"/>
              <w:jc w:val="center"/>
            </w:pPr>
            <w:r>
              <w:t xml:space="preserve">0.0432</w:t>
            </w:r>
          </w:p>
        </w:tc>
        <w:tc>
          <w:tcPr/>
          <w:p>
            <w:pPr>
              <w:pStyle w:val="Compact"/>
              <w:jc w:val="center"/>
            </w:pPr>
            <w:r>
              <w:t xml:space="preserve">.59⁠ ⁠</w:t>
            </w:r>
          </w:p>
        </w:tc>
        <w:tc>
          <w:tcPr/>
          <w:p>
            <w:pPr>
              <w:pStyle w:val="Compact"/>
              <w:jc w:val="center"/>
            </w:pPr>
            <w:r>
              <w:t xml:space="preserve">−0.0153</w:t>
            </w:r>
          </w:p>
        </w:tc>
        <w:tc>
          <w:tcPr/>
          <w:p>
            <w:pPr>
              <w:pStyle w:val="Compact"/>
              <w:jc w:val="center"/>
            </w:pPr>
            <w:r>
              <w:t xml:space="preserve">−0.0667</w:t>
            </w:r>
          </w:p>
        </w:tc>
        <w:tc>
          <w:tcPr/>
          <w:p>
            <w:pPr>
              <w:pStyle w:val="Compact"/>
              <w:jc w:val="center"/>
            </w:pPr>
            <w:r>
              <w:t xml:space="preserve">0.0353</w:t>
            </w:r>
          </w:p>
        </w:tc>
        <w:tc>
          <w:tcPr/>
          <w:p>
            <w:pPr>
              <w:pStyle w:val="Compact"/>
              <w:jc w:val="center"/>
            </w:pPr>
            <w:r>
              <w:t xml:space="preserve">.73</w:t>
            </w:r>
          </w:p>
        </w:tc>
      </w:tr>
      <w:tr>
        <w:tc>
          <w:tcPr/>
          <w:p>
            <w:pPr>
              <w:pStyle w:val="Compact"/>
              <w:jc w:val="left"/>
            </w:pPr>
            <w:r>
              <w:t xml:space="preserve">      Mini-Norwegian</w:t>
            </w:r>
          </w:p>
        </w:tc>
        <w:tc>
          <w:tcPr/>
          <w:p>
            <w:pPr>
              <w:pStyle w:val="Compact"/>
              <w:jc w:val="center"/>
            </w:pPr>
            <w:r>
              <w:t xml:space="preserve">−0.0055</w:t>
            </w:r>
          </w:p>
        </w:tc>
        <w:tc>
          <w:tcPr/>
          <w:p>
            <w:pPr>
              <w:pStyle w:val="Compact"/>
              <w:jc w:val="center"/>
            </w:pPr>
            <w:r>
              <w:t xml:space="preserve">−0.0766</w:t>
            </w:r>
          </w:p>
        </w:tc>
        <w:tc>
          <w:tcPr/>
          <w:p>
            <w:pPr>
              <w:pStyle w:val="Compact"/>
              <w:jc w:val="center"/>
            </w:pPr>
            <w:r>
              <w:t xml:space="preserve">0.0627</w:t>
            </w:r>
          </w:p>
        </w:tc>
        <w:tc>
          <w:tcPr/>
          <w:p>
            <w:pPr>
              <w:pStyle w:val="Compact"/>
              <w:jc w:val="center"/>
            </w:pPr>
            <w:r>
              <w:t xml:space="preserve">.56⁠ ⁠</w:t>
            </w:r>
          </w:p>
        </w:tc>
        <w:tc>
          <w:tcPr/>
          <w:p>
            <w:pPr>
              <w:pStyle w:val="Compact"/>
              <w:jc w:val="center"/>
            </w:pPr>
            <w:r>
              <w:t xml:space="preserve">−0.0125</w:t>
            </w:r>
          </w:p>
        </w:tc>
        <w:tc>
          <w:tcPr/>
          <w:p>
            <w:pPr>
              <w:pStyle w:val="Compact"/>
              <w:jc w:val="center"/>
            </w:pPr>
            <w:r>
              <w:t xml:space="preserve">−0.0852</w:t>
            </w:r>
          </w:p>
        </w:tc>
        <w:tc>
          <w:tcPr/>
          <w:p>
            <w:pPr>
              <w:pStyle w:val="Compact"/>
              <w:jc w:val="center"/>
            </w:pPr>
            <w:r>
              <w:t xml:space="preserve">0.0582</w:t>
            </w:r>
          </w:p>
        </w:tc>
        <w:tc>
          <w:tcPr/>
          <w:p>
            <w:pPr>
              <w:pStyle w:val="Compact"/>
              <w:jc w:val="center"/>
            </w:pPr>
            <w:r>
              <w:t xml:space="preserve">.64</w:t>
            </w:r>
          </w:p>
        </w:tc>
      </w:tr>
      <w:tr>
        <w:tc>
          <w:tcPr/>
          <w:p>
            <w:pPr>
              <w:pStyle w:val="Compact"/>
              <w:jc w:val="left"/>
            </w:pPr>
            <w:r>
              <w:t xml:space="preserve">      Mini-English</w:t>
            </w:r>
          </w:p>
        </w:tc>
        <w:tc>
          <w:tcPr/>
          <w:p>
            <w:pPr>
              <w:pStyle w:val="Compact"/>
              <w:jc w:val="center"/>
            </w:pPr>
            <w:r>
              <w:t xml:space="preserve">−0.0053</w:t>
            </w:r>
          </w:p>
        </w:tc>
        <w:tc>
          <w:tcPr/>
          <w:p>
            <w:pPr>
              <w:pStyle w:val="Compact"/>
              <w:jc w:val="center"/>
            </w:pPr>
            <w:r>
              <w:t xml:space="preserve">−0.0737</w:t>
            </w:r>
          </w:p>
        </w:tc>
        <w:tc>
          <w:tcPr/>
          <w:p>
            <w:pPr>
              <w:pStyle w:val="Compact"/>
              <w:jc w:val="center"/>
            </w:pPr>
            <w:r>
              <w:t xml:space="preserve">0.0631</w:t>
            </w:r>
          </w:p>
        </w:tc>
        <w:tc>
          <w:tcPr/>
          <w:p>
            <w:pPr>
              <w:pStyle w:val="Compact"/>
              <w:jc w:val="center"/>
            </w:pPr>
            <w:r>
              <w:t xml:space="preserve">.56⁠ ⁠</w:t>
            </w:r>
          </w:p>
        </w:tc>
        <w:tc>
          <w:tcPr/>
          <w:p>
            <w:pPr>
              <w:pStyle w:val="Compact"/>
              <w:jc w:val="center"/>
            </w:pPr>
            <w:r>
              <w:t xml:space="preserve">−0.0180</w:t>
            </w:r>
          </w:p>
        </w:tc>
        <w:tc>
          <w:tcPr/>
          <w:p>
            <w:pPr>
              <w:pStyle w:val="Compact"/>
              <w:jc w:val="center"/>
            </w:pPr>
            <w:r>
              <w:t xml:space="preserve">−0.0897</w:t>
            </w:r>
          </w:p>
        </w:tc>
        <w:tc>
          <w:tcPr/>
          <w:p>
            <w:pPr>
              <w:pStyle w:val="Compact"/>
              <w:jc w:val="center"/>
            </w:pPr>
            <w:r>
              <w:t xml:space="preserve">0.0541</w:t>
            </w:r>
          </w:p>
        </w:tc>
        <w:tc>
          <w:tcPr/>
          <w:p>
            <w:pPr>
              <w:pStyle w:val="Compact"/>
              <w:jc w:val="center"/>
            </w:pPr>
            <w:r>
              <w:t xml:space="preserve">.69</w:t>
            </w:r>
          </w:p>
        </w:tc>
      </w:tr>
      <w:tr>
        <w:tc>
          <w:tcPr/>
          <w:p>
            <w:pPr>
              <w:pStyle w:val="Compact"/>
              <w:jc w:val="left"/>
            </w:pPr>
            <w:r>
              <w:t xml:space="preserve">      Group difference</w:t>
            </w:r>
          </w:p>
        </w:tc>
        <w:tc>
          <w:tcPr/>
          <w:p>
            <w:pPr>
              <w:pStyle w:val="Compact"/>
              <w:jc w:val="center"/>
            </w:pPr>
            <w:r>
              <w:t xml:space="preserve">−0.0002</w:t>
            </w:r>
          </w:p>
        </w:tc>
        <w:tc>
          <w:tcPr/>
          <w:p>
            <w:pPr>
              <w:pStyle w:val="Compact"/>
              <w:jc w:val="center"/>
            </w:pPr>
            <w:r>
              <w:t xml:space="preserve">−0.0975</w:t>
            </w:r>
          </w:p>
        </w:tc>
        <w:tc>
          <w:tcPr/>
          <w:p>
            <w:pPr>
              <w:pStyle w:val="Compact"/>
              <w:jc w:val="center"/>
            </w:pPr>
            <w:r>
              <w:t xml:space="preserve">0.0957</w:t>
            </w:r>
          </w:p>
        </w:tc>
        <w:tc>
          <w:tcPr/>
          <w:p>
            <w:pPr>
              <w:pStyle w:val="Compact"/>
              <w:jc w:val="center"/>
            </w:pPr>
            <w:r>
              <w:t xml:space="preserve">.50⁠ ⁠</w:t>
            </w:r>
          </w:p>
        </w:tc>
        <w:tc>
          <w:tcPr/>
          <w:p>
            <w:pPr>
              <w:pStyle w:val="Compact"/>
              <w:jc w:val="center"/>
            </w:pPr>
            <w:r>
              <w:t xml:space="preserve">⁠ ⁠ ⁠0.0051</w:t>
            </w:r>
          </w:p>
        </w:tc>
        <w:tc>
          <w:tcPr/>
          <w:p>
            <w:pPr>
              <w:pStyle w:val="Compact"/>
              <w:jc w:val="center"/>
            </w:pPr>
            <w:r>
              <w:t xml:space="preserve">−0.0963</w:t>
            </w:r>
          </w:p>
        </w:tc>
        <w:tc>
          <w:tcPr/>
          <w:p>
            <w:pPr>
              <w:pStyle w:val="Compact"/>
              <w:jc w:val="center"/>
            </w:pPr>
            <w:r>
              <w:t xml:space="preserve">0.1055</w:t>
            </w:r>
          </w:p>
        </w:tc>
        <w:tc>
          <w:tcPr/>
          <w:p>
            <w:pPr>
              <w:pStyle w:val="Compact"/>
              <w:jc w:val="center"/>
            </w:pPr>
            <w:r>
              <w:t xml:space="preserve">.54</w:t>
            </w:r>
          </w:p>
        </w:tc>
      </w:tr>
      <w:tr>
        <w:tc>
          <w:tcPr>
            <w:gridSpan w:val="9"/>
          </w:tcPr>
          <w:p>
            <w:pPr>
              <w:pStyle w:val="Compact"/>
              <w:jc w:val="left"/>
            </w:pPr>
            <w:r>
              <w:t xml:space="preserve">   300–600 ms</w:t>
            </w:r>
          </w:p>
        </w:tc>
      </w:tr>
      <w:tr>
        <w:tc>
          <w:tcPr/>
          <w:p>
            <w:pPr>
              <w:pStyle w:val="Compact"/>
              <w:jc w:val="left"/>
            </w:pPr>
            <w:r>
              <w:t xml:space="preserve">      Overall</w:t>
            </w:r>
          </w:p>
        </w:tc>
        <w:tc>
          <w:tcPr/>
          <w:p>
            <w:pPr>
              <w:pStyle w:val="Compact"/>
              <w:jc w:val="center"/>
            </w:pPr>
            <w:r>
              <w:t xml:space="preserve">⁠ ⁠ ⁠0.0060</w:t>
            </w:r>
          </w:p>
        </w:tc>
        <w:tc>
          <w:tcPr/>
          <w:p>
            <w:pPr>
              <w:pStyle w:val="Compact"/>
              <w:jc w:val="center"/>
            </w:pPr>
            <w:r>
              <w:t xml:space="preserve">−0.0465</w:t>
            </w:r>
          </w:p>
        </w:tc>
        <w:tc>
          <w:tcPr/>
          <w:p>
            <w:pPr>
              <w:pStyle w:val="Compact"/>
              <w:jc w:val="center"/>
            </w:pPr>
            <w:r>
              <w:t xml:space="preserve">0.0569</w:t>
            </w:r>
          </w:p>
        </w:tc>
        <w:tc>
          <w:tcPr/>
          <w:p>
            <w:pPr>
              <w:pStyle w:val="Compact"/>
              <w:jc w:val="center"/>
            </w:pPr>
            <w:r>
              <w:t xml:space="preserve">.59⁠ ⁠</w:t>
            </w:r>
          </w:p>
        </w:tc>
        <w:tc>
          <w:tcPr/>
          <w:p>
            <w:pPr>
              <w:pStyle w:val="Compact"/>
              <w:jc w:val="center"/>
            </w:pPr>
            <w:r>
              <w:t xml:space="preserve">⁠ ⁠ ⁠0.0022</w:t>
            </w:r>
          </w:p>
        </w:tc>
        <w:tc>
          <w:tcPr/>
          <w:p>
            <w:pPr>
              <w:pStyle w:val="Compact"/>
              <w:jc w:val="center"/>
            </w:pPr>
            <w:r>
              <w:t xml:space="preserve">−0.0514</w:t>
            </w:r>
          </w:p>
        </w:tc>
        <w:tc>
          <w:tcPr/>
          <w:p>
            <w:pPr>
              <w:pStyle w:val="Compact"/>
              <w:jc w:val="center"/>
            </w:pPr>
            <w:r>
              <w:t xml:space="preserve">0.0548</w:t>
            </w:r>
          </w:p>
        </w:tc>
        <w:tc>
          <w:tcPr/>
          <w:p>
            <w:pPr>
              <w:pStyle w:val="Compact"/>
              <w:jc w:val="center"/>
            </w:pPr>
            <w:r>
              <w:t xml:space="preserve">.53</w:t>
            </w:r>
          </w:p>
        </w:tc>
      </w:tr>
      <w:tr>
        <w:tc>
          <w:tcPr/>
          <w:p>
            <w:pPr>
              <w:pStyle w:val="Compact"/>
              <w:jc w:val="left"/>
            </w:pPr>
            <w:r>
              <w:t xml:space="preserve">      Mini-Norwegian</w:t>
            </w:r>
          </w:p>
        </w:tc>
        <w:tc>
          <w:tcPr/>
          <w:p>
            <w:pPr>
              <w:pStyle w:val="Compact"/>
              <w:jc w:val="center"/>
            </w:pPr>
            <w:r>
              <w:t xml:space="preserve">⁠ ⁠ ⁠0.0026</w:t>
            </w:r>
          </w:p>
        </w:tc>
        <w:tc>
          <w:tcPr/>
          <w:p>
            <w:pPr>
              <w:pStyle w:val="Compact"/>
              <w:jc w:val="center"/>
            </w:pPr>
            <w:r>
              <w:t xml:space="preserve">−0.0717</w:t>
            </w:r>
          </w:p>
        </w:tc>
        <w:tc>
          <w:tcPr/>
          <w:p>
            <w:pPr>
              <w:pStyle w:val="Compact"/>
              <w:jc w:val="center"/>
            </w:pPr>
            <w:r>
              <w:t xml:space="preserve">0.0760</w:t>
            </w:r>
          </w:p>
        </w:tc>
        <w:tc>
          <w:tcPr/>
          <w:p>
            <w:pPr>
              <w:pStyle w:val="Compact"/>
              <w:jc w:val="center"/>
            </w:pPr>
            <w:r>
              <w:t xml:space="preserve">.53⁠ ⁠</w:t>
            </w:r>
          </w:p>
        </w:tc>
        <w:tc>
          <w:tcPr/>
          <w:p>
            <w:pPr>
              <w:pStyle w:val="Compact"/>
              <w:jc w:val="center"/>
            </w:pPr>
            <w:r>
              <w:t xml:space="preserve">⁠ ⁠ ⁠0.0072</w:t>
            </w:r>
          </w:p>
        </w:tc>
        <w:tc>
          <w:tcPr/>
          <w:p>
            <w:pPr>
              <w:pStyle w:val="Compact"/>
              <w:jc w:val="center"/>
            </w:pPr>
            <w:r>
              <w:t xml:space="preserve">−0.0688</w:t>
            </w:r>
          </w:p>
        </w:tc>
        <w:tc>
          <w:tcPr/>
          <w:p>
            <w:pPr>
              <w:pStyle w:val="Compact"/>
              <w:jc w:val="center"/>
            </w:pPr>
            <w:r>
              <w:t xml:space="preserve">0.0820</w:t>
            </w:r>
          </w:p>
        </w:tc>
        <w:tc>
          <w:tcPr/>
          <w:p>
            <w:pPr>
              <w:pStyle w:val="Compact"/>
              <w:jc w:val="center"/>
            </w:pPr>
            <w:r>
              <w:t xml:space="preserve">.57</w:t>
            </w:r>
          </w:p>
        </w:tc>
      </w:tr>
      <w:tr>
        <w:tc>
          <w:tcPr/>
          <w:p>
            <w:pPr>
              <w:pStyle w:val="Compact"/>
              <w:jc w:val="left"/>
            </w:pPr>
            <w:r>
              <w:t xml:space="preserve">      Mini-English</w:t>
            </w:r>
          </w:p>
        </w:tc>
        <w:tc>
          <w:tcPr/>
          <w:p>
            <w:pPr>
              <w:pStyle w:val="Compact"/>
              <w:jc w:val="center"/>
            </w:pPr>
            <w:r>
              <w:t xml:space="preserve">⁠ ⁠ ⁠0.0094</w:t>
            </w:r>
          </w:p>
        </w:tc>
        <w:tc>
          <w:tcPr/>
          <w:p>
            <w:pPr>
              <w:pStyle w:val="Compact"/>
              <w:jc w:val="center"/>
            </w:pPr>
            <w:r>
              <w:t xml:space="preserve">−0.0642</w:t>
            </w:r>
          </w:p>
        </w:tc>
        <w:tc>
          <w:tcPr/>
          <w:p>
            <w:pPr>
              <w:pStyle w:val="Compact"/>
              <w:jc w:val="center"/>
            </w:pPr>
            <w:r>
              <w:t xml:space="preserve">0.0814</w:t>
            </w:r>
          </w:p>
        </w:tc>
        <w:tc>
          <w:tcPr/>
          <w:p>
            <w:pPr>
              <w:pStyle w:val="Compact"/>
              <w:jc w:val="center"/>
            </w:pPr>
            <w:r>
              <w:t xml:space="preserve">.60⁠ ⁠</w:t>
            </w:r>
          </w:p>
        </w:tc>
        <w:tc>
          <w:tcPr/>
          <w:p>
            <w:pPr>
              <w:pStyle w:val="Compact"/>
              <w:jc w:val="center"/>
            </w:pPr>
            <w:r>
              <w:t xml:space="preserve">−0.0027</w:t>
            </w:r>
          </w:p>
        </w:tc>
        <w:tc>
          <w:tcPr/>
          <w:p>
            <w:pPr>
              <w:pStyle w:val="Compact"/>
              <w:jc w:val="center"/>
            </w:pPr>
            <w:r>
              <w:t xml:space="preserve">−0.0781</w:t>
            </w:r>
          </w:p>
        </w:tc>
        <w:tc>
          <w:tcPr/>
          <w:p>
            <w:pPr>
              <w:pStyle w:val="Compact"/>
              <w:jc w:val="center"/>
            </w:pPr>
            <w:r>
              <w:t xml:space="preserve">0.0719</w:t>
            </w:r>
          </w:p>
        </w:tc>
        <w:tc>
          <w:tcPr/>
          <w:p>
            <w:pPr>
              <w:pStyle w:val="Compact"/>
              <w:jc w:val="center"/>
            </w:pPr>
            <w:r>
              <w:t xml:space="preserve">.53</w:t>
            </w:r>
          </w:p>
        </w:tc>
      </w:tr>
      <w:tr>
        <w:tc>
          <w:tcPr/>
          <w:p>
            <w:pPr>
              <w:pStyle w:val="Compact"/>
              <w:jc w:val="left"/>
            </w:pPr>
            <w:r>
              <w:t xml:space="preserve">      Group difference</w:t>
            </w:r>
          </w:p>
        </w:tc>
        <w:tc>
          <w:tcPr/>
          <w:p>
            <w:pPr>
              <w:pStyle w:val="Compact"/>
              <w:jc w:val="center"/>
            </w:pPr>
            <w:r>
              <w:t xml:space="preserve">−0.0064</w:t>
            </w:r>
          </w:p>
        </w:tc>
        <w:tc>
          <w:tcPr/>
          <w:p>
            <w:pPr>
              <w:pStyle w:val="Compact"/>
              <w:jc w:val="center"/>
            </w:pPr>
            <w:r>
              <w:t xml:space="preserve">−0.1098</w:t>
            </w:r>
          </w:p>
        </w:tc>
        <w:tc>
          <w:tcPr/>
          <w:p>
            <w:pPr>
              <w:pStyle w:val="Compact"/>
              <w:jc w:val="center"/>
            </w:pPr>
            <w:r>
              <w:t xml:space="preserve">0.0963</w:t>
            </w:r>
          </w:p>
        </w:tc>
        <w:tc>
          <w:tcPr/>
          <w:p>
            <w:pPr>
              <w:pStyle w:val="Compact"/>
              <w:jc w:val="center"/>
            </w:pPr>
            <w:r>
              <w:t xml:space="preserve">.55⁠ ⁠</w:t>
            </w:r>
          </w:p>
        </w:tc>
        <w:tc>
          <w:tcPr/>
          <w:p>
            <w:pPr>
              <w:pStyle w:val="Compact"/>
              <w:jc w:val="center"/>
            </w:pPr>
            <w:r>
              <w:t xml:space="preserve">⁠ ⁠ ⁠0.0099</w:t>
            </w:r>
          </w:p>
        </w:tc>
        <w:tc>
          <w:tcPr/>
          <w:p>
            <w:pPr>
              <w:pStyle w:val="Compact"/>
              <w:jc w:val="center"/>
            </w:pPr>
            <w:r>
              <w:t xml:space="preserve">−0.0975</w:t>
            </w:r>
          </w:p>
        </w:tc>
        <w:tc>
          <w:tcPr/>
          <w:p>
            <w:pPr>
              <w:pStyle w:val="Compact"/>
              <w:jc w:val="center"/>
            </w:pPr>
            <w:r>
              <w:t xml:space="preserve">0.1164</w:t>
            </w:r>
          </w:p>
        </w:tc>
        <w:tc>
          <w:tcPr/>
          <w:p>
            <w:pPr>
              <w:pStyle w:val="Compact"/>
              <w:jc w:val="center"/>
            </w:pPr>
            <w:r>
              <w:t xml:space="preserve">.57</w:t>
            </w:r>
          </w:p>
        </w:tc>
      </w:tr>
      <w:tr>
        <w:tc>
          <w:tcPr>
            <w:gridSpan w:val="9"/>
          </w:tcPr>
          <w:p>
            <w:pPr>
              <w:pStyle w:val="Compact"/>
              <w:jc w:val="left"/>
            </w:pPr>
            <w:r>
              <w:t xml:space="preserve">   400–900 ms</w:t>
            </w:r>
          </w:p>
        </w:tc>
      </w:tr>
      <w:tr>
        <w:tc>
          <w:tcPr/>
          <w:p>
            <w:pPr>
              <w:pStyle w:val="Compact"/>
              <w:jc w:val="left"/>
            </w:pPr>
            <w:r>
              <w:t xml:space="preserve">      Overall</w:t>
            </w:r>
          </w:p>
        </w:tc>
        <w:tc>
          <w:tcPr/>
          <w:p>
            <w:pPr>
              <w:pStyle w:val="Compact"/>
              <w:jc w:val="center"/>
            </w:pPr>
            <w:r>
              <w:t xml:space="preserve">⁠ ⁠ ⁠0.0358</w:t>
            </w:r>
          </w:p>
        </w:tc>
        <w:tc>
          <w:tcPr/>
          <w:p>
            <w:pPr>
              <w:pStyle w:val="Compact"/>
              <w:jc w:val="center"/>
            </w:pPr>
            <w:r>
              <w:t xml:space="preserve">−0.0243</w:t>
            </w:r>
          </w:p>
        </w:tc>
        <w:tc>
          <w:tcPr/>
          <w:p>
            <w:pPr>
              <w:pStyle w:val="Compact"/>
              <w:jc w:val="center"/>
            </w:pPr>
            <w:r>
              <w:t xml:space="preserve">0.0927</w:t>
            </w:r>
          </w:p>
        </w:tc>
        <w:tc>
          <w:tcPr/>
          <w:p>
            <w:pPr>
              <w:pStyle w:val="Compact"/>
              <w:jc w:val="center"/>
            </w:pPr>
            <w:r>
              <w:t xml:space="preserve">.89⁠ ⁠</w:t>
            </w:r>
          </w:p>
        </w:tc>
        <w:tc>
          <w:tcPr/>
          <w:p>
            <w:pPr>
              <w:pStyle w:val="Compact"/>
              <w:jc w:val="center"/>
            </w:pPr>
            <w:r>
              <w:t xml:space="preserve">⁠ ⁠ ⁠0.0383</w:t>
            </w:r>
          </w:p>
        </w:tc>
        <w:tc>
          <w:tcPr/>
          <w:p>
            <w:pPr>
              <w:pStyle w:val="Compact"/>
              <w:jc w:val="center"/>
            </w:pPr>
            <w:r>
              <w:t xml:space="preserve">−0.0173</w:t>
            </w:r>
          </w:p>
        </w:tc>
        <w:tc>
          <w:tcPr/>
          <w:p>
            <w:pPr>
              <w:pStyle w:val="Compact"/>
              <w:jc w:val="center"/>
            </w:pPr>
            <w:r>
              <w:t xml:space="preserve">0.0954</w:t>
            </w:r>
          </w:p>
        </w:tc>
        <w:tc>
          <w:tcPr/>
          <w:p>
            <w:pPr>
              <w:pStyle w:val="Compact"/>
              <w:jc w:val="center"/>
            </w:pPr>
            <w:r>
              <w:t xml:space="preserve">.91</w:t>
            </w:r>
          </w:p>
        </w:tc>
      </w:tr>
      <w:tr>
        <w:tc>
          <w:tcPr/>
          <w:p>
            <w:pPr>
              <w:pStyle w:val="Compact"/>
              <w:jc w:val="left"/>
            </w:pPr>
            <w:r>
              <w:t xml:space="preserve">      Mini-Norwegian</w:t>
            </w:r>
          </w:p>
        </w:tc>
        <w:tc>
          <w:tcPr/>
          <w:p>
            <w:pPr>
              <w:pStyle w:val="Compact"/>
              <w:jc w:val="center"/>
            </w:pPr>
            <w:r>
              <w:t xml:space="preserve">⁠ ⁠ ⁠0.0644</w:t>
            </w:r>
          </w:p>
        </w:tc>
        <w:tc>
          <w:tcPr/>
          <w:p>
            <w:pPr>
              <w:pStyle w:val="Compact"/>
              <w:jc w:val="center"/>
            </w:pPr>
            <w:r>
              <w:t xml:space="preserve">−0.0207</w:t>
            </w:r>
          </w:p>
        </w:tc>
        <w:tc>
          <w:tcPr/>
          <w:p>
            <w:pPr>
              <w:pStyle w:val="Compact"/>
              <w:jc w:val="center"/>
            </w:pPr>
            <w:r>
              <w:t xml:space="preserve">0.1470</w:t>
            </w:r>
          </w:p>
        </w:tc>
        <w:tc>
          <w:tcPr/>
          <w:p>
            <w:pPr>
              <w:pStyle w:val="Compact"/>
              <w:jc w:val="center"/>
            </w:pPr>
            <w:r>
              <w:t xml:space="preserve">.93⁠ ⁠</w:t>
            </w:r>
          </w:p>
        </w:tc>
        <w:tc>
          <w:tcPr/>
          <w:p>
            <w:pPr>
              <w:pStyle w:val="Compact"/>
              <w:jc w:val="center"/>
            </w:pPr>
            <w:r>
              <w:t xml:space="preserve">⁠ ⁠ ⁠0.0709</w:t>
            </w:r>
          </w:p>
        </w:tc>
        <w:tc>
          <w:tcPr/>
          <w:p>
            <w:pPr>
              <w:pStyle w:val="Compact"/>
              <w:jc w:val="center"/>
            </w:pPr>
            <w:r>
              <w:t xml:space="preserve">−0.0094</w:t>
            </w:r>
          </w:p>
        </w:tc>
        <w:tc>
          <w:tcPr/>
          <w:p>
            <w:pPr>
              <w:pStyle w:val="Compact"/>
              <w:jc w:val="center"/>
            </w:pPr>
            <w:r>
              <w:t xml:space="preserve">0.1513</w:t>
            </w:r>
          </w:p>
        </w:tc>
        <w:tc>
          <w:tcPr/>
          <w:p>
            <w:pPr>
              <w:pStyle w:val="Compact"/>
              <w:jc w:val="center"/>
            </w:pPr>
            <w:r>
              <w:t xml:space="preserve">.96</w:t>
            </w:r>
          </w:p>
        </w:tc>
      </w:tr>
      <w:tr>
        <w:tc>
          <w:tcPr/>
          <w:p>
            <w:pPr>
              <w:pStyle w:val="Compact"/>
              <w:jc w:val="left"/>
            </w:pPr>
            <w:r>
              <w:t xml:space="preserve">      Mini-English</w:t>
            </w:r>
          </w:p>
        </w:tc>
        <w:tc>
          <w:tcPr/>
          <w:p>
            <w:pPr>
              <w:pStyle w:val="Compact"/>
              <w:jc w:val="center"/>
            </w:pPr>
            <w:r>
              <w:t xml:space="preserve">⁠ ⁠ ⁠0.0062</w:t>
            </w:r>
          </w:p>
        </w:tc>
        <w:tc>
          <w:tcPr/>
          <w:p>
            <w:pPr>
              <w:pStyle w:val="Compact"/>
              <w:jc w:val="center"/>
            </w:pPr>
            <w:r>
              <w:t xml:space="preserve">−0.0773</w:t>
            </w:r>
          </w:p>
        </w:tc>
        <w:tc>
          <w:tcPr/>
          <w:p>
            <w:pPr>
              <w:pStyle w:val="Compact"/>
              <w:jc w:val="center"/>
            </w:pPr>
            <w:r>
              <w:t xml:space="preserve">0.0875</w:t>
            </w:r>
          </w:p>
        </w:tc>
        <w:tc>
          <w:tcPr/>
          <w:p>
            <w:pPr>
              <w:pStyle w:val="Compact"/>
              <w:jc w:val="center"/>
            </w:pPr>
            <w:r>
              <w:t xml:space="preserve">.56⁠ ⁠</w:t>
            </w:r>
          </w:p>
        </w:tc>
        <w:tc>
          <w:tcPr/>
          <w:p>
            <w:pPr>
              <w:pStyle w:val="Compact"/>
              <w:jc w:val="center"/>
            </w:pPr>
            <w:r>
              <w:t xml:space="preserve">⁠ ⁠ ⁠0.0050</w:t>
            </w:r>
          </w:p>
        </w:tc>
        <w:tc>
          <w:tcPr/>
          <w:p>
            <w:pPr>
              <w:pStyle w:val="Compact"/>
              <w:jc w:val="center"/>
            </w:pPr>
            <w:r>
              <w:t xml:space="preserve">−0.0752</w:t>
            </w:r>
          </w:p>
        </w:tc>
        <w:tc>
          <w:tcPr/>
          <w:p>
            <w:pPr>
              <w:pStyle w:val="Compact"/>
              <w:jc w:val="center"/>
            </w:pPr>
            <w:r>
              <w:t xml:space="preserve">0.0853</w:t>
            </w:r>
          </w:p>
        </w:tc>
        <w:tc>
          <w:tcPr/>
          <w:p>
            <w:pPr>
              <w:pStyle w:val="Compact"/>
              <w:jc w:val="center"/>
            </w:pPr>
            <w:r>
              <w:t xml:space="preserve">.55</w:t>
            </w:r>
          </w:p>
        </w:tc>
      </w:tr>
      <w:tr>
        <w:tc>
          <w:tcPr/>
          <w:p>
            <w:pPr>
              <w:pStyle w:val="Compact"/>
              <w:jc w:val="left"/>
            </w:pPr>
            <w:r>
              <w:t xml:space="preserve">      Group difference</w:t>
            </w:r>
          </w:p>
        </w:tc>
        <w:tc>
          <w:tcPr/>
          <w:p>
            <w:pPr>
              <w:pStyle w:val="Compact"/>
              <w:jc w:val="center"/>
            </w:pPr>
            <w:r>
              <w:t xml:space="preserve">⁠ ⁠ ⁠0.0582</w:t>
            </w:r>
          </w:p>
        </w:tc>
        <w:tc>
          <w:tcPr/>
          <w:p>
            <w:pPr>
              <w:pStyle w:val="Compact"/>
              <w:jc w:val="center"/>
            </w:pPr>
            <w:r>
              <w:t xml:space="preserve">−0.0599</w:t>
            </w:r>
          </w:p>
        </w:tc>
        <w:tc>
          <w:tcPr/>
          <w:p>
            <w:pPr>
              <w:pStyle w:val="Compact"/>
              <w:jc w:val="center"/>
            </w:pPr>
            <w:r>
              <w:t xml:space="preserve">0.1752</w:t>
            </w:r>
          </w:p>
        </w:tc>
        <w:tc>
          <w:tcPr/>
          <w:p>
            <w:pPr>
              <w:pStyle w:val="Compact"/>
              <w:jc w:val="center"/>
            </w:pPr>
            <w:r>
              <w:t xml:space="preserve">.84⁠ ⁠</w:t>
            </w:r>
          </w:p>
        </w:tc>
        <w:tc>
          <w:tcPr/>
          <w:p>
            <w:pPr>
              <w:pStyle w:val="Compact"/>
              <w:jc w:val="center"/>
            </w:pPr>
            <w:r>
              <w:t xml:space="preserve">⁠ ⁠ ⁠0.0656</w:t>
            </w:r>
          </w:p>
        </w:tc>
        <w:tc>
          <w:tcPr/>
          <w:p>
            <w:pPr>
              <w:pStyle w:val="Compact"/>
              <w:jc w:val="center"/>
            </w:pPr>
            <w:r>
              <w:t xml:space="preserve">−0.0497</w:t>
            </w:r>
          </w:p>
        </w:tc>
        <w:tc>
          <w:tcPr/>
          <w:p>
            <w:pPr>
              <w:pStyle w:val="Compact"/>
              <w:jc w:val="center"/>
            </w:pPr>
            <w:r>
              <w:t xml:space="preserve">0.1796</w:t>
            </w:r>
          </w:p>
        </w:tc>
        <w:tc>
          <w:tcPr/>
          <w:p>
            <w:pPr>
              <w:pStyle w:val="Compact"/>
              <w:jc w:val="center"/>
            </w:pPr>
            <w:r>
              <w:t xml:space="preserve">.87</w:t>
            </w:r>
          </w:p>
        </w:tc>
      </w:tr>
    </w:tbl>
    <w:bookmarkEnd w:id="408"/>
    <w:p>
      <w:pPr>
        <w:pStyle w:val="FigureNote"/>
      </w:pPr>
      <w:r>
        <w:rPr>
          <w:i/>
          <w:iCs/>
        </w:rPr>
        <w:t xml:space="preserve">Note</w:t>
      </w:r>
      <w:r>
        <w:t xml:space="preserve">. Values are posterior summaries of the change in the ERP grammaticality effect from Session 4 to Session 6 in the reported models, in within-participant standard-deviation units of amplitude. Positive values indicate an effect that strengthened over the interval. Overall = averaged over the two groups; Group difference = Mini-Norwegian minus Mini-English.</w:t>
      </w:r>
      <w:r>
        <w:t xml:space="preserve"> </w:t>
      </w:r>
      <w:r>
        <w:rPr>
          <w:i/>
          <w:iCs/>
        </w:rPr>
        <w:t xml:space="preserve">Mdn</w:t>
      </w:r>
      <w:r>
        <w:t xml:space="preserve"> </w:t>
      </w:r>
      <w:r>
        <w:t xml:space="preserve">= posterior median;</w:t>
      </w:r>
      <w:r>
        <w:t xml:space="preserve"> </w:t>
      </w:r>
      <w:r>
        <w:rPr>
          <w:i/>
          <w:iCs/>
        </w:rPr>
        <w:t xml:space="preserve">LL</w:t>
      </w:r>
      <w:r>
        <w:t xml:space="preserve"> </w:t>
      </w:r>
      <w:r>
        <w:t xml:space="preserve">and</w:t>
      </w:r>
      <w:r>
        <w:t xml:space="preserve"> </w:t>
      </w:r>
      <w:r>
        <w:rPr>
          <w:i/>
          <w:iCs/>
        </w:rPr>
        <w:t xml:space="preserve">UL</w:t>
      </w:r>
      <w:r>
        <w:t xml:space="preserve"> </w:t>
      </w:r>
      <w:r>
        <w:t xml:space="preserve">= lower and upper limits of the 95% equal-tailed credible interval;</w:t>
      </w:r>
      <w:r>
        <w:t xml:space="preserve"> </w:t>
      </w:r>
      <w:r>
        <w:rPr>
          <w:i/>
          <w:iCs/>
        </w:rPr>
        <w:t xml:space="preserve">p</w:t>
      </w:r>
      <w:r>
        <w:rPr>
          <w:vertAlign w:val="subscript"/>
        </w:rPr>
        <w:t xml:space="preserve">d</w:t>
      </w:r>
      <w:r>
        <w:t xml:space="preserve"> </w:t>
      </w:r>
      <w:r>
        <w:t xml:space="preserve">= probability of direction. An em dash marks a contrast not yet available. The judgement models’ retention quantities are reported in signal-detection terms with the sensitivity and criterion contrasts in this appendix.</w:t>
      </w:r>
    </w:p>
    <w:p>
      <w:pPr>
        <w:pStyle w:val="BodyText"/>
      </w:pPr>
      <w:r>
        <w:t xml:space="preserve"> </w:t>
      </w:r>
    </w:p>
    <w:bookmarkStart w:id="409" w:name="tbl-retention-free"/>
    <w:p>
      <w:pPr>
        <w:pStyle w:val="FigureTitle"/>
      </w:pPr>
      <w:r>
        <w:t xml:space="preserve">Table B2</w:t>
      </w:r>
    </w:p>
    <w:p>
      <w:pPr>
        <w:pStyle w:val="Caption"/>
      </w:pPr>
      <w:r>
        <w:t xml:space="preserve">Deviation of the ERP Grammaticality Effect at Session 6 From the Training Trend (Retention-Free Refits)</w:t>
      </w:r>
    </w:p>
    <w:tbl>
      <w:tblPr>
        <w:tblStyle w:val="Table"/>
        <w:tblW w:type="pct" w:w="4995"/>
        <w:tblLayout w:type="fixed"/>
        <w:tblLook w:firstRow="1" w:lastRow="0" w:firstColumn="0" w:lastColumn="0" w:noHBand="0" w:noVBand="0" w:val="0020"/>
      </w:tblPr>
      <w:tblGrid>
        <w:gridCol w:w="1813"/>
        <w:gridCol w:w="795"/>
        <w:gridCol w:w="795"/>
        <w:gridCol w:w="795"/>
        <w:gridCol w:w="661"/>
        <w:gridCol w:w="795"/>
        <w:gridCol w:w="795"/>
        <w:gridCol w:w="795"/>
        <w:gridCol w:w="661"/>
      </w:tblGrid>
      <w:tr>
        <w:trPr>
          <w:tblHeader w:val="on"/>
        </w:trPr>
        <w:tc>
          <w:tcPr/>
          <w:p>
            <w:pPr>
              <w:pStyle w:val="Compact"/>
            </w:pPr>
          </w:p>
        </w:tc>
        <w:tc>
          <w:tcPr>
            <w:gridSpan w:val="4"/>
          </w:tcPr>
          <w:p>
            <w:pPr>
              <w:pStyle w:val="Compact"/>
              <w:jc w:val="center"/>
            </w:pPr>
            <w:r>
              <w:t xml:space="preserve">Lateral</w:t>
            </w:r>
          </w:p>
        </w:tc>
        <w:tc>
          <w:tcPr>
            <w:gridSpan w:val="4"/>
          </w:tcPr>
          <w:p>
            <w:pPr>
              <w:pStyle w:val="Compact"/>
              <w:jc w:val="center"/>
            </w:pPr>
            <w:r>
              <w:t xml:space="preserve">Midline</w:t>
            </w:r>
          </w:p>
        </w:tc>
      </w:tr>
      <w:tr>
        <w:trPr>
          <w:tblHeader w:val="on"/>
        </w:trPr>
        <w:tc>
          <w:tcPr/>
          <w:p>
            <w:pPr>
              <w:pStyle w:val="Compact"/>
              <w:jc w:val="left"/>
            </w:pPr>
            <w:r>
              <w:t xml:space="preserve">Contrast</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center"/>
            </w:pPr>
            <w:r>
              <w:rPr>
                <w:i/>
                <w:iCs/>
              </w:rPr>
              <w:t xml:space="preserve">p</w:t>
            </w:r>
            <w:r>
              <w:rPr>
                <w:vertAlign w:val="subscript"/>
              </w:rPr>
              <w:t xml:space="preserve">d</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center"/>
            </w:pPr>
            <w:r>
              <w:rPr>
                <w:i/>
                <w:iCs/>
              </w:rPr>
              <w:t xml:space="preserve">p</w:t>
            </w:r>
            <w:r>
              <w:rPr>
                <w:vertAlign w:val="subscript"/>
              </w:rPr>
              <w:t xml:space="preserve">d</w:t>
            </w:r>
          </w:p>
        </w:tc>
      </w:tr>
      <w:tr>
        <w:tc>
          <w:tcPr>
            <w:gridSpan w:val="9"/>
          </w:tcPr>
          <w:p>
            <w:pPr>
              <w:pStyle w:val="Compact"/>
              <w:jc w:val="left"/>
            </w:pPr>
            <w:r>
              <w:rPr>
                <w:i/>
                <w:iCs/>
              </w:rPr>
              <w:t xml:space="preserve">Gender agreement</w:t>
            </w:r>
          </w:p>
        </w:tc>
      </w:tr>
      <w:tr>
        <w:tc>
          <w:tcPr>
            <w:gridSpan w:val="9"/>
          </w:tcPr>
          <w:p>
            <w:pPr>
              <w:pStyle w:val="Compact"/>
              <w:jc w:val="left"/>
            </w:pPr>
            <w:r>
              <w:t xml:space="preserve">   200–500 ms</w:t>
            </w:r>
          </w:p>
        </w:tc>
      </w:tr>
      <w:tr>
        <w:tc>
          <w:tcPr/>
          <w:p>
            <w:pPr>
              <w:pStyle w:val="Compact"/>
              <w:jc w:val="left"/>
            </w:pPr>
            <w:r>
              <w:t xml:space="preserve">      Overall</w:t>
            </w:r>
          </w:p>
        </w:tc>
        <w:tc>
          <w:tcPr/>
          <w:p>
            <w:pPr>
              <w:pStyle w:val="Compact"/>
              <w:jc w:val="center"/>
            </w:pPr>
            <w:r>
              <w:t xml:space="preserve">⁠ ⁠ ⁠0.014</w:t>
            </w:r>
          </w:p>
        </w:tc>
        <w:tc>
          <w:tcPr/>
          <w:p>
            <w:pPr>
              <w:pStyle w:val="Compact"/>
              <w:jc w:val="center"/>
            </w:pPr>
            <w:r>
              <w:t xml:space="preserve">−0.040</w:t>
            </w:r>
          </w:p>
        </w:tc>
        <w:tc>
          <w:tcPr/>
          <w:p>
            <w:pPr>
              <w:pStyle w:val="Compact"/>
              <w:jc w:val="center"/>
            </w:pPr>
            <w:r>
              <w:t xml:space="preserve">0.069</w:t>
            </w:r>
          </w:p>
        </w:tc>
        <w:tc>
          <w:tcPr/>
          <w:p>
            <w:pPr>
              <w:pStyle w:val="Compact"/>
              <w:jc w:val="center"/>
            </w:pPr>
            <w:r>
              <w:t xml:space="preserve">.69</w:t>
            </w:r>
          </w:p>
        </w:tc>
        <w:tc>
          <w:tcPr/>
          <w:p>
            <w:pPr>
              <w:pStyle w:val="Compact"/>
              <w:jc w:val="center"/>
            </w:pPr>
            <w:r>
              <w:t xml:space="preserve">⁠ ⁠ ⁠0.016</w:t>
            </w:r>
          </w:p>
        </w:tc>
        <w:tc>
          <w:tcPr/>
          <w:p>
            <w:pPr>
              <w:pStyle w:val="Compact"/>
              <w:jc w:val="center"/>
            </w:pPr>
            <w:r>
              <w:t xml:space="preserve">−0.042</w:t>
            </w:r>
          </w:p>
        </w:tc>
        <w:tc>
          <w:tcPr/>
          <w:p>
            <w:pPr>
              <w:pStyle w:val="Compact"/>
              <w:jc w:val="center"/>
            </w:pPr>
            <w:r>
              <w:t xml:space="preserve">⁠ ⁠ ⁠0.074</w:t>
            </w:r>
          </w:p>
        </w:tc>
        <w:tc>
          <w:tcPr/>
          <w:p>
            <w:pPr>
              <w:pStyle w:val="Compact"/>
              <w:jc w:val="center"/>
            </w:pPr>
            <w:r>
              <w:t xml:space="preserve">.71</w:t>
            </w:r>
          </w:p>
        </w:tc>
      </w:tr>
      <w:tr>
        <w:tc>
          <w:tcPr/>
          <w:p>
            <w:pPr>
              <w:pStyle w:val="Compact"/>
              <w:jc w:val="left"/>
            </w:pPr>
            <w:r>
              <w:t xml:space="preserve">      Mini-Norwegian</w:t>
            </w:r>
          </w:p>
        </w:tc>
        <w:tc>
          <w:tcPr/>
          <w:p>
            <w:pPr>
              <w:pStyle w:val="Compact"/>
              <w:jc w:val="center"/>
            </w:pPr>
            <w:r>
              <w:t xml:space="preserve">⁠ ⁠ ⁠0.039</w:t>
            </w:r>
          </w:p>
        </w:tc>
        <w:tc>
          <w:tcPr/>
          <w:p>
            <w:pPr>
              <w:pStyle w:val="Compact"/>
              <w:jc w:val="center"/>
            </w:pPr>
            <w:r>
              <w:t xml:space="preserve">−0.040</w:t>
            </w:r>
          </w:p>
        </w:tc>
        <w:tc>
          <w:tcPr/>
          <w:p>
            <w:pPr>
              <w:pStyle w:val="Compact"/>
              <w:jc w:val="center"/>
            </w:pPr>
            <w:r>
              <w:t xml:space="preserve">0.117</w:t>
            </w:r>
          </w:p>
        </w:tc>
        <w:tc>
          <w:tcPr/>
          <w:p>
            <w:pPr>
              <w:pStyle w:val="Compact"/>
              <w:jc w:val="center"/>
            </w:pPr>
            <w:r>
              <w:t xml:space="preserve">.83</w:t>
            </w:r>
          </w:p>
        </w:tc>
        <w:tc>
          <w:tcPr/>
          <w:p>
            <w:pPr>
              <w:pStyle w:val="Compact"/>
              <w:jc w:val="center"/>
            </w:pPr>
            <w:r>
              <w:t xml:space="preserve">⁠ ⁠ ⁠0.046</w:t>
            </w:r>
          </w:p>
        </w:tc>
        <w:tc>
          <w:tcPr/>
          <w:p>
            <w:pPr>
              <w:pStyle w:val="Compact"/>
              <w:jc w:val="center"/>
            </w:pPr>
            <w:r>
              <w:t xml:space="preserve">−0.038</w:t>
            </w:r>
          </w:p>
        </w:tc>
        <w:tc>
          <w:tcPr/>
          <w:p>
            <w:pPr>
              <w:pStyle w:val="Compact"/>
              <w:jc w:val="center"/>
            </w:pPr>
            <w:r>
              <w:t xml:space="preserve">⁠ ⁠ ⁠0.128</w:t>
            </w:r>
          </w:p>
        </w:tc>
        <w:tc>
          <w:tcPr/>
          <w:p>
            <w:pPr>
              <w:pStyle w:val="Compact"/>
              <w:jc w:val="center"/>
            </w:pPr>
            <w:r>
              <w:t xml:space="preserve">.86</w:t>
            </w:r>
          </w:p>
        </w:tc>
      </w:tr>
      <w:tr>
        <w:tc>
          <w:tcPr/>
          <w:p>
            <w:pPr>
              <w:pStyle w:val="Compact"/>
              <w:jc w:val="left"/>
            </w:pPr>
            <w:r>
              <w:t xml:space="preserve">      Mini-English</w:t>
            </w:r>
          </w:p>
        </w:tc>
        <w:tc>
          <w:tcPr/>
          <w:p>
            <w:pPr>
              <w:pStyle w:val="Compact"/>
              <w:jc w:val="center"/>
            </w:pPr>
            <w:r>
              <w:t xml:space="preserve">−0.009</w:t>
            </w:r>
          </w:p>
        </w:tc>
        <w:tc>
          <w:tcPr/>
          <w:p>
            <w:pPr>
              <w:pStyle w:val="Compact"/>
              <w:jc w:val="center"/>
            </w:pPr>
            <w:r>
              <w:t xml:space="preserve">−0.087</w:t>
            </w:r>
          </w:p>
        </w:tc>
        <w:tc>
          <w:tcPr/>
          <w:p>
            <w:pPr>
              <w:pStyle w:val="Compact"/>
              <w:jc w:val="center"/>
            </w:pPr>
            <w:r>
              <w:t xml:space="preserve">0.069</w:t>
            </w:r>
          </w:p>
        </w:tc>
        <w:tc>
          <w:tcPr/>
          <w:p>
            <w:pPr>
              <w:pStyle w:val="Compact"/>
              <w:jc w:val="center"/>
            </w:pPr>
            <w:r>
              <w:t xml:space="preserve">.59</w:t>
            </w:r>
          </w:p>
        </w:tc>
        <w:tc>
          <w:tcPr/>
          <w:p>
            <w:pPr>
              <w:pStyle w:val="Compact"/>
              <w:jc w:val="center"/>
            </w:pPr>
            <w:r>
              <w:t xml:space="preserve">−0.011</w:t>
            </w:r>
          </w:p>
        </w:tc>
        <w:tc>
          <w:tcPr/>
          <w:p>
            <w:pPr>
              <w:pStyle w:val="Compact"/>
              <w:jc w:val="center"/>
            </w:pPr>
            <w:r>
              <w:t xml:space="preserve">−0.094</w:t>
            </w:r>
          </w:p>
        </w:tc>
        <w:tc>
          <w:tcPr/>
          <w:p>
            <w:pPr>
              <w:pStyle w:val="Compact"/>
              <w:jc w:val="center"/>
            </w:pPr>
            <w:r>
              <w:t xml:space="preserve">⁠ ⁠ ⁠0.070</w:t>
            </w:r>
          </w:p>
        </w:tc>
        <w:tc>
          <w:tcPr/>
          <w:p>
            <w:pPr>
              <w:pStyle w:val="Compact"/>
              <w:jc w:val="center"/>
            </w:pPr>
            <w:r>
              <w:t xml:space="preserve">.61</w:t>
            </w:r>
          </w:p>
        </w:tc>
      </w:tr>
      <w:tr>
        <w:tc>
          <w:tcPr/>
          <w:p>
            <w:pPr>
              <w:pStyle w:val="Compact"/>
              <w:jc w:val="left"/>
            </w:pPr>
            <w:r>
              <w:t xml:space="preserve">      Group difference</w:t>
            </w:r>
          </w:p>
        </w:tc>
        <w:tc>
          <w:tcPr/>
          <w:p>
            <w:pPr>
              <w:pStyle w:val="Compact"/>
              <w:jc w:val="center"/>
            </w:pPr>
            <w:r>
              <w:t xml:space="preserve">⁠ ⁠ ⁠0.047</w:t>
            </w:r>
          </w:p>
        </w:tc>
        <w:tc>
          <w:tcPr/>
          <w:p>
            <w:pPr>
              <w:pStyle w:val="Compact"/>
              <w:jc w:val="center"/>
            </w:pPr>
            <w:r>
              <w:t xml:space="preserve">−0.062</w:t>
            </w:r>
          </w:p>
        </w:tc>
        <w:tc>
          <w:tcPr/>
          <w:p>
            <w:pPr>
              <w:pStyle w:val="Compact"/>
              <w:jc w:val="center"/>
            </w:pPr>
            <w:r>
              <w:t xml:space="preserve">0.159</w:t>
            </w:r>
          </w:p>
        </w:tc>
        <w:tc>
          <w:tcPr/>
          <w:p>
            <w:pPr>
              <w:pStyle w:val="Compact"/>
              <w:jc w:val="center"/>
            </w:pPr>
            <w:r>
              <w:t xml:space="preserve">.80</w:t>
            </w:r>
          </w:p>
        </w:tc>
        <w:tc>
          <w:tcPr/>
          <w:p>
            <w:pPr>
              <w:pStyle w:val="Compact"/>
              <w:jc w:val="center"/>
            </w:pPr>
            <w:r>
              <w:t xml:space="preserve">⁠ ⁠ ⁠0.057</w:t>
            </w:r>
          </w:p>
        </w:tc>
        <w:tc>
          <w:tcPr/>
          <w:p>
            <w:pPr>
              <w:pStyle w:val="Compact"/>
              <w:jc w:val="center"/>
            </w:pPr>
            <w:r>
              <w:t xml:space="preserve">−0.062</w:t>
            </w:r>
          </w:p>
        </w:tc>
        <w:tc>
          <w:tcPr/>
          <w:p>
            <w:pPr>
              <w:pStyle w:val="Compact"/>
              <w:jc w:val="center"/>
            </w:pPr>
            <w:r>
              <w:t xml:space="preserve">⁠ ⁠ ⁠0.174</w:t>
            </w:r>
          </w:p>
        </w:tc>
        <w:tc>
          <w:tcPr/>
          <w:p>
            <w:pPr>
              <w:pStyle w:val="Compact"/>
              <w:jc w:val="center"/>
            </w:pPr>
            <w:r>
              <w:t xml:space="preserve">.83</w:t>
            </w:r>
          </w:p>
        </w:tc>
      </w:tr>
      <w:tr>
        <w:tc>
          <w:tcPr>
            <w:gridSpan w:val="9"/>
          </w:tcPr>
          <w:p>
            <w:pPr>
              <w:pStyle w:val="Compact"/>
              <w:jc w:val="left"/>
            </w:pPr>
            <w:r>
              <w:t xml:space="preserve">   300–600 ms</w:t>
            </w:r>
          </w:p>
        </w:tc>
      </w:tr>
      <w:tr>
        <w:tc>
          <w:tcPr/>
          <w:p>
            <w:pPr>
              <w:pStyle w:val="Compact"/>
              <w:jc w:val="left"/>
            </w:pPr>
            <w:r>
              <w:t xml:space="preserve">      Overall</w:t>
            </w:r>
          </w:p>
        </w:tc>
        <w:tc>
          <w:tcPr/>
          <w:p>
            <w:pPr>
              <w:pStyle w:val="Compact"/>
              <w:jc w:val="center"/>
            </w:pPr>
            <w:r>
              <w:t xml:space="preserve">⁠ ⁠ ⁠0.005</w:t>
            </w:r>
          </w:p>
        </w:tc>
        <w:tc>
          <w:tcPr/>
          <w:p>
            <w:pPr>
              <w:pStyle w:val="Compact"/>
              <w:jc w:val="center"/>
            </w:pPr>
            <w:r>
              <w:t xml:space="preserve">−0.052</w:t>
            </w:r>
          </w:p>
        </w:tc>
        <w:tc>
          <w:tcPr/>
          <w:p>
            <w:pPr>
              <w:pStyle w:val="Compact"/>
              <w:jc w:val="center"/>
            </w:pPr>
            <w:r>
              <w:t xml:space="preserve">0.062</w:t>
            </w:r>
          </w:p>
        </w:tc>
        <w:tc>
          <w:tcPr/>
          <w:p>
            <w:pPr>
              <w:pStyle w:val="Compact"/>
              <w:jc w:val="center"/>
            </w:pPr>
            <w:r>
              <w:t xml:space="preserve">.57</w:t>
            </w:r>
          </w:p>
        </w:tc>
        <w:tc>
          <w:tcPr/>
          <w:p>
            <w:pPr>
              <w:pStyle w:val="Compact"/>
              <w:jc w:val="center"/>
            </w:pPr>
            <w:r>
              <w:t xml:space="preserve">⁠ ⁠ ⁠0.007</w:t>
            </w:r>
          </w:p>
        </w:tc>
        <w:tc>
          <w:tcPr/>
          <w:p>
            <w:pPr>
              <w:pStyle w:val="Compact"/>
              <w:jc w:val="center"/>
            </w:pPr>
            <w:r>
              <w:t xml:space="preserve">−0.053</w:t>
            </w:r>
          </w:p>
        </w:tc>
        <w:tc>
          <w:tcPr/>
          <w:p>
            <w:pPr>
              <w:pStyle w:val="Compact"/>
              <w:jc w:val="center"/>
            </w:pPr>
            <w:r>
              <w:t xml:space="preserve">⁠ ⁠ ⁠0.066</w:t>
            </w:r>
          </w:p>
        </w:tc>
        <w:tc>
          <w:tcPr/>
          <w:p>
            <w:pPr>
              <w:pStyle w:val="Compact"/>
              <w:jc w:val="center"/>
            </w:pPr>
            <w:r>
              <w:t xml:space="preserve">.59</w:t>
            </w:r>
          </w:p>
        </w:tc>
      </w:tr>
      <w:tr>
        <w:tc>
          <w:tcPr/>
          <w:p>
            <w:pPr>
              <w:pStyle w:val="Compact"/>
              <w:jc w:val="left"/>
            </w:pPr>
            <w:r>
              <w:t xml:space="preserve">      Mini-Norwegian</w:t>
            </w:r>
          </w:p>
        </w:tc>
        <w:tc>
          <w:tcPr/>
          <w:p>
            <w:pPr>
              <w:pStyle w:val="Compact"/>
              <w:jc w:val="center"/>
            </w:pPr>
            <w:r>
              <w:t xml:space="preserve">⁠ ⁠ ⁠0.042</w:t>
            </w:r>
          </w:p>
        </w:tc>
        <w:tc>
          <w:tcPr/>
          <w:p>
            <w:pPr>
              <w:pStyle w:val="Compact"/>
              <w:jc w:val="center"/>
            </w:pPr>
            <w:r>
              <w:t xml:space="preserve">−0.039</w:t>
            </w:r>
          </w:p>
        </w:tc>
        <w:tc>
          <w:tcPr/>
          <w:p>
            <w:pPr>
              <w:pStyle w:val="Compact"/>
              <w:jc w:val="center"/>
            </w:pPr>
            <w:r>
              <w:t xml:space="preserve">0.125</w:t>
            </w:r>
          </w:p>
        </w:tc>
        <w:tc>
          <w:tcPr/>
          <w:p>
            <w:pPr>
              <w:pStyle w:val="Compact"/>
              <w:jc w:val="center"/>
            </w:pPr>
            <w:r>
              <w:t xml:space="preserve">.85</w:t>
            </w:r>
          </w:p>
        </w:tc>
        <w:tc>
          <w:tcPr/>
          <w:p>
            <w:pPr>
              <w:pStyle w:val="Compact"/>
              <w:jc w:val="center"/>
            </w:pPr>
            <w:r>
              <w:t xml:space="preserve">⁠ ⁠ ⁠0.052</w:t>
            </w:r>
          </w:p>
        </w:tc>
        <w:tc>
          <w:tcPr/>
          <w:p>
            <w:pPr>
              <w:pStyle w:val="Compact"/>
              <w:jc w:val="center"/>
            </w:pPr>
            <w:r>
              <w:t xml:space="preserve">−0.034</w:t>
            </w:r>
          </w:p>
        </w:tc>
        <w:tc>
          <w:tcPr/>
          <w:p>
            <w:pPr>
              <w:pStyle w:val="Compact"/>
              <w:jc w:val="center"/>
            </w:pPr>
            <w:r>
              <w:t xml:space="preserve">⁠ ⁠ ⁠0.138</w:t>
            </w:r>
          </w:p>
        </w:tc>
        <w:tc>
          <w:tcPr/>
          <w:p>
            <w:pPr>
              <w:pStyle w:val="Compact"/>
              <w:jc w:val="center"/>
            </w:pPr>
            <w:r>
              <w:t xml:space="preserve">.88</w:t>
            </w:r>
          </w:p>
        </w:tc>
      </w:tr>
      <w:tr>
        <w:tc>
          <w:tcPr/>
          <w:p>
            <w:pPr>
              <w:pStyle w:val="Compact"/>
              <w:jc w:val="left"/>
            </w:pPr>
            <w:r>
              <w:t xml:space="preserve">      Mini-English</w:t>
            </w:r>
          </w:p>
        </w:tc>
        <w:tc>
          <w:tcPr/>
          <w:p>
            <w:pPr>
              <w:pStyle w:val="Compact"/>
              <w:jc w:val="center"/>
            </w:pPr>
            <w:r>
              <w:t xml:space="preserve">−0.029</w:t>
            </w:r>
          </w:p>
        </w:tc>
        <w:tc>
          <w:tcPr/>
          <w:p>
            <w:pPr>
              <w:pStyle w:val="Compact"/>
              <w:jc w:val="center"/>
            </w:pPr>
            <w:r>
              <w:t xml:space="preserve">−0.111</w:t>
            </w:r>
          </w:p>
        </w:tc>
        <w:tc>
          <w:tcPr/>
          <w:p>
            <w:pPr>
              <w:pStyle w:val="Compact"/>
              <w:jc w:val="center"/>
            </w:pPr>
            <w:r>
              <w:t xml:space="preserve">0.051</w:t>
            </w:r>
          </w:p>
        </w:tc>
        <w:tc>
          <w:tcPr/>
          <w:p>
            <w:pPr>
              <w:pStyle w:val="Compact"/>
              <w:jc w:val="center"/>
            </w:pPr>
            <w:r>
              <w:t xml:space="preserve">.76</w:t>
            </w:r>
          </w:p>
        </w:tc>
        <w:tc>
          <w:tcPr/>
          <w:p>
            <w:pPr>
              <w:pStyle w:val="Compact"/>
              <w:jc w:val="center"/>
            </w:pPr>
            <w:r>
              <w:t xml:space="preserve">−0.035</w:t>
            </w:r>
          </w:p>
        </w:tc>
        <w:tc>
          <w:tcPr/>
          <w:p>
            <w:pPr>
              <w:pStyle w:val="Compact"/>
              <w:jc w:val="center"/>
            </w:pPr>
            <w:r>
              <w:t xml:space="preserve">−0.119</w:t>
            </w:r>
          </w:p>
        </w:tc>
        <w:tc>
          <w:tcPr/>
          <w:p>
            <w:pPr>
              <w:pStyle w:val="Compact"/>
              <w:jc w:val="center"/>
            </w:pPr>
            <w:r>
              <w:t xml:space="preserve">⁠ ⁠ ⁠0.049</w:t>
            </w:r>
          </w:p>
        </w:tc>
        <w:tc>
          <w:tcPr/>
          <w:p>
            <w:pPr>
              <w:pStyle w:val="Compact"/>
              <w:jc w:val="center"/>
            </w:pPr>
            <w:r>
              <w:t xml:space="preserve">.79</w:t>
            </w:r>
          </w:p>
        </w:tc>
      </w:tr>
      <w:tr>
        <w:tc>
          <w:tcPr/>
          <w:p>
            <w:pPr>
              <w:pStyle w:val="Compact"/>
              <w:jc w:val="left"/>
            </w:pPr>
            <w:r>
              <w:t xml:space="preserve">      Group difference</w:t>
            </w:r>
          </w:p>
        </w:tc>
        <w:tc>
          <w:tcPr/>
          <w:p>
            <w:pPr>
              <w:pStyle w:val="Compact"/>
              <w:jc w:val="center"/>
            </w:pPr>
            <w:r>
              <w:t xml:space="preserve">⁠ ⁠ ⁠0.071</w:t>
            </w:r>
          </w:p>
        </w:tc>
        <w:tc>
          <w:tcPr/>
          <w:p>
            <w:pPr>
              <w:pStyle w:val="Compact"/>
              <w:jc w:val="center"/>
            </w:pPr>
            <w:r>
              <w:t xml:space="preserve">−0.044</w:t>
            </w:r>
          </w:p>
        </w:tc>
        <w:tc>
          <w:tcPr/>
          <w:p>
            <w:pPr>
              <w:pStyle w:val="Compact"/>
              <w:jc w:val="center"/>
            </w:pPr>
            <w:r>
              <w:t xml:space="preserve">0.189</w:t>
            </w:r>
          </w:p>
        </w:tc>
        <w:tc>
          <w:tcPr/>
          <w:p>
            <w:pPr>
              <w:pStyle w:val="Compact"/>
              <w:jc w:val="center"/>
            </w:pPr>
            <w:r>
              <w:t xml:space="preserve">.89</w:t>
            </w:r>
          </w:p>
        </w:tc>
        <w:tc>
          <w:tcPr/>
          <w:p>
            <w:pPr>
              <w:pStyle w:val="Compact"/>
              <w:jc w:val="center"/>
            </w:pPr>
            <w:r>
              <w:t xml:space="preserve">⁠ ⁠ ⁠0.087</w:t>
            </w:r>
          </w:p>
        </w:tc>
        <w:tc>
          <w:tcPr/>
          <w:p>
            <w:pPr>
              <w:pStyle w:val="Compact"/>
              <w:jc w:val="center"/>
            </w:pPr>
            <w:r>
              <w:t xml:space="preserve">−0.035</w:t>
            </w:r>
          </w:p>
        </w:tc>
        <w:tc>
          <w:tcPr/>
          <w:p>
            <w:pPr>
              <w:pStyle w:val="Compact"/>
              <w:jc w:val="center"/>
            </w:pPr>
            <w:r>
              <w:t xml:space="preserve">⁠ ⁠ ⁠0.208</w:t>
            </w:r>
          </w:p>
        </w:tc>
        <w:tc>
          <w:tcPr/>
          <w:p>
            <w:pPr>
              <w:pStyle w:val="Compact"/>
              <w:jc w:val="center"/>
            </w:pPr>
            <w:r>
              <w:t xml:space="preserve">.92</w:t>
            </w:r>
          </w:p>
        </w:tc>
      </w:tr>
      <w:tr>
        <w:tc>
          <w:tcPr>
            <w:gridSpan w:val="9"/>
          </w:tcPr>
          <w:p>
            <w:pPr>
              <w:pStyle w:val="Compact"/>
              <w:jc w:val="left"/>
            </w:pPr>
            <w:r>
              <w:t xml:space="preserve">   400–900 ms</w:t>
            </w:r>
          </w:p>
        </w:tc>
      </w:tr>
      <w:tr>
        <w:tc>
          <w:tcPr/>
          <w:p>
            <w:pPr>
              <w:pStyle w:val="Compact"/>
              <w:jc w:val="left"/>
            </w:pPr>
            <w:r>
              <w:t xml:space="preserve">      Overall</w:t>
            </w:r>
          </w:p>
        </w:tc>
        <w:tc>
          <w:tcPr/>
          <w:p>
            <w:pPr>
              <w:pStyle w:val="Compact"/>
              <w:jc w:val="center"/>
            </w:pPr>
            <w:r>
              <w:t xml:space="preserve">−0.016</w:t>
            </w:r>
          </w:p>
        </w:tc>
        <w:tc>
          <w:tcPr/>
          <w:p>
            <w:pPr>
              <w:pStyle w:val="Compact"/>
              <w:jc w:val="center"/>
            </w:pPr>
            <w:r>
              <w:t xml:space="preserve">−0.077</w:t>
            </w:r>
          </w:p>
        </w:tc>
        <w:tc>
          <w:tcPr/>
          <w:p>
            <w:pPr>
              <w:pStyle w:val="Compact"/>
              <w:jc w:val="center"/>
            </w:pPr>
            <w:r>
              <w:t xml:space="preserve">0.044</w:t>
            </w:r>
          </w:p>
        </w:tc>
        <w:tc>
          <w:tcPr/>
          <w:p>
            <w:pPr>
              <w:pStyle w:val="Compact"/>
              <w:jc w:val="center"/>
            </w:pPr>
            <w:r>
              <w:t xml:space="preserve">.70</w:t>
            </w:r>
          </w:p>
        </w:tc>
        <w:tc>
          <w:tcPr/>
          <w:p>
            <w:pPr>
              <w:pStyle w:val="Compact"/>
              <w:jc w:val="center"/>
            </w:pPr>
            <w:r>
              <w:t xml:space="preserve">−0.019</w:t>
            </w:r>
          </w:p>
        </w:tc>
        <w:tc>
          <w:tcPr/>
          <w:p>
            <w:pPr>
              <w:pStyle w:val="Compact"/>
              <w:jc w:val="center"/>
            </w:pPr>
            <w:r>
              <w:t xml:space="preserve">−0.081</w:t>
            </w:r>
          </w:p>
        </w:tc>
        <w:tc>
          <w:tcPr/>
          <w:p>
            <w:pPr>
              <w:pStyle w:val="Compact"/>
              <w:jc w:val="center"/>
            </w:pPr>
            <w:r>
              <w:t xml:space="preserve">⁠ ⁠ ⁠0.042</w:t>
            </w:r>
          </w:p>
        </w:tc>
        <w:tc>
          <w:tcPr/>
          <w:p>
            <w:pPr>
              <w:pStyle w:val="Compact"/>
              <w:jc w:val="center"/>
            </w:pPr>
            <w:r>
              <w:t xml:space="preserve">.73</w:t>
            </w:r>
          </w:p>
        </w:tc>
      </w:tr>
      <w:tr>
        <w:tc>
          <w:tcPr/>
          <w:p>
            <w:pPr>
              <w:pStyle w:val="Compact"/>
              <w:jc w:val="left"/>
            </w:pPr>
            <w:r>
              <w:t xml:space="preserve">      Mini-Norwegian</w:t>
            </w:r>
          </w:p>
        </w:tc>
        <w:tc>
          <w:tcPr/>
          <w:p>
            <w:pPr>
              <w:pStyle w:val="Compact"/>
              <w:jc w:val="center"/>
            </w:pPr>
            <w:r>
              <w:t xml:space="preserve">⁠ ⁠ ⁠0.015</w:t>
            </w:r>
          </w:p>
        </w:tc>
        <w:tc>
          <w:tcPr/>
          <w:p>
            <w:pPr>
              <w:pStyle w:val="Compact"/>
              <w:jc w:val="center"/>
            </w:pPr>
            <w:r>
              <w:t xml:space="preserve">−0.070</w:t>
            </w:r>
          </w:p>
        </w:tc>
        <w:tc>
          <w:tcPr/>
          <w:p>
            <w:pPr>
              <w:pStyle w:val="Compact"/>
              <w:jc w:val="center"/>
            </w:pPr>
            <w:r>
              <w:t xml:space="preserve">0.102</w:t>
            </w:r>
          </w:p>
        </w:tc>
        <w:tc>
          <w:tcPr/>
          <w:p>
            <w:pPr>
              <w:pStyle w:val="Compact"/>
              <w:jc w:val="center"/>
            </w:pPr>
            <w:r>
              <w:t xml:space="preserve">.64</w:t>
            </w:r>
          </w:p>
        </w:tc>
        <w:tc>
          <w:tcPr/>
          <w:p>
            <w:pPr>
              <w:pStyle w:val="Compact"/>
              <w:jc w:val="center"/>
            </w:pPr>
            <w:r>
              <w:t xml:space="preserve">⁠ ⁠ ⁠0.019</w:t>
            </w:r>
          </w:p>
        </w:tc>
        <w:tc>
          <w:tcPr/>
          <w:p>
            <w:pPr>
              <w:pStyle w:val="Compact"/>
              <w:jc w:val="center"/>
            </w:pPr>
            <w:r>
              <w:t xml:space="preserve">−0.072</w:t>
            </w:r>
          </w:p>
        </w:tc>
        <w:tc>
          <w:tcPr/>
          <w:p>
            <w:pPr>
              <w:pStyle w:val="Compact"/>
              <w:jc w:val="center"/>
            </w:pPr>
            <w:r>
              <w:t xml:space="preserve">⁠ ⁠ ⁠0.107</w:t>
            </w:r>
          </w:p>
        </w:tc>
        <w:tc>
          <w:tcPr/>
          <w:p>
            <w:pPr>
              <w:pStyle w:val="Compact"/>
              <w:jc w:val="center"/>
            </w:pPr>
            <w:r>
              <w:t xml:space="preserve">.66</w:t>
            </w:r>
          </w:p>
        </w:tc>
      </w:tr>
      <w:tr>
        <w:tc>
          <w:tcPr/>
          <w:p>
            <w:pPr>
              <w:pStyle w:val="Compact"/>
              <w:jc w:val="left"/>
            </w:pPr>
            <w:r>
              <w:t xml:space="preserve">      Mini-English</w:t>
            </w:r>
          </w:p>
        </w:tc>
        <w:tc>
          <w:tcPr/>
          <w:p>
            <w:pPr>
              <w:pStyle w:val="Compact"/>
              <w:jc w:val="center"/>
            </w:pPr>
            <w:r>
              <w:t xml:space="preserve">−0.045</w:t>
            </w:r>
          </w:p>
        </w:tc>
        <w:tc>
          <w:tcPr/>
          <w:p>
            <w:pPr>
              <w:pStyle w:val="Compact"/>
              <w:jc w:val="center"/>
            </w:pPr>
            <w:r>
              <w:t xml:space="preserve">−0.130</w:t>
            </w:r>
          </w:p>
        </w:tc>
        <w:tc>
          <w:tcPr/>
          <w:p>
            <w:pPr>
              <w:pStyle w:val="Compact"/>
              <w:jc w:val="center"/>
            </w:pPr>
            <w:r>
              <w:t xml:space="preserve">0.040</w:t>
            </w:r>
          </w:p>
        </w:tc>
        <w:tc>
          <w:tcPr/>
          <w:p>
            <w:pPr>
              <w:pStyle w:val="Compact"/>
              <w:jc w:val="center"/>
            </w:pPr>
            <w:r>
              <w:t xml:space="preserve">.85</w:t>
            </w:r>
          </w:p>
        </w:tc>
        <w:tc>
          <w:tcPr/>
          <w:p>
            <w:pPr>
              <w:pStyle w:val="Compact"/>
              <w:jc w:val="center"/>
            </w:pPr>
            <w:r>
              <w:t xml:space="preserve">−0.055</w:t>
            </w:r>
          </w:p>
        </w:tc>
        <w:tc>
          <w:tcPr/>
          <w:p>
            <w:pPr>
              <w:pStyle w:val="Compact"/>
              <w:jc w:val="center"/>
            </w:pPr>
            <w:r>
              <w:t xml:space="preserve">−0.143</w:t>
            </w:r>
          </w:p>
        </w:tc>
        <w:tc>
          <w:tcPr/>
          <w:p>
            <w:pPr>
              <w:pStyle w:val="Compact"/>
              <w:jc w:val="center"/>
            </w:pPr>
            <w:r>
              <w:t xml:space="preserve">⁠ ⁠ ⁠0.033</w:t>
            </w:r>
          </w:p>
        </w:tc>
        <w:tc>
          <w:tcPr/>
          <w:p>
            <w:pPr>
              <w:pStyle w:val="Compact"/>
              <w:jc w:val="center"/>
            </w:pPr>
            <w:r>
              <w:t xml:space="preserve">.89</w:t>
            </w:r>
          </w:p>
        </w:tc>
      </w:tr>
      <w:tr>
        <w:tc>
          <w:tcPr/>
          <w:p>
            <w:pPr>
              <w:pStyle w:val="Compact"/>
              <w:jc w:val="left"/>
            </w:pPr>
            <w:r>
              <w:t xml:space="preserve">      Group difference</w:t>
            </w:r>
          </w:p>
        </w:tc>
        <w:tc>
          <w:tcPr/>
          <w:p>
            <w:pPr>
              <w:pStyle w:val="Compact"/>
              <w:jc w:val="center"/>
            </w:pPr>
            <w:r>
              <w:t xml:space="preserve">⁠ ⁠ ⁠0.061</w:t>
            </w:r>
          </w:p>
        </w:tc>
        <w:tc>
          <w:tcPr/>
          <w:p>
            <w:pPr>
              <w:pStyle w:val="Compact"/>
              <w:jc w:val="center"/>
            </w:pPr>
            <w:r>
              <w:t xml:space="preserve">−0.061</w:t>
            </w:r>
          </w:p>
        </w:tc>
        <w:tc>
          <w:tcPr/>
          <w:p>
            <w:pPr>
              <w:pStyle w:val="Compact"/>
              <w:jc w:val="center"/>
            </w:pPr>
            <w:r>
              <w:t xml:space="preserve">0.181</w:t>
            </w:r>
          </w:p>
        </w:tc>
        <w:tc>
          <w:tcPr/>
          <w:p>
            <w:pPr>
              <w:pStyle w:val="Compact"/>
              <w:jc w:val="center"/>
            </w:pPr>
            <w:r>
              <w:t xml:space="preserve">.84</w:t>
            </w:r>
          </w:p>
        </w:tc>
        <w:tc>
          <w:tcPr/>
          <w:p>
            <w:pPr>
              <w:pStyle w:val="Compact"/>
              <w:jc w:val="center"/>
            </w:pPr>
            <w:r>
              <w:t xml:space="preserve">⁠ ⁠ ⁠0.074</w:t>
            </w:r>
          </w:p>
        </w:tc>
        <w:tc>
          <w:tcPr/>
          <w:p>
            <w:pPr>
              <w:pStyle w:val="Compact"/>
              <w:jc w:val="center"/>
            </w:pPr>
            <w:r>
              <w:t xml:space="preserve">−0.052</w:t>
            </w:r>
          </w:p>
        </w:tc>
        <w:tc>
          <w:tcPr/>
          <w:p>
            <w:pPr>
              <w:pStyle w:val="Compact"/>
              <w:jc w:val="center"/>
            </w:pPr>
            <w:r>
              <w:t xml:space="preserve">⁠ ⁠ ⁠0.199</w:t>
            </w:r>
          </w:p>
        </w:tc>
        <w:tc>
          <w:tcPr/>
          <w:p>
            <w:pPr>
              <w:pStyle w:val="Compact"/>
              <w:jc w:val="center"/>
            </w:pPr>
            <w:r>
              <w:t xml:space="preserve">.88</w:t>
            </w:r>
          </w:p>
        </w:tc>
      </w:tr>
      <w:tr>
        <w:tc>
          <w:tcPr>
            <w:gridSpan w:val="9"/>
          </w:tcPr>
          <w:p>
            <w:pPr>
              <w:pStyle w:val="Compact"/>
              <w:jc w:val="left"/>
            </w:pPr>
            <w:r>
              <w:rPr>
                <w:i/>
                <w:iCs/>
              </w:rPr>
              <w:t xml:space="preserve">Differential object marking</w:t>
            </w:r>
          </w:p>
        </w:tc>
      </w:tr>
      <w:tr>
        <w:tc>
          <w:tcPr>
            <w:gridSpan w:val="9"/>
          </w:tcPr>
          <w:p>
            <w:pPr>
              <w:pStyle w:val="Compact"/>
              <w:jc w:val="left"/>
            </w:pPr>
            <w:r>
              <w:t xml:space="preserve">   200–500 ms</w:t>
            </w:r>
          </w:p>
        </w:tc>
      </w:tr>
      <w:tr>
        <w:tc>
          <w:tcPr/>
          <w:p>
            <w:pPr>
              <w:pStyle w:val="Compact"/>
              <w:jc w:val="left"/>
            </w:pPr>
            <w:r>
              <w:t xml:space="preserve">      Overall</w:t>
            </w:r>
          </w:p>
        </w:tc>
        <w:tc>
          <w:tcPr/>
          <w:p>
            <w:pPr>
              <w:pStyle w:val="Compact"/>
              <w:jc w:val="center"/>
            </w:pPr>
            <w:r>
              <w:t xml:space="preserve">−0.017</w:t>
            </w:r>
          </w:p>
        </w:tc>
        <w:tc>
          <w:tcPr/>
          <w:p>
            <w:pPr>
              <w:pStyle w:val="Compact"/>
              <w:jc w:val="center"/>
            </w:pPr>
            <w:r>
              <w:t xml:space="preserve">−0.090</w:t>
            </w:r>
          </w:p>
        </w:tc>
        <w:tc>
          <w:tcPr/>
          <w:p>
            <w:pPr>
              <w:pStyle w:val="Compact"/>
              <w:jc w:val="center"/>
            </w:pPr>
            <w:r>
              <w:t xml:space="preserve">0.056</w:t>
            </w:r>
          </w:p>
        </w:tc>
        <w:tc>
          <w:tcPr/>
          <w:p>
            <w:pPr>
              <w:pStyle w:val="Compact"/>
              <w:jc w:val="center"/>
            </w:pPr>
            <w:r>
              <w:t xml:space="preserve">.68</w:t>
            </w:r>
          </w:p>
        </w:tc>
        <w:tc>
          <w:tcPr/>
          <w:p>
            <w:pPr>
              <w:pStyle w:val="Compact"/>
              <w:jc w:val="center"/>
            </w:pPr>
            <w:r>
              <w:t xml:space="preserve">−0.033</w:t>
            </w:r>
          </w:p>
        </w:tc>
        <w:tc>
          <w:tcPr/>
          <w:p>
            <w:pPr>
              <w:pStyle w:val="Compact"/>
              <w:jc w:val="center"/>
            </w:pPr>
            <w:r>
              <w:t xml:space="preserve">−0.110</w:t>
            </w:r>
          </w:p>
        </w:tc>
        <w:tc>
          <w:tcPr/>
          <w:p>
            <w:pPr>
              <w:pStyle w:val="Compact"/>
              <w:jc w:val="center"/>
            </w:pPr>
            <w:r>
              <w:t xml:space="preserve">⁠ ⁠ ⁠0.043</w:t>
            </w:r>
          </w:p>
        </w:tc>
        <w:tc>
          <w:tcPr/>
          <w:p>
            <w:pPr>
              <w:pStyle w:val="Compact"/>
              <w:jc w:val="center"/>
            </w:pPr>
            <w:r>
              <w:t xml:space="preserve">.80</w:t>
            </w:r>
          </w:p>
        </w:tc>
      </w:tr>
      <w:tr>
        <w:tc>
          <w:tcPr/>
          <w:p>
            <w:pPr>
              <w:pStyle w:val="Compact"/>
              <w:jc w:val="left"/>
            </w:pPr>
            <w:r>
              <w:t xml:space="preserve">      Mini-Norwegian</w:t>
            </w:r>
          </w:p>
        </w:tc>
        <w:tc>
          <w:tcPr/>
          <w:p>
            <w:pPr>
              <w:pStyle w:val="Compact"/>
              <w:jc w:val="center"/>
            </w:pPr>
            <w:r>
              <w:t xml:space="preserve">−0.073</w:t>
            </w:r>
          </w:p>
        </w:tc>
        <w:tc>
          <w:tcPr/>
          <w:p>
            <w:pPr>
              <w:pStyle w:val="Compact"/>
              <w:jc w:val="center"/>
            </w:pPr>
            <w:r>
              <w:t xml:space="preserve">−0.174</w:t>
            </w:r>
          </w:p>
        </w:tc>
        <w:tc>
          <w:tcPr/>
          <w:p>
            <w:pPr>
              <w:pStyle w:val="Compact"/>
              <w:jc w:val="center"/>
            </w:pPr>
            <w:r>
              <w:t xml:space="preserve">0.030</w:t>
            </w:r>
          </w:p>
        </w:tc>
        <w:tc>
          <w:tcPr/>
          <w:p>
            <w:pPr>
              <w:pStyle w:val="Compact"/>
              <w:jc w:val="center"/>
            </w:pPr>
            <w:r>
              <w:t xml:space="preserve">.92</w:t>
            </w:r>
          </w:p>
        </w:tc>
        <w:tc>
          <w:tcPr/>
          <w:p>
            <w:pPr>
              <w:pStyle w:val="Compact"/>
              <w:jc w:val="center"/>
            </w:pPr>
            <w:r>
              <w:t xml:space="preserve">−0.127</w:t>
            </w:r>
          </w:p>
        </w:tc>
        <w:tc>
          <w:tcPr/>
          <w:p>
            <w:pPr>
              <w:pStyle w:val="Compact"/>
              <w:jc w:val="center"/>
            </w:pPr>
            <w:r>
              <w:t xml:space="preserve">−0.235</w:t>
            </w:r>
          </w:p>
        </w:tc>
        <w:tc>
          <w:tcPr/>
          <w:p>
            <w:pPr>
              <w:pStyle w:val="Compact"/>
              <w:jc w:val="center"/>
            </w:pPr>
            <w:r>
              <w:t xml:space="preserve">−0.019</w:t>
            </w:r>
          </w:p>
        </w:tc>
        <w:tc>
          <w:tcPr/>
          <w:p>
            <w:pPr>
              <w:pStyle w:val="Compact"/>
              <w:jc w:val="center"/>
            </w:pPr>
            <w:r>
              <w:t xml:space="preserve">.99</w:t>
            </w:r>
          </w:p>
        </w:tc>
      </w:tr>
      <w:tr>
        <w:tc>
          <w:tcPr/>
          <w:p>
            <w:pPr>
              <w:pStyle w:val="Compact"/>
              <w:jc w:val="left"/>
            </w:pPr>
            <w:r>
              <w:t xml:space="preserve">      Mini-English</w:t>
            </w:r>
          </w:p>
        </w:tc>
        <w:tc>
          <w:tcPr/>
          <w:p>
            <w:pPr>
              <w:pStyle w:val="Compact"/>
              <w:jc w:val="center"/>
            </w:pPr>
            <w:r>
              <w:t xml:space="preserve">⁠ ⁠ ⁠0.037</w:t>
            </w:r>
          </w:p>
        </w:tc>
        <w:tc>
          <w:tcPr/>
          <w:p>
            <w:pPr>
              <w:pStyle w:val="Compact"/>
              <w:jc w:val="center"/>
            </w:pPr>
            <w:r>
              <w:t xml:space="preserve">−0.068</w:t>
            </w:r>
          </w:p>
        </w:tc>
        <w:tc>
          <w:tcPr/>
          <w:p>
            <w:pPr>
              <w:pStyle w:val="Compact"/>
              <w:jc w:val="center"/>
            </w:pPr>
            <w:r>
              <w:t xml:space="preserve">0.142</w:t>
            </w:r>
          </w:p>
        </w:tc>
        <w:tc>
          <w:tcPr/>
          <w:p>
            <w:pPr>
              <w:pStyle w:val="Compact"/>
              <w:jc w:val="center"/>
            </w:pPr>
            <w:r>
              <w:t xml:space="preserve">.76</w:t>
            </w:r>
          </w:p>
        </w:tc>
        <w:tc>
          <w:tcPr/>
          <w:p>
            <w:pPr>
              <w:pStyle w:val="Compact"/>
              <w:jc w:val="center"/>
            </w:pPr>
            <w:r>
              <w:t xml:space="preserve">⁠ ⁠ ⁠0.059</w:t>
            </w:r>
          </w:p>
        </w:tc>
        <w:tc>
          <w:tcPr/>
          <w:p>
            <w:pPr>
              <w:pStyle w:val="Compact"/>
              <w:jc w:val="center"/>
            </w:pPr>
            <w:r>
              <w:t xml:space="preserve">−0.049</w:t>
            </w:r>
          </w:p>
        </w:tc>
        <w:tc>
          <w:tcPr/>
          <w:p>
            <w:pPr>
              <w:pStyle w:val="Compact"/>
              <w:jc w:val="center"/>
            </w:pPr>
            <w:r>
              <w:t xml:space="preserve">⁠ ⁠ ⁠0.168</w:t>
            </w:r>
          </w:p>
        </w:tc>
        <w:tc>
          <w:tcPr/>
          <w:p>
            <w:pPr>
              <w:pStyle w:val="Compact"/>
              <w:jc w:val="center"/>
            </w:pPr>
            <w:r>
              <w:t xml:space="preserve">.86</w:t>
            </w:r>
          </w:p>
        </w:tc>
      </w:tr>
      <w:tr>
        <w:tc>
          <w:tcPr/>
          <w:p>
            <w:pPr>
              <w:pStyle w:val="Compact"/>
              <w:jc w:val="left"/>
            </w:pPr>
            <w:r>
              <w:t xml:space="preserve">      Group difference</w:t>
            </w:r>
          </w:p>
        </w:tc>
        <w:tc>
          <w:tcPr/>
          <w:p>
            <w:pPr>
              <w:pStyle w:val="Compact"/>
              <w:jc w:val="center"/>
            </w:pPr>
            <w:r>
              <w:t xml:space="preserve">−0.110</w:t>
            </w:r>
          </w:p>
        </w:tc>
        <w:tc>
          <w:tcPr/>
          <w:p>
            <w:pPr>
              <w:pStyle w:val="Compact"/>
              <w:jc w:val="center"/>
            </w:pPr>
            <w:r>
              <w:t xml:space="preserve">−0.256</w:t>
            </w:r>
          </w:p>
        </w:tc>
        <w:tc>
          <w:tcPr/>
          <w:p>
            <w:pPr>
              <w:pStyle w:val="Compact"/>
              <w:jc w:val="center"/>
            </w:pPr>
            <w:r>
              <w:t xml:space="preserve">0.037</w:t>
            </w:r>
          </w:p>
        </w:tc>
        <w:tc>
          <w:tcPr/>
          <w:p>
            <w:pPr>
              <w:pStyle w:val="Compact"/>
              <w:jc w:val="center"/>
            </w:pPr>
            <w:r>
              <w:t xml:space="preserve">.93</w:t>
            </w:r>
          </w:p>
        </w:tc>
        <w:tc>
          <w:tcPr/>
          <w:p>
            <w:pPr>
              <w:pStyle w:val="Compact"/>
              <w:jc w:val="center"/>
            </w:pPr>
            <w:r>
              <w:t xml:space="preserve">−0.187</w:t>
            </w:r>
          </w:p>
        </w:tc>
        <w:tc>
          <w:tcPr/>
          <w:p>
            <w:pPr>
              <w:pStyle w:val="Compact"/>
              <w:jc w:val="center"/>
            </w:pPr>
            <w:r>
              <w:t xml:space="preserve">−0.336</w:t>
            </w:r>
          </w:p>
        </w:tc>
        <w:tc>
          <w:tcPr/>
          <w:p>
            <w:pPr>
              <w:pStyle w:val="Compact"/>
              <w:jc w:val="center"/>
            </w:pPr>
            <w:r>
              <w:t xml:space="preserve">−0.034</w:t>
            </w:r>
          </w:p>
        </w:tc>
        <w:tc>
          <w:tcPr/>
          <w:p>
            <w:pPr>
              <w:pStyle w:val="Compact"/>
              <w:jc w:val="center"/>
            </w:pPr>
            <w:r>
              <w:t xml:space="preserve">.99</w:t>
            </w:r>
          </w:p>
        </w:tc>
      </w:tr>
      <w:tr>
        <w:tc>
          <w:tcPr>
            <w:gridSpan w:val="9"/>
          </w:tcPr>
          <w:p>
            <w:pPr>
              <w:pStyle w:val="Compact"/>
              <w:jc w:val="left"/>
            </w:pPr>
            <w:r>
              <w:t xml:space="preserve">   300–600 ms</w:t>
            </w:r>
          </w:p>
        </w:tc>
      </w:tr>
      <w:tr>
        <w:tc>
          <w:tcPr/>
          <w:p>
            <w:pPr>
              <w:pStyle w:val="Compact"/>
              <w:jc w:val="left"/>
            </w:pPr>
            <w:r>
              <w:t xml:space="preserve">      Overall</w:t>
            </w:r>
          </w:p>
        </w:tc>
        <w:tc>
          <w:tcPr/>
          <w:p>
            <w:pPr>
              <w:pStyle w:val="Compact"/>
              <w:jc w:val="center"/>
            </w:pPr>
            <w:r>
              <w:t xml:space="preserve">−0.026</w:t>
            </w:r>
          </w:p>
        </w:tc>
        <w:tc>
          <w:tcPr/>
          <w:p>
            <w:pPr>
              <w:pStyle w:val="Compact"/>
              <w:jc w:val="center"/>
            </w:pPr>
            <w:r>
              <w:t xml:space="preserve">−0.101</w:t>
            </w:r>
          </w:p>
        </w:tc>
        <w:tc>
          <w:tcPr/>
          <w:p>
            <w:pPr>
              <w:pStyle w:val="Compact"/>
              <w:jc w:val="center"/>
            </w:pPr>
            <w:r>
              <w:t xml:space="preserve">0.048</w:t>
            </w:r>
          </w:p>
        </w:tc>
        <w:tc>
          <w:tcPr/>
          <w:p>
            <w:pPr>
              <w:pStyle w:val="Compact"/>
              <w:jc w:val="center"/>
            </w:pPr>
            <w:r>
              <w:t xml:space="preserve">.76</w:t>
            </w:r>
          </w:p>
        </w:tc>
        <w:tc>
          <w:tcPr/>
          <w:p>
            <w:pPr>
              <w:pStyle w:val="Compact"/>
              <w:jc w:val="center"/>
            </w:pPr>
            <w:r>
              <w:t xml:space="preserve">−0.047</w:t>
            </w:r>
          </w:p>
        </w:tc>
        <w:tc>
          <w:tcPr/>
          <w:p>
            <w:pPr>
              <w:pStyle w:val="Compact"/>
              <w:jc w:val="center"/>
            </w:pPr>
            <w:r>
              <w:t xml:space="preserve">−0.125</w:t>
            </w:r>
          </w:p>
        </w:tc>
        <w:tc>
          <w:tcPr/>
          <w:p>
            <w:pPr>
              <w:pStyle w:val="Compact"/>
              <w:jc w:val="center"/>
            </w:pPr>
            <w:r>
              <w:t xml:space="preserve">⁠ ⁠ ⁠0.033</w:t>
            </w:r>
          </w:p>
        </w:tc>
        <w:tc>
          <w:tcPr/>
          <w:p>
            <w:pPr>
              <w:pStyle w:val="Compact"/>
              <w:jc w:val="center"/>
            </w:pPr>
            <w:r>
              <w:t xml:space="preserve">.87</w:t>
            </w:r>
          </w:p>
        </w:tc>
      </w:tr>
      <w:tr>
        <w:tc>
          <w:tcPr/>
          <w:p>
            <w:pPr>
              <w:pStyle w:val="Compact"/>
              <w:jc w:val="left"/>
            </w:pPr>
            <w:r>
              <w:t xml:space="preserve">      Mini-Norwegian</w:t>
            </w:r>
          </w:p>
        </w:tc>
        <w:tc>
          <w:tcPr/>
          <w:p>
            <w:pPr>
              <w:pStyle w:val="Compact"/>
              <w:jc w:val="center"/>
            </w:pPr>
            <w:r>
              <w:t xml:space="preserve">−0.072</w:t>
            </w:r>
          </w:p>
        </w:tc>
        <w:tc>
          <w:tcPr/>
          <w:p>
            <w:pPr>
              <w:pStyle w:val="Compact"/>
              <w:jc w:val="center"/>
            </w:pPr>
            <w:r>
              <w:t xml:space="preserve">−0.176</w:t>
            </w:r>
          </w:p>
        </w:tc>
        <w:tc>
          <w:tcPr/>
          <w:p>
            <w:pPr>
              <w:pStyle w:val="Compact"/>
              <w:jc w:val="center"/>
            </w:pPr>
            <w:r>
              <w:t xml:space="preserve">0.032</w:t>
            </w:r>
          </w:p>
        </w:tc>
        <w:tc>
          <w:tcPr/>
          <w:p>
            <w:pPr>
              <w:pStyle w:val="Compact"/>
              <w:jc w:val="center"/>
            </w:pPr>
            <w:r>
              <w:t xml:space="preserve">.91</w:t>
            </w:r>
          </w:p>
        </w:tc>
        <w:tc>
          <w:tcPr/>
          <w:p>
            <w:pPr>
              <w:pStyle w:val="Compact"/>
              <w:jc w:val="center"/>
            </w:pPr>
            <w:r>
              <w:t xml:space="preserve">−0.139</w:t>
            </w:r>
          </w:p>
        </w:tc>
        <w:tc>
          <w:tcPr/>
          <w:p>
            <w:pPr>
              <w:pStyle w:val="Compact"/>
              <w:jc w:val="center"/>
            </w:pPr>
            <w:r>
              <w:t xml:space="preserve">−0.250</w:t>
            </w:r>
          </w:p>
        </w:tc>
        <w:tc>
          <w:tcPr/>
          <w:p>
            <w:pPr>
              <w:pStyle w:val="Compact"/>
              <w:jc w:val="center"/>
            </w:pPr>
            <w:r>
              <w:t xml:space="preserve">−0.031</w:t>
            </w:r>
          </w:p>
        </w:tc>
        <w:tc>
          <w:tcPr/>
          <w:p>
            <w:pPr>
              <w:pStyle w:val="Compact"/>
              <w:jc w:val="center"/>
            </w:pPr>
            <w:r>
              <w:t xml:space="preserve">.99</w:t>
            </w:r>
          </w:p>
        </w:tc>
      </w:tr>
      <w:tr>
        <w:tc>
          <w:tcPr/>
          <w:p>
            <w:pPr>
              <w:pStyle w:val="Compact"/>
              <w:jc w:val="left"/>
            </w:pPr>
            <w:r>
              <w:t xml:space="preserve">      Mini-English</w:t>
            </w:r>
          </w:p>
        </w:tc>
        <w:tc>
          <w:tcPr/>
          <w:p>
            <w:pPr>
              <w:pStyle w:val="Compact"/>
              <w:jc w:val="center"/>
            </w:pPr>
            <w:r>
              <w:t xml:space="preserve">⁠ ⁠ ⁠0.018</w:t>
            </w:r>
          </w:p>
        </w:tc>
        <w:tc>
          <w:tcPr/>
          <w:p>
            <w:pPr>
              <w:pStyle w:val="Compact"/>
              <w:jc w:val="center"/>
            </w:pPr>
            <w:r>
              <w:t xml:space="preserve">−0.091</w:t>
            </w:r>
          </w:p>
        </w:tc>
        <w:tc>
          <w:tcPr/>
          <w:p>
            <w:pPr>
              <w:pStyle w:val="Compact"/>
              <w:jc w:val="center"/>
            </w:pPr>
            <w:r>
              <w:t xml:space="preserve">0.125</w:t>
            </w:r>
          </w:p>
        </w:tc>
        <w:tc>
          <w:tcPr/>
          <w:p>
            <w:pPr>
              <w:pStyle w:val="Compact"/>
              <w:jc w:val="center"/>
            </w:pPr>
            <w:r>
              <w:t xml:space="preserve">.63</w:t>
            </w:r>
          </w:p>
        </w:tc>
        <w:tc>
          <w:tcPr/>
          <w:p>
            <w:pPr>
              <w:pStyle w:val="Compact"/>
              <w:jc w:val="center"/>
            </w:pPr>
            <w:r>
              <w:t xml:space="preserve">⁠ ⁠ ⁠0.045</w:t>
            </w:r>
          </w:p>
        </w:tc>
        <w:tc>
          <w:tcPr/>
          <w:p>
            <w:pPr>
              <w:pStyle w:val="Compact"/>
              <w:jc w:val="center"/>
            </w:pPr>
            <w:r>
              <w:t xml:space="preserve">−0.068</w:t>
            </w:r>
          </w:p>
        </w:tc>
        <w:tc>
          <w:tcPr/>
          <w:p>
            <w:pPr>
              <w:pStyle w:val="Compact"/>
              <w:jc w:val="center"/>
            </w:pPr>
            <w:r>
              <w:t xml:space="preserve">⁠ ⁠ ⁠0.158</w:t>
            </w:r>
          </w:p>
        </w:tc>
        <w:tc>
          <w:tcPr/>
          <w:p>
            <w:pPr>
              <w:pStyle w:val="Compact"/>
              <w:jc w:val="center"/>
            </w:pPr>
            <w:r>
              <w:t xml:space="preserve">.78</w:t>
            </w:r>
          </w:p>
        </w:tc>
      </w:tr>
      <w:tr>
        <w:tc>
          <w:tcPr/>
          <w:p>
            <w:pPr>
              <w:pStyle w:val="Compact"/>
              <w:jc w:val="left"/>
            </w:pPr>
            <w:r>
              <w:t xml:space="preserve">      Group difference</w:t>
            </w:r>
          </w:p>
        </w:tc>
        <w:tc>
          <w:tcPr/>
          <w:p>
            <w:pPr>
              <w:pStyle w:val="Compact"/>
              <w:jc w:val="center"/>
            </w:pPr>
            <w:r>
              <w:t xml:space="preserve">−0.091</w:t>
            </w:r>
          </w:p>
        </w:tc>
        <w:tc>
          <w:tcPr/>
          <w:p>
            <w:pPr>
              <w:pStyle w:val="Compact"/>
              <w:jc w:val="center"/>
            </w:pPr>
            <w:r>
              <w:t xml:space="preserve">−0.239</w:t>
            </w:r>
          </w:p>
        </w:tc>
        <w:tc>
          <w:tcPr/>
          <w:p>
            <w:pPr>
              <w:pStyle w:val="Compact"/>
              <w:jc w:val="center"/>
            </w:pPr>
            <w:r>
              <w:t xml:space="preserve">0.061</w:t>
            </w:r>
          </w:p>
        </w:tc>
        <w:tc>
          <w:tcPr/>
          <w:p>
            <w:pPr>
              <w:pStyle w:val="Compact"/>
              <w:jc w:val="center"/>
            </w:pPr>
            <w:r>
              <w:t xml:space="preserve">.88</w:t>
            </w:r>
          </w:p>
        </w:tc>
        <w:tc>
          <w:tcPr/>
          <w:p>
            <w:pPr>
              <w:pStyle w:val="Compact"/>
              <w:jc w:val="center"/>
            </w:pPr>
            <w:r>
              <w:t xml:space="preserve">−0.185</w:t>
            </w:r>
          </w:p>
        </w:tc>
        <w:tc>
          <w:tcPr/>
          <w:p>
            <w:pPr>
              <w:pStyle w:val="Compact"/>
              <w:jc w:val="center"/>
            </w:pPr>
            <w:r>
              <w:t xml:space="preserve">−0.341</w:t>
            </w:r>
          </w:p>
        </w:tc>
        <w:tc>
          <w:tcPr/>
          <w:p>
            <w:pPr>
              <w:pStyle w:val="Compact"/>
              <w:jc w:val="center"/>
            </w:pPr>
            <w:r>
              <w:t xml:space="preserve">−0.027</w:t>
            </w:r>
          </w:p>
        </w:tc>
        <w:tc>
          <w:tcPr/>
          <w:p>
            <w:pPr>
              <w:pStyle w:val="Compact"/>
              <w:jc w:val="center"/>
            </w:pPr>
            <w:r>
              <w:t xml:space="preserve">.99</w:t>
            </w:r>
          </w:p>
        </w:tc>
      </w:tr>
      <w:tr>
        <w:tc>
          <w:tcPr>
            <w:gridSpan w:val="9"/>
          </w:tcPr>
          <w:p>
            <w:pPr>
              <w:pStyle w:val="Compact"/>
              <w:jc w:val="left"/>
            </w:pPr>
            <w:r>
              <w:t xml:space="preserve">   400–900 ms</w:t>
            </w:r>
          </w:p>
        </w:tc>
      </w:tr>
      <w:tr>
        <w:tc>
          <w:tcPr/>
          <w:p>
            <w:pPr>
              <w:pStyle w:val="Compact"/>
              <w:jc w:val="left"/>
            </w:pPr>
            <w:r>
              <w:t xml:space="preserve">      Overall</w:t>
            </w:r>
          </w:p>
        </w:tc>
        <w:tc>
          <w:tcPr/>
          <w:p>
            <w:pPr>
              <w:pStyle w:val="Compact"/>
              <w:jc w:val="center"/>
            </w:pPr>
            <w:r>
              <w:t xml:space="preserve">⁠ ⁠ ⁠0.004</w:t>
            </w:r>
          </w:p>
        </w:tc>
        <w:tc>
          <w:tcPr/>
          <w:p>
            <w:pPr>
              <w:pStyle w:val="Compact"/>
              <w:jc w:val="center"/>
            </w:pPr>
            <w:r>
              <w:t xml:space="preserve">−0.076</w:t>
            </w:r>
          </w:p>
        </w:tc>
        <w:tc>
          <w:tcPr/>
          <w:p>
            <w:pPr>
              <w:pStyle w:val="Compact"/>
              <w:jc w:val="center"/>
            </w:pPr>
            <w:r>
              <w:t xml:space="preserve">0.084</w:t>
            </w:r>
          </w:p>
        </w:tc>
        <w:tc>
          <w:tcPr/>
          <w:p>
            <w:pPr>
              <w:pStyle w:val="Compact"/>
              <w:jc w:val="center"/>
            </w:pPr>
            <w:r>
              <w:t xml:space="preserve">.54</w:t>
            </w:r>
          </w:p>
        </w:tc>
        <w:tc>
          <w:tcPr/>
          <w:p>
            <w:pPr>
              <w:pStyle w:val="Compact"/>
              <w:jc w:val="center"/>
            </w:pPr>
            <w:r>
              <w:t xml:space="preserve">−0.016</w:t>
            </w:r>
          </w:p>
        </w:tc>
        <w:tc>
          <w:tcPr/>
          <w:p>
            <w:pPr>
              <w:pStyle w:val="Compact"/>
              <w:jc w:val="center"/>
            </w:pPr>
            <w:r>
              <w:t xml:space="preserve">−0.097</w:t>
            </w:r>
          </w:p>
        </w:tc>
        <w:tc>
          <w:tcPr/>
          <w:p>
            <w:pPr>
              <w:pStyle w:val="Compact"/>
              <w:jc w:val="center"/>
            </w:pPr>
            <w:r>
              <w:t xml:space="preserve">⁠ ⁠ ⁠0.065</w:t>
            </w:r>
          </w:p>
        </w:tc>
        <w:tc>
          <w:tcPr/>
          <w:p>
            <w:pPr>
              <w:pStyle w:val="Compact"/>
              <w:jc w:val="center"/>
            </w:pPr>
            <w:r>
              <w:t xml:space="preserve">.65</w:t>
            </w:r>
          </w:p>
        </w:tc>
      </w:tr>
      <w:tr>
        <w:tc>
          <w:tcPr/>
          <w:p>
            <w:pPr>
              <w:pStyle w:val="Compact"/>
              <w:jc w:val="left"/>
            </w:pPr>
            <w:r>
              <w:t xml:space="preserve">      Mini-Norwegian</w:t>
            </w:r>
          </w:p>
        </w:tc>
        <w:tc>
          <w:tcPr/>
          <w:p>
            <w:pPr>
              <w:pStyle w:val="Compact"/>
              <w:jc w:val="center"/>
            </w:pPr>
            <w:r>
              <w:t xml:space="preserve">−0.027</w:t>
            </w:r>
          </w:p>
        </w:tc>
        <w:tc>
          <w:tcPr/>
          <w:p>
            <w:pPr>
              <w:pStyle w:val="Compact"/>
              <w:jc w:val="center"/>
            </w:pPr>
            <w:r>
              <w:t xml:space="preserve">−0.138</w:t>
            </w:r>
          </w:p>
        </w:tc>
        <w:tc>
          <w:tcPr/>
          <w:p>
            <w:pPr>
              <w:pStyle w:val="Compact"/>
              <w:jc w:val="center"/>
            </w:pPr>
            <w:r>
              <w:t xml:space="preserve">0.084</w:t>
            </w:r>
          </w:p>
        </w:tc>
        <w:tc>
          <w:tcPr/>
          <w:p>
            <w:pPr>
              <w:pStyle w:val="Compact"/>
              <w:jc w:val="center"/>
            </w:pPr>
            <w:r>
              <w:t xml:space="preserve">.68</w:t>
            </w:r>
          </w:p>
        </w:tc>
        <w:tc>
          <w:tcPr/>
          <w:p>
            <w:pPr>
              <w:pStyle w:val="Compact"/>
              <w:jc w:val="center"/>
            </w:pPr>
            <w:r>
              <w:t xml:space="preserve">−0.095</w:t>
            </w:r>
          </w:p>
        </w:tc>
        <w:tc>
          <w:tcPr/>
          <w:p>
            <w:pPr>
              <w:pStyle w:val="Compact"/>
              <w:jc w:val="center"/>
            </w:pPr>
            <w:r>
              <w:t xml:space="preserve">−0.206</w:t>
            </w:r>
          </w:p>
        </w:tc>
        <w:tc>
          <w:tcPr/>
          <w:p>
            <w:pPr>
              <w:pStyle w:val="Compact"/>
              <w:jc w:val="center"/>
            </w:pPr>
            <w:r>
              <w:t xml:space="preserve">⁠ ⁠ ⁠0.016</w:t>
            </w:r>
          </w:p>
        </w:tc>
        <w:tc>
          <w:tcPr/>
          <w:p>
            <w:pPr>
              <w:pStyle w:val="Compact"/>
              <w:jc w:val="center"/>
            </w:pPr>
            <w:r>
              <w:t xml:space="preserve">.95</w:t>
            </w:r>
          </w:p>
        </w:tc>
      </w:tr>
      <w:tr>
        <w:tc>
          <w:tcPr/>
          <w:p>
            <w:pPr>
              <w:pStyle w:val="Compact"/>
              <w:jc w:val="left"/>
            </w:pPr>
            <w:r>
              <w:t xml:space="preserve">      Mini-English</w:t>
            </w:r>
          </w:p>
        </w:tc>
        <w:tc>
          <w:tcPr/>
          <w:p>
            <w:pPr>
              <w:pStyle w:val="Compact"/>
              <w:jc w:val="center"/>
            </w:pPr>
            <w:r>
              <w:t xml:space="preserve">⁠ ⁠ ⁠0.034</w:t>
            </w:r>
          </w:p>
        </w:tc>
        <w:tc>
          <w:tcPr/>
          <w:p>
            <w:pPr>
              <w:pStyle w:val="Compact"/>
              <w:jc w:val="center"/>
            </w:pPr>
            <w:r>
              <w:t xml:space="preserve">−0.079</w:t>
            </w:r>
          </w:p>
        </w:tc>
        <w:tc>
          <w:tcPr/>
          <w:p>
            <w:pPr>
              <w:pStyle w:val="Compact"/>
              <w:jc w:val="center"/>
            </w:pPr>
            <w:r>
              <w:t xml:space="preserve">0.148</w:t>
            </w:r>
          </w:p>
        </w:tc>
        <w:tc>
          <w:tcPr/>
          <w:p>
            <w:pPr>
              <w:pStyle w:val="Compact"/>
              <w:jc w:val="center"/>
            </w:pPr>
            <w:r>
              <w:t xml:space="preserve">.72</w:t>
            </w:r>
          </w:p>
        </w:tc>
        <w:tc>
          <w:tcPr/>
          <w:p>
            <w:pPr>
              <w:pStyle w:val="Compact"/>
              <w:jc w:val="center"/>
            </w:pPr>
            <w:r>
              <w:t xml:space="preserve">⁠ ⁠ ⁠0.061</w:t>
            </w:r>
          </w:p>
        </w:tc>
        <w:tc>
          <w:tcPr/>
          <w:p>
            <w:pPr>
              <w:pStyle w:val="Compact"/>
              <w:jc w:val="center"/>
            </w:pPr>
            <w:r>
              <w:t xml:space="preserve">−0.055</w:t>
            </w:r>
          </w:p>
        </w:tc>
        <w:tc>
          <w:tcPr/>
          <w:p>
            <w:pPr>
              <w:pStyle w:val="Compact"/>
              <w:jc w:val="center"/>
            </w:pPr>
            <w:r>
              <w:t xml:space="preserve">⁠ ⁠ ⁠0.175</w:t>
            </w:r>
          </w:p>
        </w:tc>
        <w:tc>
          <w:tcPr/>
          <w:p>
            <w:pPr>
              <w:pStyle w:val="Compact"/>
              <w:jc w:val="center"/>
            </w:pPr>
            <w:r>
              <w:t xml:space="preserve">.85</w:t>
            </w:r>
          </w:p>
        </w:tc>
      </w:tr>
      <w:tr>
        <w:tc>
          <w:tcPr/>
          <w:p>
            <w:pPr>
              <w:pStyle w:val="Compact"/>
              <w:jc w:val="left"/>
            </w:pPr>
            <w:r>
              <w:t xml:space="preserve">      Group difference</w:t>
            </w:r>
          </w:p>
        </w:tc>
        <w:tc>
          <w:tcPr/>
          <w:p>
            <w:pPr>
              <w:pStyle w:val="Compact"/>
              <w:jc w:val="center"/>
            </w:pPr>
            <w:r>
              <w:t xml:space="preserve">−0.062</w:t>
            </w:r>
          </w:p>
        </w:tc>
        <w:tc>
          <w:tcPr/>
          <w:p>
            <w:pPr>
              <w:pStyle w:val="Compact"/>
              <w:jc w:val="center"/>
            </w:pPr>
            <w:r>
              <w:t xml:space="preserve">−0.218</w:t>
            </w:r>
          </w:p>
        </w:tc>
        <w:tc>
          <w:tcPr/>
          <w:p>
            <w:pPr>
              <w:pStyle w:val="Compact"/>
              <w:jc w:val="center"/>
            </w:pPr>
            <w:r>
              <w:t xml:space="preserve">0.098</w:t>
            </w:r>
          </w:p>
        </w:tc>
        <w:tc>
          <w:tcPr/>
          <w:p>
            <w:pPr>
              <w:pStyle w:val="Compact"/>
              <w:jc w:val="center"/>
            </w:pPr>
            <w:r>
              <w:t xml:space="preserve">.78</w:t>
            </w:r>
          </w:p>
        </w:tc>
        <w:tc>
          <w:tcPr/>
          <w:p>
            <w:pPr>
              <w:pStyle w:val="Compact"/>
              <w:jc w:val="center"/>
            </w:pPr>
            <w:r>
              <w:t xml:space="preserve">−0.156</w:t>
            </w:r>
          </w:p>
        </w:tc>
        <w:tc>
          <w:tcPr/>
          <w:p>
            <w:pPr>
              <w:pStyle w:val="Compact"/>
              <w:jc w:val="center"/>
            </w:pPr>
            <w:r>
              <w:t xml:space="preserve">−0.316</w:t>
            </w:r>
          </w:p>
        </w:tc>
        <w:tc>
          <w:tcPr/>
          <w:p>
            <w:pPr>
              <w:pStyle w:val="Compact"/>
              <w:jc w:val="center"/>
            </w:pPr>
            <w:r>
              <w:t xml:space="preserve">⁠ ⁠ ⁠0.003</w:t>
            </w:r>
          </w:p>
        </w:tc>
        <w:tc>
          <w:tcPr/>
          <w:p>
            <w:pPr>
              <w:pStyle w:val="Compact"/>
              <w:jc w:val="center"/>
            </w:pPr>
            <w:r>
              <w:t xml:space="preserve">.97</w:t>
            </w:r>
          </w:p>
        </w:tc>
      </w:tr>
    </w:tbl>
    <w:bookmarkEnd w:id="409"/>
    <w:p>
      <w:pPr>
        <w:pStyle w:val="FigureNote"/>
      </w:pPr>
      <w:r>
        <w:rPr>
          <w:i/>
          <w:iCs/>
        </w:rPr>
        <w:t xml:space="preserve">Note</w:t>
      </w:r>
      <w:r>
        <w:t xml:space="preserve">. Values are posterior summaries of the deviation of the grammaticality effect at Session 6 from the trend established across the training sessions, from refits that carry an explicit retention indicator (coded +0.5 at Session 6), in within-participant standard-deviation units of amplitude. Positive values mean that the grammaticality coefficient at Session 6 exceeds the value the training trend predicts; because a positive grammaticality coefficient is a relative negativity for violations, a positive deviation shifts the effect towards violation negativity. Verb–object number agreement is omitted because its indicator is not identifiable. Overall = averaged over the two groups; Group difference = Mini-Norwegian minus Mini-English.</w:t>
      </w:r>
      <w:r>
        <w:t xml:space="preserve"> </w:t>
      </w:r>
      <w:r>
        <w:rPr>
          <w:i/>
          <w:iCs/>
        </w:rPr>
        <w:t xml:space="preserve">Mdn</w:t>
      </w:r>
      <w:r>
        <w:t xml:space="preserve">,</w:t>
      </w:r>
      <w:r>
        <w:t xml:space="preserve"> </w:t>
      </w:r>
      <w:r>
        <w:rPr>
          <w:i/>
          <w:iCs/>
        </w:rPr>
        <w:t xml:space="preserve">LL</w:t>
      </w:r>
      <w:r>
        <w:t xml:space="preserve">,</w:t>
      </w:r>
      <w:r>
        <w:t xml:space="preserve"> </w:t>
      </w:r>
      <w:r>
        <w:rPr>
          <w:i/>
          <w:iCs/>
        </w:rPr>
        <w:t xml:space="preserve">UL</w:t>
      </w:r>
      <w:r>
        <w:t xml:space="preserve"> </w:t>
      </w:r>
      <w:r>
        <w:t xml:space="preserve">and</w:t>
      </w:r>
      <w:r>
        <w:t xml:space="preserve"> </w:t>
      </w:r>
      <w:r>
        <w:rPr>
          <w:i/>
          <w:iCs/>
        </w:rPr>
        <w:t xml:space="preserve">p</w:t>
      </w:r>
      <w:r>
        <w:rPr>
          <w:vertAlign w:val="subscript"/>
        </w:rPr>
        <w:t xml:space="preserve">d</w:t>
      </w:r>
      <w:r>
        <w:t xml:space="preserve"> </w:t>
      </w:r>
      <w:r>
        <w:t xml:space="preserve">are as in the table of Session 4 to Session 6 changes.</w:t>
      </w:r>
    </w:p>
    <w:p>
      <w:pPr>
        <w:pStyle w:val="BodyText"/>
      </w:pPr>
      <w:r>
        <w:t xml:space="preserve"> </w:t>
      </w:r>
    </w:p>
    <w:bookmarkStart w:id="410" w:name="tbl-sdt-contrasts"/>
    <w:p>
      <w:pPr>
        <w:pStyle w:val="FigureTitle"/>
      </w:pPr>
      <w:r>
        <w:t xml:space="preserve">Table B3</w:t>
      </w:r>
    </w:p>
    <w:p>
      <w:pPr>
        <w:pStyle w:val="Caption"/>
      </w:pPr>
      <w:r>
        <w:t xml:space="preserve">Group Differences and Changes in Sensitivity and Criterion From the Judgement Models</w:t>
      </w:r>
    </w:p>
    <w:tbl>
      <w:tblPr>
        <w:tblStyle w:val="Table"/>
        <w:tblW w:type="pct" w:w="5000"/>
        <w:tblLayout w:type="fixed"/>
        <w:tblLook w:firstRow="1" w:lastRow="0" w:firstColumn="0" w:lastColumn="0" w:noHBand="0" w:noVBand="0" w:val="0020"/>
      </w:tblPr>
      <w:tblGrid>
        <w:gridCol w:w="2376"/>
        <w:gridCol w:w="700"/>
        <w:gridCol w:w="700"/>
        <w:gridCol w:w="700"/>
        <w:gridCol w:w="669"/>
        <w:gridCol w:w="700"/>
        <w:gridCol w:w="700"/>
        <w:gridCol w:w="700"/>
        <w:gridCol w:w="669"/>
      </w:tblGrid>
      <w:tr>
        <w:trPr>
          <w:tblHeader w:val="on"/>
        </w:trPr>
        <w:tc>
          <w:tcPr/>
          <w:p>
            <w:pPr>
              <w:pStyle w:val="Compact"/>
            </w:pPr>
          </w:p>
        </w:tc>
        <w:tc>
          <w:tcPr>
            <w:gridSpan w:val="4"/>
          </w:tcPr>
          <w:p>
            <w:pPr>
              <w:pStyle w:val="Compact"/>
              <w:jc w:val="center"/>
            </w:pPr>
            <w:r>
              <w:t xml:space="preserve">Sensitivity (</w:t>
            </w:r>
            <w:r>
              <w:rPr>
                <w:i/>
                <w:iCs/>
              </w:rPr>
              <w:t xml:space="preserve">d</w:t>
            </w:r>
            <w:r>
              <w:rPr>
                <w:vertAlign w:val="subscript"/>
              </w:rPr>
              <w:t xml:space="preserve">L</w:t>
            </w:r>
            <w:r>
              <w:t xml:space="preserve">)</w:t>
            </w:r>
          </w:p>
        </w:tc>
        <w:tc>
          <w:tcPr>
            <w:gridSpan w:val="4"/>
          </w:tcPr>
          <w:p>
            <w:pPr>
              <w:pStyle w:val="Compact"/>
              <w:jc w:val="center"/>
            </w:pPr>
            <w:r>
              <w:t xml:space="preserve">Criterion (</w:t>
            </w:r>
            <w:r>
              <w:rPr>
                <w:i/>
                <w:iCs/>
              </w:rPr>
              <w:t xml:space="preserve">c</w:t>
            </w:r>
            <w:r>
              <w:rPr>
                <w:vertAlign w:val="subscript"/>
              </w:rPr>
              <w:t xml:space="preserve">L</w:t>
            </w:r>
            <w:r>
              <w:t xml:space="preserve">)</w:t>
            </w:r>
          </w:p>
        </w:tc>
      </w:tr>
      <w:tr>
        <w:trPr>
          <w:tblHeader w:val="on"/>
        </w:trPr>
        <w:tc>
          <w:tcPr/>
          <w:p>
            <w:pPr>
              <w:pStyle w:val="Compact"/>
              <w:jc w:val="left"/>
            </w:pPr>
            <w:r>
              <w:t xml:space="preserve">Contrast</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center"/>
            </w:pPr>
            <w:r>
              <w:rPr>
                <w:i/>
                <w:iCs/>
              </w:rPr>
              <w:t xml:space="preserve">p</w:t>
            </w:r>
            <w:r>
              <w:rPr>
                <w:vertAlign w:val="subscript"/>
              </w:rPr>
              <w:t xml:space="preserve">d</w:t>
            </w:r>
          </w:p>
        </w:tc>
        <w:tc>
          <w:tcPr/>
          <w:p>
            <w:pPr>
              <w:pStyle w:val="Compact"/>
              <w:jc w:val="center"/>
            </w:pPr>
            <w:r>
              <w:rPr>
                <w:i/>
                <w:iCs/>
              </w:rPr>
              <w:t xml:space="preserve">Mdn</w:t>
            </w:r>
          </w:p>
        </w:tc>
        <w:tc>
          <w:tcPr/>
          <w:p>
            <w:pPr>
              <w:pStyle w:val="Compact"/>
              <w:jc w:val="center"/>
            </w:pPr>
            <w:r>
              <w:rPr>
                <w:i/>
                <w:iCs/>
              </w:rPr>
              <w:t xml:space="preserve">LL</w:t>
            </w:r>
          </w:p>
        </w:tc>
        <w:tc>
          <w:tcPr/>
          <w:p>
            <w:pPr>
              <w:pStyle w:val="Compact"/>
              <w:jc w:val="center"/>
            </w:pPr>
            <w:r>
              <w:rPr>
                <w:i/>
                <w:iCs/>
              </w:rPr>
              <w:t xml:space="preserve">UL</w:t>
            </w:r>
          </w:p>
        </w:tc>
        <w:tc>
          <w:tcPr/>
          <w:p>
            <w:pPr>
              <w:pStyle w:val="Compact"/>
              <w:jc w:val="center"/>
            </w:pPr>
            <w:r>
              <w:rPr>
                <w:i/>
                <w:iCs/>
              </w:rPr>
              <w:t xml:space="preserve">p</w:t>
            </w:r>
            <w:r>
              <w:rPr>
                <w:vertAlign w:val="subscript"/>
              </w:rPr>
              <w:t xml:space="preserve">d</w:t>
            </w:r>
          </w:p>
        </w:tc>
      </w:tr>
      <w:tr>
        <w:tc>
          <w:tcPr>
            <w:gridSpan w:val="9"/>
          </w:tcPr>
          <w:p>
            <w:pPr>
              <w:pStyle w:val="Compact"/>
              <w:jc w:val="left"/>
            </w:pPr>
            <w:r>
              <w:rPr>
                <w:i/>
                <w:iCs/>
              </w:rPr>
              <w:t xml:space="preserve">Gender agreement</w:t>
            </w:r>
          </w:p>
        </w:tc>
      </w:tr>
      <w:tr>
        <w:tc>
          <w:tcPr>
            <w:gridSpan w:val="9"/>
          </w:tcPr>
          <w:p>
            <w:pPr>
              <w:pStyle w:val="Compact"/>
              <w:jc w:val="left"/>
            </w:pPr>
            <w:r>
              <w:t xml:space="preserve">   Group difference (Mini-Norwegian minus Mini-English)</w:t>
            </w:r>
          </w:p>
        </w:tc>
      </w:tr>
      <w:tr>
        <w:tc>
          <w:tcPr/>
          <w:p>
            <w:pPr>
              <w:pStyle w:val="Compact"/>
              <w:jc w:val="left"/>
            </w:pPr>
            <w:r>
              <w:t xml:space="preserve">      Session 2</w:t>
            </w:r>
          </w:p>
        </w:tc>
        <w:tc>
          <w:tcPr/>
          <w:p>
            <w:pPr>
              <w:pStyle w:val="Compact"/>
              <w:jc w:val="center"/>
            </w:pPr>
            <w:r>
              <w:t xml:space="preserve">−0.1860</w:t>
            </w:r>
          </w:p>
        </w:tc>
        <w:tc>
          <w:tcPr/>
          <w:p>
            <w:pPr>
              <w:pStyle w:val="Compact"/>
              <w:jc w:val="center"/>
            </w:pPr>
            <w:r>
              <w:t xml:space="preserve">−1.9260</w:t>
            </w:r>
          </w:p>
        </w:tc>
        <w:tc>
          <w:tcPr/>
          <w:p>
            <w:pPr>
              <w:pStyle w:val="Compact"/>
              <w:jc w:val="center"/>
            </w:pPr>
            <w:r>
              <w:t xml:space="preserve">⁠ ⁠ ⁠1.5396</w:t>
            </w:r>
          </w:p>
        </w:tc>
        <w:tc>
          <w:tcPr/>
          <w:p>
            <w:pPr>
              <w:pStyle w:val="Compact"/>
              <w:jc w:val="center"/>
            </w:pPr>
            <w:r>
              <w:t xml:space="preserve">⁠ ⁠ ⁠ ⁠.58⁠ ⁠</w:t>
            </w:r>
          </w:p>
        </w:tc>
        <w:tc>
          <w:tcPr/>
          <w:p>
            <w:pPr>
              <w:pStyle w:val="Compact"/>
              <w:jc w:val="center"/>
            </w:pPr>
            <w:r>
              <w:t xml:space="preserve">−0.1294</w:t>
            </w:r>
          </w:p>
        </w:tc>
        <w:tc>
          <w:tcPr/>
          <w:p>
            <w:pPr>
              <w:pStyle w:val="Compact"/>
              <w:jc w:val="center"/>
            </w:pPr>
            <w:r>
              <w:t xml:space="preserve">−0.6665</w:t>
            </w:r>
          </w:p>
        </w:tc>
        <w:tc>
          <w:tcPr/>
          <w:p>
            <w:pPr>
              <w:pStyle w:val="Compact"/>
              <w:jc w:val="center"/>
            </w:pPr>
            <w:r>
              <w:t xml:space="preserve">⁠ ⁠ ⁠0.4036</w:t>
            </w:r>
          </w:p>
        </w:tc>
        <w:tc>
          <w:tcPr/>
          <w:p>
            <w:pPr>
              <w:pStyle w:val="Compact"/>
              <w:jc w:val="center"/>
            </w:pPr>
            <w:r>
              <w:t xml:space="preserve">⁠ ⁠ ⁠ ⁠.68⁠ ⁠</w:t>
            </w:r>
          </w:p>
        </w:tc>
      </w:tr>
      <w:tr>
        <w:tc>
          <w:tcPr/>
          <w:p>
            <w:pPr>
              <w:pStyle w:val="Compact"/>
              <w:jc w:val="left"/>
            </w:pPr>
            <w:r>
              <w:t xml:space="preserve">      Session 3</w:t>
            </w:r>
          </w:p>
        </w:tc>
        <w:tc>
          <w:tcPr/>
          <w:p>
            <w:pPr>
              <w:pStyle w:val="Compact"/>
              <w:jc w:val="center"/>
            </w:pPr>
            <w:r>
              <w:t xml:space="preserve">−0.7967</w:t>
            </w:r>
          </w:p>
        </w:tc>
        <w:tc>
          <w:tcPr/>
          <w:p>
            <w:pPr>
              <w:pStyle w:val="Compact"/>
              <w:jc w:val="center"/>
            </w:pPr>
            <w:r>
              <w:t xml:space="preserve">−2.3483</w:t>
            </w:r>
          </w:p>
        </w:tc>
        <w:tc>
          <w:tcPr/>
          <w:p>
            <w:pPr>
              <w:pStyle w:val="Compact"/>
              <w:jc w:val="center"/>
            </w:pPr>
            <w:r>
              <w:t xml:space="preserve">⁠ ⁠ ⁠0.7646</w:t>
            </w:r>
          </w:p>
        </w:tc>
        <w:tc>
          <w:tcPr/>
          <w:p>
            <w:pPr>
              <w:pStyle w:val="Compact"/>
              <w:jc w:val="center"/>
            </w:pPr>
            <w:r>
              <w:t xml:space="preserve">⁠ ⁠ ⁠ ⁠.84⁠ ⁠</w:t>
            </w:r>
          </w:p>
        </w:tc>
        <w:tc>
          <w:tcPr/>
          <w:p>
            <w:pPr>
              <w:pStyle w:val="Compact"/>
              <w:jc w:val="center"/>
            </w:pPr>
            <w:r>
              <w:t xml:space="preserve">−0.4571</w:t>
            </w:r>
          </w:p>
        </w:tc>
        <w:tc>
          <w:tcPr/>
          <w:p>
            <w:pPr>
              <w:pStyle w:val="Compact"/>
              <w:jc w:val="center"/>
            </w:pPr>
            <w:r>
              <w:t xml:space="preserve">−0.9747</w:t>
            </w:r>
          </w:p>
        </w:tc>
        <w:tc>
          <w:tcPr/>
          <w:p>
            <w:pPr>
              <w:pStyle w:val="Compact"/>
              <w:jc w:val="center"/>
            </w:pPr>
            <w:r>
              <w:t xml:space="preserve">⁠ ⁠ ⁠0.0524</w:t>
            </w:r>
          </w:p>
        </w:tc>
        <w:tc>
          <w:tcPr/>
          <w:p>
            <w:pPr>
              <w:pStyle w:val="Compact"/>
              <w:jc w:val="center"/>
            </w:pPr>
            <w:r>
              <w:t xml:space="preserve">⁠ ⁠ ⁠ ⁠.96⁠ ⁠</w:t>
            </w:r>
          </w:p>
        </w:tc>
      </w:tr>
      <w:tr>
        <w:tc>
          <w:tcPr/>
          <w:p>
            <w:pPr>
              <w:pStyle w:val="Compact"/>
              <w:jc w:val="left"/>
            </w:pPr>
            <w:r>
              <w:t xml:space="preserve">      Session 4</w:t>
            </w:r>
          </w:p>
        </w:tc>
        <w:tc>
          <w:tcPr/>
          <w:p>
            <w:pPr>
              <w:pStyle w:val="Compact"/>
              <w:jc w:val="center"/>
            </w:pPr>
            <w:r>
              <w:t xml:space="preserve">−1.4052</w:t>
            </w:r>
          </w:p>
        </w:tc>
        <w:tc>
          <w:tcPr/>
          <w:p>
            <w:pPr>
              <w:pStyle w:val="Compact"/>
              <w:jc w:val="center"/>
            </w:pPr>
            <w:r>
              <w:t xml:space="preserve">−3.0447</w:t>
            </w:r>
          </w:p>
        </w:tc>
        <w:tc>
          <w:tcPr/>
          <w:p>
            <w:pPr>
              <w:pStyle w:val="Compact"/>
              <w:jc w:val="center"/>
            </w:pPr>
            <w:r>
              <w:t xml:space="preserve">⁠ ⁠ ⁠0.2135</w:t>
            </w:r>
          </w:p>
        </w:tc>
        <w:tc>
          <w:tcPr/>
          <w:p>
            <w:pPr>
              <w:pStyle w:val="Compact"/>
              <w:jc w:val="center"/>
            </w:pPr>
            <w:r>
              <w:t xml:space="preserve">⁠ ⁠ ⁠ ⁠.96⁠ ⁠</w:t>
            </w:r>
          </w:p>
        </w:tc>
        <w:tc>
          <w:tcPr/>
          <w:p>
            <w:pPr>
              <w:pStyle w:val="Compact"/>
              <w:jc w:val="center"/>
            </w:pPr>
            <w:r>
              <w:t xml:space="preserve">−0.7833</w:t>
            </w:r>
          </w:p>
        </w:tc>
        <w:tc>
          <w:tcPr/>
          <w:p>
            <w:pPr>
              <w:pStyle w:val="Compact"/>
              <w:jc w:val="center"/>
            </w:pPr>
            <w:r>
              <w:t xml:space="preserve">−1.3061</w:t>
            </w:r>
          </w:p>
        </w:tc>
        <w:tc>
          <w:tcPr/>
          <w:p>
            <w:pPr>
              <w:pStyle w:val="Compact"/>
              <w:jc w:val="center"/>
            </w:pPr>
            <w:r>
              <w:t xml:space="preserve">−0.2706</w:t>
            </w:r>
          </w:p>
        </w:tc>
        <w:tc>
          <w:tcPr/>
          <w:p>
            <w:pPr>
              <w:pStyle w:val="Compact"/>
              <w:jc w:val="center"/>
            </w:pPr>
            <w:r>
              <w:t xml:space="preserve">⁠ ⁠ ⁠ ⁠.999</w:t>
            </w:r>
          </w:p>
        </w:tc>
      </w:tr>
      <w:tr>
        <w:tc>
          <w:tcPr/>
          <w:p>
            <w:pPr>
              <w:pStyle w:val="Compact"/>
              <w:jc w:val="left"/>
            </w:pPr>
            <w:r>
              <w:t xml:space="preserve">      Session 6</w:t>
            </w:r>
          </w:p>
        </w:tc>
        <w:tc>
          <w:tcPr/>
          <w:p>
            <w:pPr>
              <w:pStyle w:val="Compact"/>
              <w:jc w:val="center"/>
            </w:pPr>
            <w:r>
              <w:t xml:space="preserve">−2.0106</w:t>
            </w:r>
          </w:p>
        </w:tc>
        <w:tc>
          <w:tcPr/>
          <w:p>
            <w:pPr>
              <w:pStyle w:val="Compact"/>
              <w:jc w:val="center"/>
            </w:pPr>
            <w:r>
              <w:t xml:space="preserve">−3.9262</w:t>
            </w:r>
          </w:p>
        </w:tc>
        <w:tc>
          <w:tcPr/>
          <w:p>
            <w:pPr>
              <w:pStyle w:val="Compact"/>
              <w:jc w:val="center"/>
            </w:pPr>
            <w:r>
              <w:t xml:space="preserve">−0.1055</w:t>
            </w:r>
          </w:p>
        </w:tc>
        <w:tc>
          <w:tcPr/>
          <w:p>
            <w:pPr>
              <w:pStyle w:val="Compact"/>
              <w:jc w:val="center"/>
            </w:pPr>
            <w:r>
              <w:t xml:space="preserve">⁠ ⁠ ⁠ ⁠.98⁠ ⁠</w:t>
            </w:r>
          </w:p>
        </w:tc>
        <w:tc>
          <w:tcPr/>
          <w:p>
            <w:pPr>
              <w:pStyle w:val="Compact"/>
              <w:jc w:val="center"/>
            </w:pPr>
            <w:r>
              <w:t xml:space="preserve">−1.1089</w:t>
            </w:r>
          </w:p>
        </w:tc>
        <w:tc>
          <w:tcPr/>
          <w:p>
            <w:pPr>
              <w:pStyle w:val="Compact"/>
              <w:jc w:val="center"/>
            </w:pPr>
            <w:r>
              <w:t xml:space="preserve">−1.6611</w:t>
            </w:r>
          </w:p>
        </w:tc>
        <w:tc>
          <w:tcPr/>
          <w:p>
            <w:pPr>
              <w:pStyle w:val="Compact"/>
              <w:jc w:val="center"/>
            </w:pPr>
            <w:r>
              <w:t xml:space="preserve">−0.5691</w:t>
            </w:r>
          </w:p>
        </w:tc>
        <w:tc>
          <w:tcPr/>
          <w:p>
            <w:pPr>
              <w:pStyle w:val="Compact"/>
              <w:jc w:val="center"/>
            </w:pPr>
            <w:r>
              <w:t xml:space="preserve">&gt; .999</w:t>
            </w:r>
          </w:p>
        </w:tc>
      </w:tr>
      <w:tr>
        <w:tc>
          <w:tcPr/>
          <w:p>
            <w:pPr>
              <w:pStyle w:val="Compact"/>
              <w:jc w:val="left"/>
            </w:pPr>
            <w:r>
              <w:t xml:space="preserve">      Averaged over sessions</w:t>
            </w:r>
          </w:p>
        </w:tc>
        <w:tc>
          <w:tcPr/>
          <w:p>
            <w:pPr>
              <w:pStyle w:val="Compact"/>
              <w:jc w:val="center"/>
            </w:pPr>
            <w:r>
              <w:t xml:space="preserve">−0.9691</w:t>
            </w:r>
          </w:p>
        </w:tc>
        <w:tc>
          <w:tcPr/>
          <w:p>
            <w:pPr>
              <w:pStyle w:val="Compact"/>
              <w:jc w:val="center"/>
            </w:pPr>
            <w:r>
              <w:t xml:space="preserve">−2.5172</w:t>
            </w:r>
          </w:p>
        </w:tc>
        <w:tc>
          <w:tcPr/>
          <w:p>
            <w:pPr>
              <w:pStyle w:val="Compact"/>
              <w:jc w:val="center"/>
            </w:pPr>
            <w:r>
              <w:t xml:space="preserve">⁠ ⁠ ⁠0.5863</w:t>
            </w:r>
          </w:p>
        </w:tc>
        <w:tc>
          <w:tcPr/>
          <w:p>
            <w:pPr>
              <w:pStyle w:val="Compact"/>
              <w:jc w:val="center"/>
            </w:pPr>
            <w:r>
              <w:t xml:space="preserve">⁠ ⁠ ⁠ ⁠.89⁠ ⁠</w:t>
            </w:r>
          </w:p>
        </w:tc>
        <w:tc>
          <w:tcPr/>
          <w:p>
            <w:pPr>
              <w:pStyle w:val="Compact"/>
              <w:jc w:val="center"/>
            </w:pPr>
            <w:r>
              <w:t xml:space="preserve">−0.5488</w:t>
            </w:r>
          </w:p>
        </w:tc>
        <w:tc>
          <w:tcPr/>
          <w:p>
            <w:pPr>
              <w:pStyle w:val="Compact"/>
              <w:jc w:val="center"/>
            </w:pPr>
            <w:r>
              <w:t xml:space="preserve">−1.0640</w:t>
            </w:r>
          </w:p>
        </w:tc>
        <w:tc>
          <w:tcPr/>
          <w:p>
            <w:pPr>
              <w:pStyle w:val="Compact"/>
              <w:jc w:val="center"/>
            </w:pPr>
            <w:r>
              <w:t xml:space="preserve">−0.0414</w:t>
            </w:r>
          </w:p>
        </w:tc>
        <w:tc>
          <w:tcPr/>
          <w:p>
            <w:pPr>
              <w:pStyle w:val="Compact"/>
              <w:jc w:val="center"/>
            </w:pPr>
            <w:r>
              <w:t xml:space="preserve">⁠ ⁠ ⁠ ⁠.98⁠ ⁠</w:t>
            </w:r>
          </w:p>
        </w:tc>
      </w:tr>
      <w:tr>
        <w:tc>
          <w:tcPr>
            <w:gridSpan w:val="9"/>
          </w:tcPr>
          <w:p>
            <w:pPr>
              <w:pStyle w:val="Compact"/>
              <w:jc w:val="left"/>
            </w:pPr>
            <w:r>
              <w:t xml:space="preserve">   Change from Session 2 to Session 6</w:t>
            </w:r>
          </w:p>
        </w:tc>
      </w:tr>
      <w:tr>
        <w:tc>
          <w:tcPr/>
          <w:p>
            <w:pPr>
              <w:pStyle w:val="Compact"/>
              <w:jc w:val="left"/>
            </w:pPr>
            <w:r>
              <w:t xml:space="preserve">      Mini-Norwegian</w:t>
            </w:r>
          </w:p>
        </w:tc>
        <w:tc>
          <w:tcPr/>
          <w:p>
            <w:pPr>
              <w:pStyle w:val="Compact"/>
              <w:jc w:val="center"/>
            </w:pPr>
            <w:r>
              <w:t xml:space="preserve">−3.4798</w:t>
            </w:r>
          </w:p>
        </w:tc>
        <w:tc>
          <w:tcPr/>
          <w:p>
            <w:pPr>
              <w:pStyle w:val="Compact"/>
              <w:jc w:val="center"/>
            </w:pPr>
            <w:r>
              <w:t xml:space="preserve">−4.8128</w:t>
            </w:r>
          </w:p>
        </w:tc>
        <w:tc>
          <w:tcPr/>
          <w:p>
            <w:pPr>
              <w:pStyle w:val="Compact"/>
              <w:jc w:val="center"/>
            </w:pPr>
            <w:r>
              <w:t xml:space="preserve">−2.1514</w:t>
            </w:r>
          </w:p>
        </w:tc>
        <w:tc>
          <w:tcPr/>
          <w:p>
            <w:pPr>
              <w:pStyle w:val="Compact"/>
              <w:jc w:val="center"/>
            </w:pPr>
            <w:r>
              <w:t xml:space="preserve">&gt; .999</w:t>
            </w:r>
          </w:p>
        </w:tc>
        <w:tc>
          <w:tcPr/>
          <w:p>
            <w:pPr>
              <w:pStyle w:val="Compact"/>
              <w:jc w:val="center"/>
            </w:pPr>
            <w:r>
              <w:t xml:space="preserve">−1.0421</w:t>
            </w:r>
          </w:p>
        </w:tc>
        <w:tc>
          <w:tcPr/>
          <w:p>
            <w:pPr>
              <w:pStyle w:val="Compact"/>
              <w:jc w:val="center"/>
            </w:pPr>
            <w:r>
              <w:t xml:space="preserve">−1.2675</w:t>
            </w:r>
          </w:p>
        </w:tc>
        <w:tc>
          <w:tcPr/>
          <w:p>
            <w:pPr>
              <w:pStyle w:val="Compact"/>
              <w:jc w:val="center"/>
            </w:pPr>
            <w:r>
              <w:t xml:space="preserve">−0.8181</w:t>
            </w:r>
          </w:p>
        </w:tc>
        <w:tc>
          <w:tcPr/>
          <w:p>
            <w:pPr>
              <w:pStyle w:val="Compact"/>
              <w:jc w:val="center"/>
            </w:pPr>
            <w:r>
              <w:t xml:space="preserve">&gt; .999</w:t>
            </w:r>
          </w:p>
        </w:tc>
      </w:tr>
      <w:tr>
        <w:tc>
          <w:tcPr/>
          <w:p>
            <w:pPr>
              <w:pStyle w:val="Compact"/>
              <w:jc w:val="left"/>
            </w:pPr>
            <w:r>
              <w:t xml:space="preserve">      Mini-English</w:t>
            </w:r>
          </w:p>
        </w:tc>
        <w:tc>
          <w:tcPr/>
          <w:p>
            <w:pPr>
              <w:pStyle w:val="Compact"/>
              <w:jc w:val="center"/>
            </w:pPr>
            <w:r>
              <w:t xml:space="preserve">−1.6652</w:t>
            </w:r>
          </w:p>
        </w:tc>
        <w:tc>
          <w:tcPr/>
          <w:p>
            <w:pPr>
              <w:pStyle w:val="Compact"/>
              <w:jc w:val="center"/>
            </w:pPr>
            <w:r>
              <w:t xml:space="preserve">−2.9456</w:t>
            </w:r>
          </w:p>
        </w:tc>
        <w:tc>
          <w:tcPr/>
          <w:p>
            <w:pPr>
              <w:pStyle w:val="Compact"/>
              <w:jc w:val="center"/>
            </w:pPr>
            <w:r>
              <w:t xml:space="preserve">−0.3076</w:t>
            </w:r>
          </w:p>
        </w:tc>
        <w:tc>
          <w:tcPr/>
          <w:p>
            <w:pPr>
              <w:pStyle w:val="Compact"/>
              <w:jc w:val="center"/>
            </w:pPr>
            <w:r>
              <w:t xml:space="preserve">⁠ ⁠ ⁠ ⁠.99⁠ ⁠</w:t>
            </w:r>
          </w:p>
        </w:tc>
        <w:tc>
          <w:tcPr/>
          <w:p>
            <w:pPr>
              <w:pStyle w:val="Compact"/>
              <w:jc w:val="center"/>
            </w:pPr>
            <w:r>
              <w:t xml:space="preserve">−0.0635</w:t>
            </w:r>
          </w:p>
        </w:tc>
        <w:tc>
          <w:tcPr/>
          <w:p>
            <w:pPr>
              <w:pStyle w:val="Compact"/>
              <w:jc w:val="center"/>
            </w:pPr>
            <w:r>
              <w:t xml:space="preserve">−0.3303</w:t>
            </w:r>
          </w:p>
        </w:tc>
        <w:tc>
          <w:tcPr/>
          <w:p>
            <w:pPr>
              <w:pStyle w:val="Compact"/>
              <w:jc w:val="center"/>
            </w:pPr>
            <w:r>
              <w:t xml:space="preserve">⁠ ⁠ ⁠0.1996</w:t>
            </w:r>
          </w:p>
        </w:tc>
        <w:tc>
          <w:tcPr/>
          <w:p>
            <w:pPr>
              <w:pStyle w:val="Compact"/>
              <w:jc w:val="center"/>
            </w:pPr>
            <w:r>
              <w:t xml:space="preserve">⁠ ⁠ ⁠ ⁠.68⁠ ⁠</w:t>
            </w:r>
          </w:p>
        </w:tc>
      </w:tr>
      <w:tr>
        <w:tc>
          <w:tcPr/>
          <w:p>
            <w:pPr>
              <w:pStyle w:val="Compact"/>
              <w:jc w:val="left"/>
            </w:pPr>
            <w:r>
              <w:t xml:space="preserve">      Group difference</w:t>
            </w:r>
          </w:p>
        </w:tc>
        <w:tc>
          <w:tcPr/>
          <w:p>
            <w:pPr>
              <w:pStyle w:val="Compact"/>
              <w:jc w:val="center"/>
            </w:pPr>
            <w:r>
              <w:t xml:space="preserve">−1.8196</w:t>
            </w:r>
          </w:p>
        </w:tc>
        <w:tc>
          <w:tcPr/>
          <w:p>
            <w:pPr>
              <w:pStyle w:val="Compact"/>
              <w:jc w:val="center"/>
            </w:pPr>
            <w:r>
              <w:t xml:space="preserve">−3.7083</w:t>
            </w:r>
          </w:p>
        </w:tc>
        <w:tc>
          <w:tcPr/>
          <w:p>
            <w:pPr>
              <w:pStyle w:val="Compact"/>
              <w:jc w:val="center"/>
            </w:pPr>
            <w:r>
              <w:t xml:space="preserve">−0.0001</w:t>
            </w:r>
          </w:p>
        </w:tc>
        <w:tc>
          <w:tcPr/>
          <w:p>
            <w:pPr>
              <w:pStyle w:val="Compact"/>
              <w:jc w:val="center"/>
            </w:pPr>
            <w:r>
              <w:t xml:space="preserve">⁠ ⁠ ⁠ ⁠.97⁠ ⁠</w:t>
            </w:r>
          </w:p>
        </w:tc>
        <w:tc>
          <w:tcPr/>
          <w:p>
            <w:pPr>
              <w:pStyle w:val="Compact"/>
              <w:jc w:val="center"/>
            </w:pPr>
            <w:r>
              <w:t xml:space="preserve">−0.9785</w:t>
            </w:r>
          </w:p>
        </w:tc>
        <w:tc>
          <w:tcPr/>
          <w:p>
            <w:pPr>
              <w:pStyle w:val="Compact"/>
              <w:jc w:val="center"/>
            </w:pPr>
            <w:r>
              <w:t xml:space="preserve">−1.3237</w:t>
            </w:r>
          </w:p>
        </w:tc>
        <w:tc>
          <w:tcPr/>
          <w:p>
            <w:pPr>
              <w:pStyle w:val="Compact"/>
              <w:jc w:val="center"/>
            </w:pPr>
            <w:r>
              <w:t xml:space="preserve">−0.6381</w:t>
            </w:r>
          </w:p>
        </w:tc>
        <w:tc>
          <w:tcPr/>
          <w:p>
            <w:pPr>
              <w:pStyle w:val="Compact"/>
              <w:jc w:val="center"/>
            </w:pPr>
            <w:r>
              <w:t xml:space="preserve">&gt; .999</w:t>
            </w:r>
          </w:p>
        </w:tc>
      </w:tr>
      <w:tr>
        <w:tc>
          <w:tcPr>
            <w:gridSpan w:val="9"/>
          </w:tcPr>
          <w:p>
            <w:pPr>
              <w:pStyle w:val="Compact"/>
              <w:jc w:val="left"/>
            </w:pPr>
            <w:r>
              <w:rPr>
                <w:i/>
                <w:iCs/>
              </w:rPr>
              <w:t xml:space="preserve">Differential object marking</w:t>
            </w:r>
          </w:p>
        </w:tc>
      </w:tr>
      <w:tr>
        <w:tc>
          <w:tcPr>
            <w:gridSpan w:val="9"/>
          </w:tcPr>
          <w:p>
            <w:pPr>
              <w:pStyle w:val="Compact"/>
              <w:jc w:val="left"/>
            </w:pPr>
            <w:r>
              <w:t xml:space="preserve">   Group difference (Mini-Norwegian minus Mini-English)</w:t>
            </w:r>
          </w:p>
        </w:tc>
      </w:tr>
      <w:tr>
        <w:tc>
          <w:tcPr/>
          <w:p>
            <w:pPr>
              <w:pStyle w:val="Compact"/>
              <w:jc w:val="left"/>
            </w:pPr>
            <w:r>
              <w:t xml:space="preserve">      Session 3</w:t>
            </w:r>
          </w:p>
        </w:tc>
        <w:tc>
          <w:tcPr/>
          <w:p>
            <w:pPr>
              <w:pStyle w:val="Compact"/>
              <w:jc w:val="center"/>
            </w:pPr>
            <w:r>
              <w:t xml:space="preserve">−1.7677</w:t>
            </w:r>
          </w:p>
        </w:tc>
        <w:tc>
          <w:tcPr/>
          <w:p>
            <w:pPr>
              <w:pStyle w:val="Compact"/>
              <w:jc w:val="center"/>
            </w:pPr>
            <w:r>
              <w:t xml:space="preserve">−4.9228</w:t>
            </w:r>
          </w:p>
        </w:tc>
        <w:tc>
          <w:tcPr/>
          <w:p>
            <w:pPr>
              <w:pStyle w:val="Compact"/>
              <w:jc w:val="center"/>
            </w:pPr>
            <w:r>
              <w:t xml:space="preserve">⁠ ⁠ ⁠1.4172</w:t>
            </w:r>
          </w:p>
        </w:tc>
        <w:tc>
          <w:tcPr/>
          <w:p>
            <w:pPr>
              <w:pStyle w:val="Compact"/>
              <w:jc w:val="center"/>
            </w:pPr>
            <w:r>
              <w:t xml:space="preserve">⁠ ⁠ ⁠ ⁠.86⁠ ⁠</w:t>
            </w:r>
          </w:p>
        </w:tc>
        <w:tc>
          <w:tcPr/>
          <w:p>
            <w:pPr>
              <w:pStyle w:val="Compact"/>
              <w:jc w:val="center"/>
            </w:pPr>
            <w:r>
              <w:t xml:space="preserve">−0.2588</w:t>
            </w:r>
          </w:p>
        </w:tc>
        <w:tc>
          <w:tcPr/>
          <w:p>
            <w:pPr>
              <w:pStyle w:val="Compact"/>
              <w:jc w:val="center"/>
            </w:pPr>
            <w:r>
              <w:t xml:space="preserve">−1.1064</w:t>
            </w:r>
          </w:p>
        </w:tc>
        <w:tc>
          <w:tcPr/>
          <w:p>
            <w:pPr>
              <w:pStyle w:val="Compact"/>
              <w:jc w:val="center"/>
            </w:pPr>
            <w:r>
              <w:t xml:space="preserve">⁠ ⁠ ⁠0.5722</w:t>
            </w:r>
          </w:p>
        </w:tc>
        <w:tc>
          <w:tcPr/>
          <w:p>
            <w:pPr>
              <w:pStyle w:val="Compact"/>
              <w:jc w:val="center"/>
            </w:pPr>
            <w:r>
              <w:t xml:space="preserve">⁠ ⁠ ⁠ ⁠.73⁠ ⁠</w:t>
            </w:r>
          </w:p>
        </w:tc>
      </w:tr>
      <w:tr>
        <w:tc>
          <w:tcPr/>
          <w:p>
            <w:pPr>
              <w:pStyle w:val="Compact"/>
              <w:jc w:val="left"/>
            </w:pPr>
            <w:r>
              <w:t xml:space="preserve">      Session 4</w:t>
            </w:r>
          </w:p>
        </w:tc>
        <w:tc>
          <w:tcPr/>
          <w:p>
            <w:pPr>
              <w:pStyle w:val="Compact"/>
              <w:jc w:val="center"/>
            </w:pPr>
            <w:r>
              <w:t xml:space="preserve">−0.4503</w:t>
            </w:r>
          </w:p>
        </w:tc>
        <w:tc>
          <w:tcPr/>
          <w:p>
            <w:pPr>
              <w:pStyle w:val="Compact"/>
              <w:jc w:val="center"/>
            </w:pPr>
            <w:r>
              <w:t xml:space="preserve">−2.3619</w:t>
            </w:r>
          </w:p>
        </w:tc>
        <w:tc>
          <w:tcPr/>
          <w:p>
            <w:pPr>
              <w:pStyle w:val="Compact"/>
              <w:jc w:val="center"/>
            </w:pPr>
            <w:r>
              <w:t xml:space="preserve">⁠ ⁠ ⁠1.5505</w:t>
            </w:r>
          </w:p>
        </w:tc>
        <w:tc>
          <w:tcPr/>
          <w:p>
            <w:pPr>
              <w:pStyle w:val="Compact"/>
              <w:jc w:val="center"/>
            </w:pPr>
            <w:r>
              <w:t xml:space="preserve">⁠ ⁠ ⁠ ⁠.68⁠ ⁠</w:t>
            </w:r>
          </w:p>
        </w:tc>
        <w:tc>
          <w:tcPr/>
          <w:p>
            <w:pPr>
              <w:pStyle w:val="Compact"/>
              <w:jc w:val="center"/>
            </w:pPr>
            <w:r>
              <w:t xml:space="preserve">−0.3171</w:t>
            </w:r>
          </w:p>
        </w:tc>
        <w:tc>
          <w:tcPr/>
          <w:p>
            <w:pPr>
              <w:pStyle w:val="Compact"/>
              <w:jc w:val="center"/>
            </w:pPr>
            <w:r>
              <w:t xml:space="preserve">−1.1371</w:t>
            </w:r>
          </w:p>
        </w:tc>
        <w:tc>
          <w:tcPr/>
          <w:p>
            <w:pPr>
              <w:pStyle w:val="Compact"/>
              <w:jc w:val="center"/>
            </w:pPr>
            <w:r>
              <w:t xml:space="preserve">⁠ ⁠ ⁠0.4908</w:t>
            </w:r>
          </w:p>
        </w:tc>
        <w:tc>
          <w:tcPr/>
          <w:p>
            <w:pPr>
              <w:pStyle w:val="Compact"/>
              <w:jc w:val="center"/>
            </w:pPr>
            <w:r>
              <w:t xml:space="preserve">⁠ ⁠ ⁠ ⁠.78⁠ ⁠</w:t>
            </w:r>
          </w:p>
        </w:tc>
      </w:tr>
      <w:tr>
        <w:tc>
          <w:tcPr/>
          <w:p>
            <w:pPr>
              <w:pStyle w:val="Compact"/>
              <w:jc w:val="left"/>
            </w:pPr>
            <w:r>
              <w:t xml:space="preserve">      Session 6</w:t>
            </w:r>
          </w:p>
        </w:tc>
        <w:tc>
          <w:tcPr/>
          <w:p>
            <w:pPr>
              <w:pStyle w:val="Compact"/>
              <w:jc w:val="center"/>
            </w:pPr>
            <w:r>
              <w:t xml:space="preserve">⁠ ⁠ ⁠0.8595</w:t>
            </w:r>
          </w:p>
        </w:tc>
        <w:tc>
          <w:tcPr/>
          <w:p>
            <w:pPr>
              <w:pStyle w:val="Compact"/>
              <w:jc w:val="center"/>
            </w:pPr>
            <w:r>
              <w:t xml:space="preserve">−1.0592</w:t>
            </w:r>
          </w:p>
        </w:tc>
        <w:tc>
          <w:tcPr/>
          <w:p>
            <w:pPr>
              <w:pStyle w:val="Compact"/>
              <w:jc w:val="center"/>
            </w:pPr>
            <w:r>
              <w:t xml:space="preserve">⁠ ⁠ ⁠2.9003</w:t>
            </w:r>
          </w:p>
        </w:tc>
        <w:tc>
          <w:tcPr/>
          <w:p>
            <w:pPr>
              <w:pStyle w:val="Compact"/>
              <w:jc w:val="center"/>
            </w:pPr>
            <w:r>
              <w:t xml:space="preserve">⁠ ⁠ ⁠ ⁠.81⁠ ⁠</w:t>
            </w:r>
          </w:p>
        </w:tc>
        <w:tc>
          <w:tcPr/>
          <w:p>
            <w:pPr>
              <w:pStyle w:val="Compact"/>
              <w:jc w:val="center"/>
            </w:pPr>
            <w:r>
              <w:t xml:space="preserve">−0.3762</w:t>
            </w:r>
          </w:p>
        </w:tc>
        <w:tc>
          <w:tcPr/>
          <w:p>
            <w:pPr>
              <w:pStyle w:val="Compact"/>
              <w:jc w:val="center"/>
            </w:pPr>
            <w:r>
              <w:t xml:space="preserve">−1.2089</w:t>
            </w:r>
          </w:p>
        </w:tc>
        <w:tc>
          <w:tcPr/>
          <w:p>
            <w:pPr>
              <w:pStyle w:val="Compact"/>
              <w:jc w:val="center"/>
            </w:pPr>
            <w:r>
              <w:t xml:space="preserve">⁠ ⁠ ⁠0.4417</w:t>
            </w:r>
          </w:p>
        </w:tc>
        <w:tc>
          <w:tcPr/>
          <w:p>
            <w:pPr>
              <w:pStyle w:val="Compact"/>
              <w:jc w:val="center"/>
            </w:pPr>
            <w:r>
              <w:t xml:space="preserve">⁠ ⁠ ⁠ ⁠.82⁠ ⁠</w:t>
            </w:r>
          </w:p>
        </w:tc>
      </w:tr>
      <w:tr>
        <w:tc>
          <w:tcPr/>
          <w:p>
            <w:pPr>
              <w:pStyle w:val="Compact"/>
              <w:jc w:val="left"/>
            </w:pPr>
            <w:r>
              <w:t xml:space="preserve">      Averaged over sessions</w:t>
            </w:r>
          </w:p>
        </w:tc>
        <w:tc>
          <w:tcPr/>
          <w:p>
            <w:pPr>
              <w:pStyle w:val="Compact"/>
              <w:jc w:val="center"/>
            </w:pPr>
            <w:r>
              <w:t xml:space="preserve">−0.6612</w:t>
            </w:r>
          </w:p>
        </w:tc>
        <w:tc>
          <w:tcPr/>
          <w:p>
            <w:pPr>
              <w:pStyle w:val="Compact"/>
              <w:jc w:val="center"/>
            </w:pPr>
            <w:r>
              <w:t xml:space="preserve">−2.7045</w:t>
            </w:r>
          </w:p>
        </w:tc>
        <w:tc>
          <w:tcPr/>
          <w:p>
            <w:pPr>
              <w:pStyle w:val="Compact"/>
              <w:jc w:val="center"/>
            </w:pPr>
            <w:r>
              <w:t xml:space="preserve">⁠ ⁠ ⁠1.4855</w:t>
            </w:r>
          </w:p>
        </w:tc>
        <w:tc>
          <w:tcPr/>
          <w:p>
            <w:pPr>
              <w:pStyle w:val="Compact"/>
              <w:jc w:val="center"/>
            </w:pPr>
            <w:r>
              <w:t xml:space="preserve">⁠ ⁠ ⁠ ⁠.73⁠ ⁠</w:t>
            </w:r>
          </w:p>
        </w:tc>
        <w:tc>
          <w:tcPr/>
          <w:p>
            <w:pPr>
              <w:pStyle w:val="Compact"/>
              <w:jc w:val="center"/>
            </w:pPr>
            <w:r>
              <w:t xml:space="preserve">−0.3076</w:t>
            </w:r>
          </w:p>
        </w:tc>
        <w:tc>
          <w:tcPr/>
          <w:p>
            <w:pPr>
              <w:pStyle w:val="Compact"/>
              <w:jc w:val="center"/>
            </w:pPr>
            <w:r>
              <w:t xml:space="preserve">−1.1305</w:t>
            </w:r>
          </w:p>
        </w:tc>
        <w:tc>
          <w:tcPr/>
          <w:p>
            <w:pPr>
              <w:pStyle w:val="Compact"/>
              <w:jc w:val="center"/>
            </w:pPr>
            <w:r>
              <w:t xml:space="preserve">⁠ ⁠ ⁠0.5017</w:t>
            </w:r>
          </w:p>
        </w:tc>
        <w:tc>
          <w:tcPr/>
          <w:p>
            <w:pPr>
              <w:pStyle w:val="Compact"/>
              <w:jc w:val="center"/>
            </w:pPr>
            <w:r>
              <w:t xml:space="preserve">⁠ ⁠ ⁠ ⁠.78⁠ ⁠</w:t>
            </w:r>
          </w:p>
        </w:tc>
      </w:tr>
      <w:tr>
        <w:tc>
          <w:tcPr>
            <w:gridSpan w:val="9"/>
          </w:tcPr>
          <w:p>
            <w:pPr>
              <w:pStyle w:val="Compact"/>
              <w:jc w:val="left"/>
            </w:pPr>
            <w:r>
              <w:t xml:space="preserve">   Change from Session 3 to Session 6</w:t>
            </w:r>
          </w:p>
        </w:tc>
      </w:tr>
      <w:tr>
        <w:tc>
          <w:tcPr/>
          <w:p>
            <w:pPr>
              <w:pStyle w:val="Compact"/>
              <w:jc w:val="left"/>
            </w:pPr>
            <w:r>
              <w:t xml:space="preserve">      Mini-Norwegian</w:t>
            </w:r>
          </w:p>
        </w:tc>
        <w:tc>
          <w:tcPr/>
          <w:p>
            <w:pPr>
              <w:pStyle w:val="Compact"/>
              <w:jc w:val="center"/>
            </w:pPr>
            <w:r>
              <w:t xml:space="preserve">−4.3521</w:t>
            </w:r>
          </w:p>
        </w:tc>
        <w:tc>
          <w:tcPr/>
          <w:p>
            <w:pPr>
              <w:pStyle w:val="Compact"/>
              <w:jc w:val="center"/>
            </w:pPr>
            <w:r>
              <w:t xml:space="preserve">−6.8253</w:t>
            </w:r>
          </w:p>
        </w:tc>
        <w:tc>
          <w:tcPr/>
          <w:p>
            <w:pPr>
              <w:pStyle w:val="Compact"/>
              <w:jc w:val="center"/>
            </w:pPr>
            <w:r>
              <w:t xml:space="preserve">−1.8189</w:t>
            </w:r>
          </w:p>
        </w:tc>
        <w:tc>
          <w:tcPr/>
          <w:p>
            <w:pPr>
              <w:pStyle w:val="Compact"/>
              <w:jc w:val="center"/>
            </w:pPr>
            <w:r>
              <w:t xml:space="preserve">&gt; .999</w:t>
            </w:r>
          </w:p>
        </w:tc>
        <w:tc>
          <w:tcPr/>
          <w:p>
            <w:pPr>
              <w:pStyle w:val="Compact"/>
              <w:jc w:val="center"/>
            </w:pPr>
            <w:r>
              <w:t xml:space="preserve">⁠ ⁠ ⁠0.4886</w:t>
            </w:r>
          </w:p>
        </w:tc>
        <w:tc>
          <w:tcPr/>
          <w:p>
            <w:pPr>
              <w:pStyle w:val="Compact"/>
              <w:jc w:val="center"/>
            </w:pPr>
            <w:r>
              <w:t xml:space="preserve">⁠ ⁠ ⁠0.2644</w:t>
            </w:r>
          </w:p>
        </w:tc>
        <w:tc>
          <w:tcPr/>
          <w:p>
            <w:pPr>
              <w:pStyle w:val="Compact"/>
              <w:jc w:val="center"/>
            </w:pPr>
            <w:r>
              <w:t xml:space="preserve">⁠ ⁠ ⁠0.7158</w:t>
            </w:r>
          </w:p>
        </w:tc>
        <w:tc>
          <w:tcPr/>
          <w:p>
            <w:pPr>
              <w:pStyle w:val="Compact"/>
              <w:jc w:val="center"/>
            </w:pPr>
            <w:r>
              <w:t xml:space="preserve">&gt; .999</w:t>
            </w:r>
          </w:p>
        </w:tc>
      </w:tr>
      <w:tr>
        <w:tc>
          <w:tcPr/>
          <w:p>
            <w:pPr>
              <w:pStyle w:val="Compact"/>
              <w:jc w:val="left"/>
            </w:pPr>
            <w:r>
              <w:t xml:space="preserve">      Mini-English</w:t>
            </w:r>
          </w:p>
        </w:tc>
        <w:tc>
          <w:tcPr/>
          <w:p>
            <w:pPr>
              <w:pStyle w:val="Compact"/>
              <w:jc w:val="center"/>
            </w:pPr>
            <w:r>
              <w:t xml:space="preserve">−6.9881</w:t>
            </w:r>
          </w:p>
        </w:tc>
        <w:tc>
          <w:tcPr/>
          <w:p>
            <w:pPr>
              <w:pStyle w:val="Compact"/>
              <w:jc w:val="center"/>
            </w:pPr>
            <w:r>
              <w:t xml:space="preserve">−9.3845</w:t>
            </w:r>
          </w:p>
        </w:tc>
        <w:tc>
          <w:tcPr/>
          <w:p>
            <w:pPr>
              <w:pStyle w:val="Compact"/>
              <w:jc w:val="center"/>
            </w:pPr>
            <w:r>
              <w:t xml:space="preserve">−4.4559</w:t>
            </w:r>
          </w:p>
        </w:tc>
        <w:tc>
          <w:tcPr/>
          <w:p>
            <w:pPr>
              <w:pStyle w:val="Compact"/>
              <w:jc w:val="center"/>
            </w:pPr>
            <w:r>
              <w:t xml:space="preserve">&gt; .999</w:t>
            </w:r>
          </w:p>
        </w:tc>
        <w:tc>
          <w:tcPr/>
          <w:p>
            <w:pPr>
              <w:pStyle w:val="Compact"/>
              <w:jc w:val="center"/>
            </w:pPr>
            <w:r>
              <w:t xml:space="preserve">⁠ ⁠ ⁠0.6029</w:t>
            </w:r>
          </w:p>
        </w:tc>
        <w:tc>
          <w:tcPr/>
          <w:p>
            <w:pPr>
              <w:pStyle w:val="Compact"/>
              <w:jc w:val="center"/>
            </w:pPr>
            <w:r>
              <w:t xml:space="preserve">⁠ ⁠ ⁠0.3434</w:t>
            </w:r>
          </w:p>
        </w:tc>
        <w:tc>
          <w:tcPr/>
          <w:p>
            <w:pPr>
              <w:pStyle w:val="Compact"/>
              <w:jc w:val="center"/>
            </w:pPr>
            <w:r>
              <w:t xml:space="preserve">⁠ ⁠ ⁠0.8688</w:t>
            </w:r>
          </w:p>
        </w:tc>
        <w:tc>
          <w:tcPr/>
          <w:p>
            <w:pPr>
              <w:pStyle w:val="Compact"/>
              <w:jc w:val="center"/>
            </w:pPr>
            <w:r>
              <w:t xml:space="preserve">&gt; .999</w:t>
            </w:r>
          </w:p>
        </w:tc>
      </w:tr>
      <w:tr>
        <w:tc>
          <w:tcPr/>
          <w:p>
            <w:pPr>
              <w:pStyle w:val="Compact"/>
              <w:jc w:val="left"/>
            </w:pPr>
            <w:r>
              <w:t xml:space="preserve">      Group difference</w:t>
            </w:r>
          </w:p>
        </w:tc>
        <w:tc>
          <w:tcPr/>
          <w:p>
            <w:pPr>
              <w:pStyle w:val="Compact"/>
              <w:jc w:val="center"/>
            </w:pPr>
            <w:r>
              <w:t xml:space="preserve">⁠ ⁠ ⁠2.6369</w:t>
            </w:r>
          </w:p>
        </w:tc>
        <w:tc>
          <w:tcPr/>
          <w:p>
            <w:pPr>
              <w:pStyle w:val="Compact"/>
              <w:jc w:val="center"/>
            </w:pPr>
            <w:r>
              <w:t xml:space="preserve">−0.9124</w:t>
            </w:r>
          </w:p>
        </w:tc>
        <w:tc>
          <w:tcPr/>
          <w:p>
            <w:pPr>
              <w:pStyle w:val="Compact"/>
              <w:jc w:val="center"/>
            </w:pPr>
            <w:r>
              <w:t xml:space="preserve">⁠ ⁠ ⁠6.1872</w:t>
            </w:r>
          </w:p>
        </w:tc>
        <w:tc>
          <w:tcPr/>
          <w:p>
            <w:pPr>
              <w:pStyle w:val="Compact"/>
              <w:jc w:val="center"/>
            </w:pPr>
            <w:r>
              <w:t xml:space="preserve">⁠ ⁠ ⁠ ⁠.93⁠ ⁠</w:t>
            </w:r>
          </w:p>
        </w:tc>
        <w:tc>
          <w:tcPr/>
          <w:p>
            <w:pPr>
              <w:pStyle w:val="Compact"/>
              <w:jc w:val="center"/>
            </w:pPr>
            <w:r>
              <w:t xml:space="preserve">−0.1127</w:t>
            </w:r>
          </w:p>
        </w:tc>
        <w:tc>
          <w:tcPr/>
          <w:p>
            <w:pPr>
              <w:pStyle w:val="Compact"/>
              <w:jc w:val="center"/>
            </w:pPr>
            <w:r>
              <w:t xml:space="preserve">−0.4596</w:t>
            </w:r>
          </w:p>
        </w:tc>
        <w:tc>
          <w:tcPr/>
          <w:p>
            <w:pPr>
              <w:pStyle w:val="Compact"/>
              <w:jc w:val="center"/>
            </w:pPr>
            <w:r>
              <w:t xml:space="preserve">⁠ ⁠ ⁠0.2306</w:t>
            </w:r>
          </w:p>
        </w:tc>
        <w:tc>
          <w:tcPr/>
          <w:p>
            <w:pPr>
              <w:pStyle w:val="Compact"/>
              <w:jc w:val="center"/>
            </w:pPr>
            <w:r>
              <w:t xml:space="preserve">⁠ ⁠ ⁠ ⁠.74⁠ ⁠</w:t>
            </w:r>
          </w:p>
        </w:tc>
      </w:tr>
      <w:tr>
        <w:tc>
          <w:tcPr>
            <w:gridSpan w:val="9"/>
          </w:tcPr>
          <w:p>
            <w:pPr>
              <w:pStyle w:val="Compact"/>
              <w:jc w:val="left"/>
            </w:pPr>
            <w:r>
              <w:rPr>
                <w:i/>
                <w:iCs/>
              </w:rPr>
              <w:t xml:space="preserve">Verb–object number agreement</w:t>
            </w:r>
          </w:p>
        </w:tc>
      </w:tr>
      <w:tr>
        <w:tc>
          <w:tcPr>
            <w:gridSpan w:val="9"/>
          </w:tcPr>
          <w:p>
            <w:pPr>
              <w:pStyle w:val="Compact"/>
              <w:jc w:val="left"/>
            </w:pPr>
            <w:r>
              <w:t xml:space="preserve">   Group difference (Mini-Norwegian minus Mini-English)</w:t>
            </w:r>
          </w:p>
        </w:tc>
      </w:tr>
      <w:tr>
        <w:tc>
          <w:tcPr/>
          <w:p>
            <w:pPr>
              <w:pStyle w:val="Compact"/>
              <w:jc w:val="left"/>
            </w:pPr>
            <w:r>
              <w:t xml:space="preserve">      Session 4</w:t>
            </w:r>
          </w:p>
        </w:tc>
        <w:tc>
          <w:tcPr/>
          <w:p>
            <w:pPr>
              <w:pStyle w:val="Compact"/>
              <w:jc w:val="center"/>
            </w:pPr>
            <w:r>
              <w:t xml:space="preserve">⁠ ⁠ ⁠0.9378</w:t>
            </w:r>
          </w:p>
        </w:tc>
        <w:tc>
          <w:tcPr/>
          <w:p>
            <w:pPr>
              <w:pStyle w:val="Compact"/>
              <w:jc w:val="center"/>
            </w:pPr>
            <w:r>
              <w:t xml:space="preserve">−1.4338</w:t>
            </w:r>
          </w:p>
        </w:tc>
        <w:tc>
          <w:tcPr/>
          <w:p>
            <w:pPr>
              <w:pStyle w:val="Compact"/>
              <w:jc w:val="center"/>
            </w:pPr>
            <w:r>
              <w:t xml:space="preserve">⁠ ⁠ ⁠3.3221</w:t>
            </w:r>
          </w:p>
        </w:tc>
        <w:tc>
          <w:tcPr/>
          <w:p>
            <w:pPr>
              <w:pStyle w:val="Compact"/>
              <w:jc w:val="center"/>
            </w:pPr>
            <w:r>
              <w:t xml:space="preserve">⁠ ⁠ ⁠ ⁠.78⁠ ⁠</w:t>
            </w:r>
          </w:p>
        </w:tc>
        <w:tc>
          <w:tcPr/>
          <w:p>
            <w:pPr>
              <w:pStyle w:val="Compact"/>
              <w:jc w:val="center"/>
            </w:pPr>
            <w:r>
              <w:t xml:space="preserve">−0.1140</w:t>
            </w:r>
          </w:p>
        </w:tc>
        <w:tc>
          <w:tcPr/>
          <w:p>
            <w:pPr>
              <w:pStyle w:val="Compact"/>
              <w:jc w:val="center"/>
            </w:pPr>
            <w:r>
              <w:t xml:space="preserve">−0.7343</w:t>
            </w:r>
          </w:p>
        </w:tc>
        <w:tc>
          <w:tcPr/>
          <w:p>
            <w:pPr>
              <w:pStyle w:val="Compact"/>
              <w:jc w:val="center"/>
            </w:pPr>
            <w:r>
              <w:t xml:space="preserve">⁠ ⁠ ⁠0.5115</w:t>
            </w:r>
          </w:p>
        </w:tc>
        <w:tc>
          <w:tcPr/>
          <w:p>
            <w:pPr>
              <w:pStyle w:val="Compact"/>
              <w:jc w:val="center"/>
            </w:pPr>
            <w:r>
              <w:t xml:space="preserve">⁠ ⁠ ⁠ ⁠.64⁠ ⁠</w:t>
            </w:r>
          </w:p>
        </w:tc>
      </w:tr>
      <w:tr>
        <w:tc>
          <w:tcPr/>
          <w:p>
            <w:pPr>
              <w:pStyle w:val="Compact"/>
              <w:jc w:val="left"/>
            </w:pPr>
            <w:r>
              <w:t xml:space="preserve">      Session 6</w:t>
            </w:r>
          </w:p>
        </w:tc>
        <w:tc>
          <w:tcPr/>
          <w:p>
            <w:pPr>
              <w:pStyle w:val="Compact"/>
              <w:jc w:val="center"/>
            </w:pPr>
            <w:r>
              <w:t xml:space="preserve">−0.5665</w:t>
            </w:r>
          </w:p>
        </w:tc>
        <w:tc>
          <w:tcPr/>
          <w:p>
            <w:pPr>
              <w:pStyle w:val="Compact"/>
              <w:jc w:val="center"/>
            </w:pPr>
            <w:r>
              <w:t xml:space="preserve">−2.0112</w:t>
            </w:r>
          </w:p>
        </w:tc>
        <w:tc>
          <w:tcPr/>
          <w:p>
            <w:pPr>
              <w:pStyle w:val="Compact"/>
              <w:jc w:val="center"/>
            </w:pPr>
            <w:r>
              <w:t xml:space="preserve">⁠ ⁠ ⁠0.8474</w:t>
            </w:r>
          </w:p>
        </w:tc>
        <w:tc>
          <w:tcPr/>
          <w:p>
            <w:pPr>
              <w:pStyle w:val="Compact"/>
              <w:jc w:val="center"/>
            </w:pPr>
            <w:r>
              <w:t xml:space="preserve">⁠ ⁠ ⁠ ⁠.79⁠ ⁠</w:t>
            </w:r>
          </w:p>
        </w:tc>
        <w:tc>
          <w:tcPr/>
          <w:p>
            <w:pPr>
              <w:pStyle w:val="Compact"/>
              <w:jc w:val="center"/>
            </w:pPr>
            <w:r>
              <w:t xml:space="preserve">−0.2170</w:t>
            </w:r>
          </w:p>
        </w:tc>
        <w:tc>
          <w:tcPr/>
          <w:p>
            <w:pPr>
              <w:pStyle w:val="Compact"/>
              <w:jc w:val="center"/>
            </w:pPr>
            <w:r>
              <w:t xml:space="preserve">−0.8468</w:t>
            </w:r>
          </w:p>
        </w:tc>
        <w:tc>
          <w:tcPr/>
          <w:p>
            <w:pPr>
              <w:pStyle w:val="Compact"/>
              <w:jc w:val="center"/>
            </w:pPr>
            <w:r>
              <w:t xml:space="preserve">⁠ ⁠ ⁠0.4198</w:t>
            </w:r>
          </w:p>
        </w:tc>
        <w:tc>
          <w:tcPr/>
          <w:p>
            <w:pPr>
              <w:pStyle w:val="Compact"/>
              <w:jc w:val="center"/>
            </w:pPr>
            <w:r>
              <w:t xml:space="preserve">⁠ ⁠ ⁠ ⁠.75⁠ ⁠</w:t>
            </w:r>
          </w:p>
        </w:tc>
      </w:tr>
      <w:tr>
        <w:tc>
          <w:tcPr/>
          <w:p>
            <w:pPr>
              <w:pStyle w:val="Compact"/>
              <w:jc w:val="left"/>
            </w:pPr>
            <w:r>
              <w:t xml:space="preserve">      Averaged over sessions</w:t>
            </w:r>
          </w:p>
        </w:tc>
        <w:tc>
          <w:tcPr/>
          <w:p>
            <w:pPr>
              <w:pStyle w:val="Compact"/>
              <w:jc w:val="center"/>
            </w:pPr>
            <w:r>
              <w:t xml:space="preserve">⁠ ⁠ ⁠0.3399</w:t>
            </w:r>
          </w:p>
        </w:tc>
        <w:tc>
          <w:tcPr/>
          <w:p>
            <w:pPr>
              <w:pStyle w:val="Compact"/>
              <w:jc w:val="center"/>
            </w:pPr>
            <w:r>
              <w:t xml:space="preserve">−1.2727</w:t>
            </w:r>
          </w:p>
        </w:tc>
        <w:tc>
          <w:tcPr/>
          <w:p>
            <w:pPr>
              <w:pStyle w:val="Compact"/>
              <w:jc w:val="center"/>
            </w:pPr>
            <w:r>
              <w:t xml:space="preserve">⁠ ⁠ ⁠1.9299</w:t>
            </w:r>
          </w:p>
        </w:tc>
        <w:tc>
          <w:tcPr/>
          <w:p>
            <w:pPr>
              <w:pStyle w:val="Compact"/>
              <w:jc w:val="center"/>
            </w:pPr>
            <w:r>
              <w:t xml:space="preserve">⁠ ⁠ ⁠ ⁠.66⁠ ⁠</w:t>
            </w:r>
          </w:p>
        </w:tc>
        <w:tc>
          <w:tcPr/>
          <w:p>
            <w:pPr>
              <w:pStyle w:val="Compact"/>
              <w:jc w:val="center"/>
            </w:pPr>
            <w:r>
              <w:t xml:space="preserve">−0.1550</w:t>
            </w:r>
          </w:p>
        </w:tc>
        <w:tc>
          <w:tcPr/>
          <w:p>
            <w:pPr>
              <w:pStyle w:val="Compact"/>
              <w:jc w:val="center"/>
            </w:pPr>
            <w:r>
              <w:t xml:space="preserve">−0.7665</w:t>
            </w:r>
          </w:p>
        </w:tc>
        <w:tc>
          <w:tcPr/>
          <w:p>
            <w:pPr>
              <w:pStyle w:val="Compact"/>
              <w:jc w:val="center"/>
            </w:pPr>
            <w:r>
              <w:t xml:space="preserve">⁠ ⁠ ⁠0.4554</w:t>
            </w:r>
          </w:p>
        </w:tc>
        <w:tc>
          <w:tcPr/>
          <w:p>
            <w:pPr>
              <w:pStyle w:val="Compact"/>
              <w:jc w:val="center"/>
            </w:pPr>
            <w:r>
              <w:t xml:space="preserve">⁠ ⁠ ⁠ ⁠.69⁠ ⁠</w:t>
            </w:r>
          </w:p>
        </w:tc>
      </w:tr>
      <w:tr>
        <w:tc>
          <w:tcPr>
            <w:gridSpan w:val="9"/>
          </w:tcPr>
          <w:p>
            <w:pPr>
              <w:pStyle w:val="Compact"/>
              <w:jc w:val="left"/>
            </w:pPr>
            <w:r>
              <w:t xml:space="preserve">   Change from Session 4 to Session 6</w:t>
            </w:r>
          </w:p>
        </w:tc>
      </w:tr>
      <w:tr>
        <w:tc>
          <w:tcPr/>
          <w:p>
            <w:pPr>
              <w:pStyle w:val="Compact"/>
              <w:jc w:val="left"/>
            </w:pPr>
            <w:r>
              <w:t xml:space="preserve">      Mini-Norwegian</w:t>
            </w:r>
          </w:p>
        </w:tc>
        <w:tc>
          <w:tcPr/>
          <w:p>
            <w:pPr>
              <w:pStyle w:val="Compact"/>
              <w:jc w:val="center"/>
            </w:pPr>
            <w:r>
              <w:t xml:space="preserve">−2.9194</w:t>
            </w:r>
          </w:p>
        </w:tc>
        <w:tc>
          <w:tcPr/>
          <w:p>
            <w:pPr>
              <w:pStyle w:val="Compact"/>
              <w:jc w:val="center"/>
            </w:pPr>
            <w:r>
              <w:t xml:space="preserve">−4.7792</w:t>
            </w:r>
          </w:p>
        </w:tc>
        <w:tc>
          <w:tcPr/>
          <w:p>
            <w:pPr>
              <w:pStyle w:val="Compact"/>
              <w:jc w:val="center"/>
            </w:pPr>
            <w:r>
              <w:t xml:space="preserve">−1.0899</w:t>
            </w:r>
          </w:p>
        </w:tc>
        <w:tc>
          <w:tcPr/>
          <w:p>
            <w:pPr>
              <w:pStyle w:val="Compact"/>
              <w:jc w:val="center"/>
            </w:pPr>
            <w:r>
              <w:t xml:space="preserve">⁠ ⁠ ⁠ ⁠.999</w:t>
            </w:r>
          </w:p>
        </w:tc>
        <w:tc>
          <w:tcPr/>
          <w:p>
            <w:pPr>
              <w:pStyle w:val="Compact"/>
              <w:jc w:val="center"/>
            </w:pPr>
            <w:r>
              <w:t xml:space="preserve">−0.0874</w:t>
            </w:r>
          </w:p>
        </w:tc>
        <w:tc>
          <w:tcPr/>
          <w:p>
            <w:pPr>
              <w:pStyle w:val="Compact"/>
              <w:jc w:val="center"/>
            </w:pPr>
            <w:r>
              <w:t xml:space="preserve">−0.2982</w:t>
            </w:r>
          </w:p>
        </w:tc>
        <w:tc>
          <w:tcPr/>
          <w:p>
            <w:pPr>
              <w:pStyle w:val="Compact"/>
              <w:jc w:val="center"/>
            </w:pPr>
            <w:r>
              <w:t xml:space="preserve">⁠ ⁠ ⁠0.1221</w:t>
            </w:r>
          </w:p>
        </w:tc>
        <w:tc>
          <w:tcPr/>
          <w:p>
            <w:pPr>
              <w:pStyle w:val="Compact"/>
              <w:jc w:val="center"/>
            </w:pPr>
            <w:r>
              <w:t xml:space="preserve">⁠ ⁠ ⁠ ⁠.80⁠ ⁠</w:t>
            </w:r>
          </w:p>
        </w:tc>
      </w:tr>
      <w:tr>
        <w:tc>
          <w:tcPr/>
          <w:p>
            <w:pPr>
              <w:pStyle w:val="Compact"/>
              <w:jc w:val="left"/>
            </w:pPr>
            <w:r>
              <w:t xml:space="preserve">      Mini-English</w:t>
            </w:r>
          </w:p>
        </w:tc>
        <w:tc>
          <w:tcPr/>
          <w:p>
            <w:pPr>
              <w:pStyle w:val="Compact"/>
              <w:jc w:val="center"/>
            </w:pPr>
            <w:r>
              <w:t xml:space="preserve">−1.4154</w:t>
            </w:r>
          </w:p>
        </w:tc>
        <w:tc>
          <w:tcPr/>
          <w:p>
            <w:pPr>
              <w:pStyle w:val="Compact"/>
              <w:jc w:val="center"/>
            </w:pPr>
            <w:r>
              <w:t xml:space="preserve">−3.2011</w:t>
            </w:r>
          </w:p>
        </w:tc>
        <w:tc>
          <w:tcPr/>
          <w:p>
            <w:pPr>
              <w:pStyle w:val="Compact"/>
              <w:jc w:val="center"/>
            </w:pPr>
            <w:r>
              <w:t xml:space="preserve">⁠ ⁠ ⁠0.3879</w:t>
            </w:r>
          </w:p>
        </w:tc>
        <w:tc>
          <w:tcPr/>
          <w:p>
            <w:pPr>
              <w:pStyle w:val="Compact"/>
              <w:jc w:val="center"/>
            </w:pPr>
            <w:r>
              <w:t xml:space="preserve">⁠ ⁠ ⁠ ⁠.94⁠ ⁠</w:t>
            </w:r>
          </w:p>
        </w:tc>
        <w:tc>
          <w:tcPr/>
          <w:p>
            <w:pPr>
              <w:pStyle w:val="Compact"/>
              <w:jc w:val="center"/>
            </w:pPr>
            <w:r>
              <w:t xml:space="preserve">⁠ ⁠ ⁠0.0136</w:t>
            </w:r>
          </w:p>
        </w:tc>
        <w:tc>
          <w:tcPr/>
          <w:p>
            <w:pPr>
              <w:pStyle w:val="Compact"/>
              <w:jc w:val="center"/>
            </w:pPr>
            <w:r>
              <w:t xml:space="preserve">−0.1903</w:t>
            </w:r>
          </w:p>
        </w:tc>
        <w:tc>
          <w:tcPr/>
          <w:p>
            <w:pPr>
              <w:pStyle w:val="Compact"/>
              <w:jc w:val="center"/>
            </w:pPr>
            <w:r>
              <w:t xml:space="preserve">⁠ ⁠ ⁠0.2207</w:t>
            </w:r>
          </w:p>
        </w:tc>
        <w:tc>
          <w:tcPr/>
          <w:p>
            <w:pPr>
              <w:pStyle w:val="Compact"/>
              <w:jc w:val="center"/>
            </w:pPr>
            <w:r>
              <w:t xml:space="preserve">⁠ ⁠ ⁠ ⁠.55⁠ ⁠</w:t>
            </w:r>
          </w:p>
        </w:tc>
      </w:tr>
      <w:tr>
        <w:tc>
          <w:tcPr/>
          <w:p>
            <w:pPr>
              <w:pStyle w:val="Compact"/>
              <w:jc w:val="left"/>
            </w:pPr>
            <w:r>
              <w:t xml:space="preserve">      Group difference</w:t>
            </w:r>
          </w:p>
        </w:tc>
        <w:tc>
          <w:tcPr/>
          <w:p>
            <w:pPr>
              <w:pStyle w:val="Compact"/>
              <w:jc w:val="center"/>
            </w:pPr>
            <w:r>
              <w:t xml:space="preserve">−1.4899</w:t>
            </w:r>
          </w:p>
        </w:tc>
        <w:tc>
          <w:tcPr/>
          <w:p>
            <w:pPr>
              <w:pStyle w:val="Compact"/>
              <w:jc w:val="center"/>
            </w:pPr>
            <w:r>
              <w:t xml:space="preserve">−4.1514</w:t>
            </w:r>
          </w:p>
        </w:tc>
        <w:tc>
          <w:tcPr/>
          <w:p>
            <w:pPr>
              <w:pStyle w:val="Compact"/>
              <w:jc w:val="center"/>
            </w:pPr>
            <w:r>
              <w:t xml:space="preserve">⁠ ⁠ ⁠1.0771</w:t>
            </w:r>
          </w:p>
        </w:tc>
        <w:tc>
          <w:tcPr/>
          <w:p>
            <w:pPr>
              <w:pStyle w:val="Compact"/>
              <w:jc w:val="center"/>
            </w:pPr>
            <w:r>
              <w:t xml:space="preserve">⁠ ⁠ ⁠ ⁠.88⁠ ⁠</w:t>
            </w:r>
          </w:p>
        </w:tc>
        <w:tc>
          <w:tcPr/>
          <w:p>
            <w:pPr>
              <w:pStyle w:val="Compact"/>
              <w:jc w:val="center"/>
            </w:pPr>
            <w:r>
              <w:t xml:space="preserve">−0.1023</w:t>
            </w:r>
          </w:p>
        </w:tc>
        <w:tc>
          <w:tcPr/>
          <w:p>
            <w:pPr>
              <w:pStyle w:val="Compact"/>
              <w:jc w:val="center"/>
            </w:pPr>
            <w:r>
              <w:t xml:space="preserve">−0.3960</w:t>
            </w:r>
          </w:p>
        </w:tc>
        <w:tc>
          <w:tcPr/>
          <w:p>
            <w:pPr>
              <w:pStyle w:val="Compact"/>
              <w:jc w:val="center"/>
            </w:pPr>
            <w:r>
              <w:t xml:space="preserve">⁠ ⁠ ⁠0.1874</w:t>
            </w:r>
          </w:p>
        </w:tc>
        <w:tc>
          <w:tcPr/>
          <w:p>
            <w:pPr>
              <w:pStyle w:val="Compact"/>
              <w:jc w:val="center"/>
            </w:pPr>
            <w:r>
              <w:t xml:space="preserve">⁠ ⁠ ⁠ ⁠.75⁠ ⁠</w:t>
            </w:r>
          </w:p>
        </w:tc>
      </w:tr>
    </w:tbl>
    <w:bookmarkEnd w:id="410"/>
    <w:p>
      <w:pPr>
        <w:pStyle w:val="FigureNote"/>
      </w:pPr>
      <w:r>
        <w:rPr>
          <w:i/>
          <w:iCs/>
        </w:rPr>
        <w:t xml:space="preserve">Note</w:t>
      </w:r>
      <w:r>
        <w:t xml:space="preserve">. Values are posterior summaries derived from the draws of the reported accuracy models (see</w:t>
      </w:r>
      <w:r>
        <w:t xml:space="preserve"> </w:t>
      </w:r>
      <w:r>
        <w:rPr>
          <w:i/>
          <w:iCs/>
        </w:rPr>
        <w:t xml:space="preserve">Signal-detection reading of the judgement models</w:t>
      </w:r>
      <w:r>
        <w:t xml:space="preserve">): sensitivity</w:t>
      </w:r>
      <w:r>
        <w:t xml:space="preserve"> </w:t>
      </w:r>
      <w:r>
        <w:rPr>
          <w:i/>
          <w:iCs/>
        </w:rPr>
        <w:t xml:space="preserve">d</w:t>
      </w:r>
      <w:r>
        <w:rPr>
          <w:vertAlign w:val="subscript"/>
        </w:rPr>
        <w:t xml:space="preserve">L</w:t>
      </w:r>
      <w:r>
        <w:t xml:space="preserve"> </w:t>
      </w:r>
      <w:r>
        <w:t xml:space="preserve">on the logit scale, and criterion</w:t>
      </w:r>
      <w:r>
        <w:t xml:space="preserve"> </w:t>
      </w:r>
      <w:r>
        <w:rPr>
          <w:i/>
          <w:iCs/>
        </w:rPr>
        <w:t xml:space="preserve">c</w:t>
      </w:r>
      <w:r>
        <w:rPr>
          <w:vertAlign w:val="subscript"/>
        </w:rPr>
        <w:t xml:space="preserve">L</w:t>
      </w:r>
      <w:r>
        <w:t xml:space="preserve">, negative for a readiness to answer grammatical. Group differences are Mini-Norwegian minus Mini-English, at each session and averaged over sessions. Changes run from the property’s first session to Session 6, for each group and as the group difference in that change.</w:t>
      </w:r>
      <w:r>
        <w:t xml:space="preserve"> </w:t>
      </w:r>
      <w:r>
        <w:rPr>
          <w:i/>
          <w:iCs/>
        </w:rPr>
        <w:t xml:space="preserve">Mdn</w:t>
      </w:r>
      <w:r>
        <w:t xml:space="preserve"> </w:t>
      </w:r>
      <w:r>
        <w:t xml:space="preserve">= posterior median;</w:t>
      </w:r>
      <w:r>
        <w:t xml:space="preserve"> </w:t>
      </w:r>
      <w:r>
        <w:rPr>
          <w:i/>
          <w:iCs/>
        </w:rPr>
        <w:t xml:space="preserve">LL</w:t>
      </w:r>
      <w:r>
        <w:t xml:space="preserve"> </w:t>
      </w:r>
      <w:r>
        <w:t xml:space="preserve">and</w:t>
      </w:r>
      <w:r>
        <w:t xml:space="preserve"> </w:t>
      </w:r>
      <w:r>
        <w:rPr>
          <w:i/>
          <w:iCs/>
        </w:rPr>
        <w:t xml:space="preserve">UL</w:t>
      </w:r>
      <w:r>
        <w:t xml:space="preserve"> </w:t>
      </w:r>
      <w:r>
        <w:t xml:space="preserve">= lower and upper limits of the 95% equal-tailed credible interval;</w:t>
      </w:r>
      <w:r>
        <w:t xml:space="preserve"> </w:t>
      </w:r>
      <w:r>
        <w:rPr>
          <w:i/>
          <w:iCs/>
        </w:rPr>
        <w:t xml:space="preserve">p</w:t>
      </w:r>
      <w:r>
        <w:rPr>
          <w:vertAlign w:val="subscript"/>
        </w:rPr>
        <w:t xml:space="preserve">d</w:t>
      </w:r>
      <w:r>
        <w:t xml:space="preserve"> </w:t>
      </w:r>
      <w:r>
        <w:t xml:space="preserve">= probability of direction.</w:t>
      </w:r>
    </w:p>
    <w:p>
      <w:r>
        <w:br w:type="page"/>
      </w:r>
    </w:p>
    <w:bookmarkEnd w:id="411"/>
    <w:p>
      <w:pPr>
        <w:pStyle w:val="Heading1"/>
      </w:pPr>
      <w:r>
        <w:t xml:space="preserve">Appendix C</w:t>
      </w:r>
    </w:p>
    <w:bookmarkStart w:id="413" w:name="apx-prior-specifications"/>
    <w:p>
      <w:pPr>
        <w:pStyle w:val="Heading1"/>
      </w:pPr>
      <w:r>
        <w:t xml:space="preserve">Prior specifications</w:t>
      </w:r>
    </w:p>
    <w:p>
      <w:pPr>
        <w:pStyle w:val="FirstParagraph"/>
      </w:pPr>
      <w:r>
        <w:t xml:space="preserve">The reasoning behind each prior is given in the Method, under</w:t>
      </w:r>
      <w:r>
        <w:t xml:space="preserve"> </w:t>
      </w:r>
      <w:r>
        <w:rPr>
          <w:i/>
          <w:iCs/>
        </w:rPr>
        <w:t xml:space="preserve">Priors</w:t>
      </w:r>
      <w:r>
        <w:t xml:space="preserve">. What follows is the</w:t>
      </w:r>
      <w:r>
        <w:t xml:space="preserve"> </w:t>
      </w:r>
      <w:r>
        <w:t xml:space="preserve">specification itself. Every mean and standard deviation is on the standardised scale, so a</w:t>
      </w:r>
      <w:r>
        <w:t xml:space="preserve"> </w:t>
      </w:r>
      <w:r>
        <w:t xml:space="preserve">coefficient is in standard-deviation units, within participant for the ERP models. Prior</w:t>
      </w:r>
      <w:r>
        <w:t xml:space="preserve"> </w:t>
      </w:r>
      <w:r>
        <w:t xml:space="preserve">means encode a direction and a regularised magnitude only, never a literature effect size,</w:t>
      </w:r>
      <w:r>
        <w:t xml:space="preserve"> </w:t>
      </w:r>
      <w:r>
        <w:t xml:space="preserve">because the sources do not supply a transferable one. A directional prior is placed only</w:t>
      </w:r>
      <w:r>
        <w:t xml:space="preserve"> </w:t>
      </w:r>
      <w:r>
        <w:t xml:space="preserve">where the literature supports a sign. Everything else, including the grammaticality slope</w:t>
      </w:r>
      <w:r>
        <w:t xml:space="preserve"> </w:t>
      </w:r>
      <w:r>
        <w:t xml:space="preserve">in the 200–500 ms window, differential object marking at 300–600 ms and the</w:t>
      </w:r>
      <w:r>
        <w:t xml:space="preserve"> </w:t>
      </w:r>
      <w:r>
        <w:t xml:space="preserve">language-conditioned interaction under test, takes the model’s zero-centred default.</w:t>
      </w:r>
    </w:p>
    <w:bookmarkStart w:id="412" w:name="tbl-priors"/>
    <w:p>
      <w:pPr>
        <w:pStyle w:val="FigureTitle"/>
      </w:pPr>
      <w:r>
        <w:t xml:space="preserve">Table C1</w:t>
      </w:r>
    </w:p>
    <w:p>
      <w:pPr>
        <w:pStyle w:val="Caption"/>
      </w:pPr>
      <w:r>
        <w:t xml:space="preserve">Prior Distributions of the ERP and Judgement-Accuracy Models</w:t>
      </w:r>
    </w:p>
    <w:tbl>
      <w:tblPr>
        <w:tblStyle w:val="Table"/>
        <w:tblW w:type="pct" w:w="5000"/>
        <w:tblLayout w:type="fixed"/>
        <w:tblLook w:firstRow="1" w:lastRow="0" w:firstColumn="0" w:lastColumn="0" w:noHBand="0" w:noVBand="0" w:val="0020"/>
      </w:tblPr>
      <w:tblGrid>
        <w:gridCol w:w="4989"/>
        <w:gridCol w:w="1465"/>
        <w:gridCol w:w="1465"/>
      </w:tblGrid>
      <w:tr>
        <w:trPr>
          <w:tblHeader w:val="on"/>
        </w:trPr>
        <w:tc>
          <w:tcPr/>
          <w:p>
            <w:pPr>
              <w:pStyle w:val="Compact"/>
            </w:pPr>
          </w:p>
        </w:tc>
        <w:tc>
          <w:tcPr>
            <w:gridSpan w:val="2"/>
          </w:tcPr>
          <w:p>
            <w:pPr>
              <w:pStyle w:val="Compact"/>
              <w:jc w:val="center"/>
            </w:pPr>
            <w:r>
              <w:t xml:space="preserve">Prior</w:t>
            </w:r>
          </w:p>
        </w:tc>
      </w:tr>
      <w:tr>
        <w:trPr>
          <w:tblHeader w:val="on"/>
        </w:trPr>
        <w:tc>
          <w:tcPr/>
          <w:p>
            <w:pPr>
              <w:pStyle w:val="Compact"/>
              <w:jc w:val="left"/>
            </w:pPr>
            <w:r>
              <w:t xml:space="preserve">Parameter</w:t>
            </w:r>
          </w:p>
        </w:tc>
        <w:tc>
          <w:tcPr/>
          <w:p>
            <w:pPr>
              <w:pStyle w:val="Compact"/>
              <w:jc w:val="left"/>
            </w:pPr>
            <w:r>
              <w:t xml:space="preserve">Informative</w:t>
            </w:r>
          </w:p>
        </w:tc>
        <w:tc>
          <w:tcPr/>
          <w:p>
            <w:pPr>
              <w:pStyle w:val="Compact"/>
              <w:jc w:val="left"/>
            </w:pPr>
            <w:r>
              <w:t xml:space="preserve">Weak</w:t>
            </w:r>
          </w:p>
        </w:tc>
      </w:tr>
      <w:tr>
        <w:tc>
          <w:tcPr>
            <w:gridSpan w:val="3"/>
          </w:tcPr>
          <w:p>
            <w:pPr>
              <w:pStyle w:val="Compact"/>
              <w:jc w:val="left"/>
            </w:pPr>
            <w:r>
              <w:rPr>
                <w:i/>
                <w:iCs/>
              </w:rPr>
              <w:t xml:space="preserve">ERP models (Gaussian likelihood)</w:t>
            </w:r>
          </w:p>
        </w:tc>
      </w:tr>
      <w:tr>
        <w:tc>
          <w:tcPr/>
          <w:p>
            <w:pPr>
              <w:pStyle w:val="Compact"/>
              <w:jc w:val="left"/>
            </w:pPr>
            <w:r>
              <w:t xml:space="preserve">   Intercept</w:t>
            </w:r>
          </w:p>
        </w:tc>
        <w:tc>
          <w:tcPr/>
          <w:p>
            <w:pPr>
              <w:pStyle w:val="Compact"/>
              <w:jc w:val="left"/>
            </w:pPr>
            <w:r>
              <w:rPr>
                <w:i/>
                <w:iCs/>
              </w:rPr>
              <w:t xml:space="preserve">N</w:t>
            </w:r>
            <w:r>
              <w:t xml:space="preserve">(0, 0.5)</w:t>
            </w:r>
          </w:p>
        </w:tc>
        <w:tc>
          <w:tcPr/>
          <w:p>
            <w:pPr>
              <w:pStyle w:val="Compact"/>
              <w:jc w:val="left"/>
            </w:pPr>
            <w:r>
              <w:rPr>
                <w:i/>
                <w:iCs/>
              </w:rPr>
              <w:t xml:space="preserve">N</w:t>
            </w:r>
            <w:r>
              <w:t xml:space="preserve">(0, 1)</w:t>
            </w:r>
          </w:p>
        </w:tc>
      </w:tr>
      <w:tr>
        <w:tc>
          <w:tcPr/>
          <w:p>
            <w:pPr>
              <w:pStyle w:val="Compact"/>
              <w:jc w:val="left"/>
            </w:pPr>
            <w:r>
              <w:t xml:space="preserve">   Grammaticality, agreement properties, 300–600 ms</w:t>
            </w:r>
          </w:p>
        </w:tc>
        <w:tc>
          <w:tcPr/>
          <w:p>
            <w:pPr>
              <w:pStyle w:val="Compact"/>
              <w:jc w:val="left"/>
            </w:pPr>
            <w:r>
              <w:rPr>
                <w:i/>
                <w:iCs/>
              </w:rPr>
              <w:t xml:space="preserve">N</w:t>
            </w:r>
            <w:r>
              <w:t xml:space="preserve">(−0.1, 0.3)</w:t>
            </w:r>
          </w:p>
        </w:tc>
        <w:tc>
          <w:tcPr/>
          <w:p>
            <w:pPr>
              <w:pStyle w:val="Compact"/>
              <w:jc w:val="left"/>
            </w:pPr>
            <w:r>
              <w:rPr>
                <w:i/>
                <w:iCs/>
              </w:rPr>
              <w:t xml:space="preserve">N</w:t>
            </w:r>
            <w:r>
              <w:t xml:space="preserve">(0, 1)</w:t>
            </w:r>
          </w:p>
        </w:tc>
      </w:tr>
      <w:tr>
        <w:tc>
          <w:tcPr/>
          <w:p>
            <w:pPr>
              <w:pStyle w:val="Compact"/>
              <w:jc w:val="left"/>
            </w:pPr>
            <w:r>
              <w:t xml:space="preserve">   Grammaticality, agreement properties, 400–900 ms</w:t>
            </w:r>
          </w:p>
        </w:tc>
        <w:tc>
          <w:tcPr/>
          <w:p>
            <w:pPr>
              <w:pStyle w:val="Compact"/>
              <w:jc w:val="left"/>
            </w:pPr>
            <w:r>
              <w:rPr>
                <w:i/>
                <w:iCs/>
              </w:rPr>
              <w:t xml:space="preserve">N</w:t>
            </w:r>
            <w:r>
              <w:t xml:space="preserve">(−0.2, 0.3)</w:t>
            </w:r>
          </w:p>
        </w:tc>
        <w:tc>
          <w:tcPr/>
          <w:p>
            <w:pPr>
              <w:pStyle w:val="Compact"/>
              <w:jc w:val="left"/>
            </w:pPr>
            <w:r>
              <w:rPr>
                <w:i/>
                <w:iCs/>
              </w:rPr>
              <w:t xml:space="preserve">N</w:t>
            </w:r>
            <w:r>
              <w:t xml:space="preserve">(0, 1)</w:t>
            </w:r>
          </w:p>
        </w:tc>
      </w:tr>
      <w:tr>
        <w:tc>
          <w:tcPr/>
          <w:p>
            <w:pPr>
              <w:pStyle w:val="Compact"/>
              <w:jc w:val="left"/>
            </w:pPr>
            <w:r>
              <w:t xml:space="preserve">   Grammaticality, differential object marking, 400–900 ms</w:t>
            </w:r>
          </w:p>
        </w:tc>
        <w:tc>
          <w:tcPr/>
          <w:p>
            <w:pPr>
              <w:pStyle w:val="Compact"/>
              <w:jc w:val="left"/>
            </w:pPr>
            <w:r>
              <w:rPr>
                <w:i/>
                <w:iCs/>
              </w:rPr>
              <w:t xml:space="preserve">N</w:t>
            </w:r>
            <w:r>
              <w:t xml:space="preserve">(−0.2, 0.4)</w:t>
            </w:r>
          </w:p>
        </w:tc>
        <w:tc>
          <w:tcPr/>
          <w:p>
            <w:pPr>
              <w:pStyle w:val="Compact"/>
              <w:jc w:val="left"/>
            </w:pPr>
            <w:r>
              <w:rPr>
                <w:i/>
                <w:iCs/>
              </w:rPr>
              <w:t xml:space="preserve">N</w:t>
            </w:r>
            <w:r>
              <w:t xml:space="preserve">(0, 1)</w:t>
            </w:r>
          </w:p>
        </w:tc>
      </w:tr>
      <w:tr>
        <w:tc>
          <w:tcPr/>
          <w:p>
            <w:pPr>
              <w:pStyle w:val="Compact"/>
              <w:jc w:val="left"/>
            </w:pPr>
            <w:r>
              <w:t xml:space="preserve">   All other coefficients</w:t>
            </w:r>
          </w:p>
        </w:tc>
        <w:tc>
          <w:tcPr/>
          <w:p>
            <w:pPr>
              <w:pStyle w:val="Compact"/>
              <w:jc w:val="left"/>
            </w:pPr>
            <w:r>
              <w:rPr>
                <w:i/>
                <w:iCs/>
              </w:rPr>
              <w:t xml:space="preserve">N</w:t>
            </w:r>
            <w:r>
              <w:t xml:space="preserve">(0, 0.5)</w:t>
            </w:r>
          </w:p>
        </w:tc>
        <w:tc>
          <w:tcPr/>
          <w:p>
            <w:pPr>
              <w:pStyle w:val="Compact"/>
              <w:jc w:val="left"/>
            </w:pPr>
            <w:r>
              <w:rPr>
                <w:i/>
                <w:iCs/>
              </w:rPr>
              <w:t xml:space="preserve">N</w:t>
            </w:r>
            <w:r>
              <w:t xml:space="preserve">(0, 1)</w:t>
            </w:r>
          </w:p>
        </w:tc>
      </w:tr>
      <w:tr>
        <w:tc>
          <w:tcPr/>
          <w:p>
            <w:pPr>
              <w:pStyle w:val="Compact"/>
              <w:jc w:val="left"/>
            </w:pPr>
            <w:r>
              <w:t xml:space="preserve">   Residual standard deviation</w:t>
            </w:r>
          </w:p>
        </w:tc>
        <w:tc>
          <w:tcPr/>
          <w:p>
            <w:pPr>
              <w:pStyle w:val="Compact"/>
              <w:jc w:val="left"/>
            </w:pPr>
            <w:r>
              <w:t xml:space="preserve">half-</w:t>
            </w:r>
            <w:r>
              <w:rPr>
                <w:i/>
                <w:iCs/>
              </w:rPr>
              <w:t xml:space="preserve">t</w:t>
            </w:r>
            <w:r>
              <w:t xml:space="preserve">(3, 0, 2.5)</w:t>
            </w:r>
          </w:p>
        </w:tc>
        <w:tc>
          <w:tcPr/>
          <w:p>
            <w:pPr>
              <w:pStyle w:val="Compact"/>
              <w:jc w:val="left"/>
            </w:pPr>
            <w:r>
              <w:t xml:space="preserve">half-</w:t>
            </w:r>
            <w:r>
              <w:rPr>
                <w:i/>
                <w:iCs/>
              </w:rPr>
              <w:t xml:space="preserve">t</w:t>
            </w:r>
            <w:r>
              <w:t xml:space="preserve">(3, 0, 2.5)</w:t>
            </w:r>
          </w:p>
        </w:tc>
      </w:tr>
      <w:tr>
        <w:tc>
          <w:tcPr/>
          <w:p>
            <w:pPr>
              <w:pStyle w:val="Compact"/>
              <w:jc w:val="left"/>
            </w:pPr>
            <w:r>
              <w:t xml:space="preserve">   Random-effect standard deviations</w:t>
            </w:r>
          </w:p>
        </w:tc>
        <w:tc>
          <w:tcPr/>
          <w:p>
            <w:pPr>
              <w:pStyle w:val="Compact"/>
              <w:jc w:val="left"/>
            </w:pPr>
            <w:r>
              <w:t xml:space="preserve">half-</w:t>
            </w:r>
            <w:r>
              <w:rPr>
                <w:i/>
                <w:iCs/>
              </w:rPr>
              <w:t xml:space="preserve">t</w:t>
            </w:r>
            <w:r>
              <w:t xml:space="preserve">(3, 0, 2.5)</w:t>
            </w:r>
          </w:p>
        </w:tc>
        <w:tc>
          <w:tcPr/>
          <w:p>
            <w:pPr>
              <w:pStyle w:val="Compact"/>
              <w:jc w:val="left"/>
            </w:pPr>
            <w:r>
              <w:t xml:space="preserve">half-</w:t>
            </w:r>
            <w:r>
              <w:rPr>
                <w:i/>
                <w:iCs/>
              </w:rPr>
              <w:t xml:space="preserve">t</w:t>
            </w:r>
            <w:r>
              <w:t xml:space="preserve">(3, 0, 2.5)</w:t>
            </w:r>
          </w:p>
        </w:tc>
      </w:tr>
      <w:tr>
        <w:tc>
          <w:tcPr/>
          <w:p>
            <w:pPr>
              <w:pStyle w:val="Compact"/>
              <w:jc w:val="left"/>
            </w:pPr>
            <w:r>
              <w:t xml:space="preserve">   Random-effect correlations</w:t>
            </w:r>
          </w:p>
        </w:tc>
        <w:tc>
          <w:tcPr/>
          <w:p>
            <w:pPr>
              <w:pStyle w:val="Compact"/>
              <w:jc w:val="left"/>
            </w:pPr>
            <w:r>
              <w:t xml:space="preserve">LKJ(2)</w:t>
            </w:r>
          </w:p>
        </w:tc>
        <w:tc>
          <w:tcPr/>
          <w:p>
            <w:pPr>
              <w:pStyle w:val="Compact"/>
              <w:jc w:val="left"/>
            </w:pPr>
            <w:r>
              <w:t xml:space="preserve">LKJ(2)</w:t>
            </w:r>
          </w:p>
        </w:tc>
      </w:tr>
      <w:tr>
        <w:tc>
          <w:tcPr>
            <w:gridSpan w:val="3"/>
          </w:tcPr>
          <w:p>
            <w:pPr>
              <w:pStyle w:val="Compact"/>
              <w:jc w:val="left"/>
            </w:pPr>
            <w:r>
              <w:rPr>
                <w:i/>
                <w:iCs/>
              </w:rPr>
              <w:t xml:space="preserve">Judgement-accuracy models (Bernoulli likelihood, logit link)</w:t>
            </w:r>
          </w:p>
        </w:tc>
      </w:tr>
      <w:tr>
        <w:tc>
          <w:tcPr/>
          <w:p>
            <w:pPr>
              <w:pStyle w:val="Compact"/>
              <w:jc w:val="left"/>
            </w:pPr>
            <w:r>
              <w:t xml:space="preserve">   Intercept</w:t>
            </w:r>
          </w:p>
        </w:tc>
        <w:tc>
          <w:tcPr/>
          <w:p>
            <w:pPr>
              <w:pStyle w:val="Compact"/>
              <w:jc w:val="left"/>
            </w:pPr>
            <w:r>
              <w:rPr>
                <w:i/>
                <w:iCs/>
              </w:rPr>
              <w:t xml:space="preserve">N</w:t>
            </w:r>
            <w:r>
              <w:t xml:space="preserve">(1.5, 1)</w:t>
            </w:r>
          </w:p>
        </w:tc>
        <w:tc>
          <w:tcPr/>
          <w:p>
            <w:pPr>
              <w:pStyle w:val="Compact"/>
              <w:jc w:val="left"/>
            </w:pPr>
            <w:r>
              <w:rPr>
                <w:i/>
                <w:iCs/>
              </w:rPr>
              <w:t xml:space="preserve">N</w:t>
            </w:r>
            <w:r>
              <w:t xml:space="preserve">(0, 1.5)</w:t>
            </w:r>
          </w:p>
        </w:tc>
      </w:tr>
      <w:tr>
        <w:tc>
          <w:tcPr/>
          <w:p>
            <w:pPr>
              <w:pStyle w:val="Compact"/>
              <w:jc w:val="left"/>
            </w:pPr>
            <w:r>
              <w:t xml:space="preserve">   Session</w:t>
            </w:r>
          </w:p>
        </w:tc>
        <w:tc>
          <w:tcPr/>
          <w:p>
            <w:pPr>
              <w:pStyle w:val="Compact"/>
              <w:jc w:val="left"/>
            </w:pPr>
            <w:r>
              <w:rPr>
                <w:i/>
                <w:iCs/>
              </w:rPr>
              <w:t xml:space="preserve">N</w:t>
            </w:r>
            <w:r>
              <w:t xml:space="preserve">(0.3, 0.5)</w:t>
            </w:r>
          </w:p>
        </w:tc>
        <w:tc>
          <w:tcPr/>
          <w:p>
            <w:pPr>
              <w:pStyle w:val="Compact"/>
              <w:jc w:val="left"/>
            </w:pPr>
            <w:r>
              <w:rPr>
                <w:i/>
                <w:iCs/>
              </w:rPr>
              <w:t xml:space="preserve">N</w:t>
            </w:r>
            <w:r>
              <w:t xml:space="preserve">(0, 1.5)</w:t>
            </w:r>
          </w:p>
        </w:tc>
      </w:tr>
      <w:tr>
        <w:tc>
          <w:tcPr/>
          <w:p>
            <w:pPr>
              <w:pStyle w:val="Compact"/>
              <w:jc w:val="left"/>
            </w:pPr>
            <w:r>
              <w:t xml:space="preserve">   All other coefficients</w:t>
            </w:r>
          </w:p>
        </w:tc>
        <w:tc>
          <w:tcPr/>
          <w:p>
            <w:pPr>
              <w:pStyle w:val="Compact"/>
              <w:jc w:val="left"/>
            </w:pPr>
            <w:r>
              <w:rPr>
                <w:i/>
                <w:iCs/>
              </w:rPr>
              <w:t xml:space="preserve">N</w:t>
            </w:r>
            <w:r>
              <w:t xml:space="preserve">(0, 1)</w:t>
            </w:r>
          </w:p>
        </w:tc>
        <w:tc>
          <w:tcPr/>
          <w:p>
            <w:pPr>
              <w:pStyle w:val="Compact"/>
              <w:jc w:val="left"/>
            </w:pPr>
            <w:r>
              <w:rPr>
                <w:i/>
                <w:iCs/>
              </w:rPr>
              <w:t xml:space="preserve">N</w:t>
            </w:r>
            <w:r>
              <w:t xml:space="preserve">(0, 1.5)</w:t>
            </w:r>
          </w:p>
        </w:tc>
      </w:tr>
      <w:tr>
        <w:tc>
          <w:tcPr/>
          <w:p>
            <w:pPr>
              <w:pStyle w:val="Compact"/>
              <w:jc w:val="left"/>
            </w:pPr>
            <w:r>
              <w:t xml:space="preserve">   Random-effect standard deviations</w:t>
            </w:r>
          </w:p>
        </w:tc>
        <w:tc>
          <w:tcPr/>
          <w:p>
            <w:pPr>
              <w:pStyle w:val="Compact"/>
              <w:jc w:val="left"/>
            </w:pPr>
            <w:r>
              <w:t xml:space="preserve">half-</w:t>
            </w:r>
            <w:r>
              <w:rPr>
                <w:i/>
                <w:iCs/>
              </w:rPr>
              <w:t xml:space="preserve">t</w:t>
            </w:r>
            <w:r>
              <w:t xml:space="preserve">(3, 0, 2.5)</w:t>
            </w:r>
          </w:p>
        </w:tc>
        <w:tc>
          <w:tcPr/>
          <w:p>
            <w:pPr>
              <w:pStyle w:val="Compact"/>
              <w:jc w:val="left"/>
            </w:pPr>
            <w:r>
              <w:t xml:space="preserve">half-</w:t>
            </w:r>
            <w:r>
              <w:rPr>
                <w:i/>
                <w:iCs/>
              </w:rPr>
              <w:t xml:space="preserve">t</w:t>
            </w:r>
            <w:r>
              <w:t xml:space="preserve">(3, 0, 2.5)</w:t>
            </w:r>
          </w:p>
        </w:tc>
      </w:tr>
      <w:tr>
        <w:tc>
          <w:tcPr/>
          <w:p>
            <w:pPr>
              <w:pStyle w:val="Compact"/>
              <w:jc w:val="left"/>
            </w:pPr>
            <w:r>
              <w:t xml:space="preserve">   Random-effect correlations</w:t>
            </w:r>
          </w:p>
        </w:tc>
        <w:tc>
          <w:tcPr/>
          <w:p>
            <w:pPr>
              <w:pStyle w:val="Compact"/>
              <w:jc w:val="left"/>
            </w:pPr>
            <w:r>
              <w:t xml:space="preserve">LKJ(2)</w:t>
            </w:r>
          </w:p>
        </w:tc>
        <w:tc>
          <w:tcPr/>
          <w:p>
            <w:pPr>
              <w:pStyle w:val="Compact"/>
              <w:jc w:val="left"/>
            </w:pPr>
            <w:r>
              <w:t xml:space="preserve">LKJ(2)</w:t>
            </w:r>
          </w:p>
        </w:tc>
      </w:tr>
    </w:tbl>
    <w:bookmarkEnd w:id="412"/>
    <w:p>
      <w:pPr>
        <w:pStyle w:val="FigureNote"/>
      </w:pPr>
      <w:r>
        <w:rPr>
          <w:i/>
          <w:iCs/>
        </w:rPr>
        <w:t xml:space="preserve">Note</w:t>
      </w:r>
      <w:r>
        <w:t xml:space="preserve">. Informative = the literature-derived priors of the reported models; Weak = the weakly informative baseline of the prior-sensitivity refits. Zero-centred entries carry no directional claim, and the standard deviation is what bounds a prior’s influence.</w:t>
      </w:r>
      <w:r>
        <w:t xml:space="preserve"> </w:t>
      </w:r>
      <w:r>
        <w:rPr>
          <w:i/>
          <w:iCs/>
        </w:rPr>
        <w:t xml:space="preserve">N</w:t>
      </w:r>
      <w:r>
        <w:t xml:space="preserve">(</w:t>
      </w:r>
      <w:r>
        <w:rPr>
          <w:i/>
          <w:iCs/>
        </w:rPr>
        <w:t xml:space="preserve">μ</w:t>
      </w:r>
      <w:r>
        <w:t xml:space="preserve">,</w:t>
      </w:r>
      <w:r>
        <w:t xml:space="preserve"> </w:t>
      </w:r>
      <w:r>
        <w:rPr>
          <w:i/>
          <w:iCs/>
        </w:rPr>
        <w:t xml:space="preserve">σ</w:t>
      </w:r>
      <w:r>
        <w:t xml:space="preserve">) = normal distribution with mean</w:t>
      </w:r>
      <w:r>
        <w:t xml:space="preserve"> </w:t>
      </w:r>
      <w:r>
        <w:rPr>
          <w:i/>
          <w:iCs/>
        </w:rPr>
        <w:t xml:space="preserve">μ</w:t>
      </w:r>
      <w:r>
        <w:t xml:space="preserve"> </w:t>
      </w:r>
      <w:r>
        <w:t xml:space="preserve">and standard deviation</w:t>
      </w:r>
      <w:r>
        <w:t xml:space="preserve"> </w:t>
      </w:r>
      <w:r>
        <w:rPr>
          <w:i/>
          <w:iCs/>
        </w:rPr>
        <w:t xml:space="preserve">σ</w:t>
      </w:r>
      <w:r>
        <w:t xml:space="preserve">; half-</w:t>
      </w:r>
      <w:r>
        <w:rPr>
          <w:i/>
          <w:iCs/>
        </w:rPr>
        <w:t xml:space="preserve">t</w:t>
      </w:r>
      <w:r>
        <w:t xml:space="preserve">(</w:t>
      </w:r>
      <w:r>
        <w:rPr>
          <w:i/>
          <w:iCs/>
        </w:rPr>
        <w:t xml:space="preserve">ν</w:t>
      </w:r>
      <w:r>
        <w:t xml:space="preserve">, 0,</w:t>
      </w:r>
      <w:r>
        <w:t xml:space="preserve"> </w:t>
      </w:r>
      <w:r>
        <w:rPr>
          <w:i/>
          <w:iCs/>
        </w:rPr>
        <w:t xml:space="preserve">σ</w:t>
      </w:r>
      <w:r>
        <w:t xml:space="preserve">) = Student-</w:t>
      </w:r>
      <w:r>
        <w:rPr>
          <w:i/>
          <w:iCs/>
        </w:rPr>
        <w:t xml:space="preserve">t</w:t>
      </w:r>
      <w:r>
        <w:t xml:space="preserve"> </w:t>
      </w:r>
      <w:r>
        <w:t xml:space="preserve">distribution with</w:t>
      </w:r>
      <w:r>
        <w:t xml:space="preserve"> </w:t>
      </w:r>
      <w:r>
        <w:rPr>
          <w:i/>
          <w:iCs/>
        </w:rPr>
        <w:t xml:space="preserve">ν</w:t>
      </w:r>
      <w:r>
        <w:t xml:space="preserve"> </w:t>
      </w:r>
      <w:r>
        <w:t xml:space="preserve">degrees of freedom and scale</w:t>
      </w:r>
      <w:r>
        <w:t xml:space="preserve"> </w:t>
      </w:r>
      <w:r>
        <w:rPr>
          <w:i/>
          <w:iCs/>
        </w:rPr>
        <w:t xml:space="preserve">σ</w:t>
      </w:r>
      <w:r>
        <w:t xml:space="preserve">, truncated at zero; LKJ(</w:t>
      </w:r>
      <w:r>
        <w:rPr>
          <w:i/>
          <w:iCs/>
        </w:rPr>
        <w:t xml:space="preserve">η</w:t>
      </w:r>
      <w:r>
        <w:t xml:space="preserve">) = Lewandowski–Kurowicka–Joe distribution over correlation matrices with shape</w:t>
      </w:r>
      <w:r>
        <w:t xml:space="preserve"> </w:t>
      </w:r>
      <w:r>
        <w:rPr>
          <w:i/>
          <w:iCs/>
        </w:rPr>
        <w:t xml:space="preserve">η</w:t>
      </w:r>
      <w:r>
        <w:t xml:space="preserve">. All coefficients are on the standardised scale.</w:t>
      </w:r>
    </w:p>
    <w:p>
      <w:r>
        <w:br w:type="page"/>
      </w:r>
    </w:p>
    <w:bookmarkEnd w:id="413"/>
    <w:p>
      <w:pPr>
        <w:pStyle w:val="Heading1"/>
      </w:pPr>
      <w:r>
        <w:t xml:space="preserve">Appendix D</w:t>
      </w:r>
    </w:p>
    <w:bookmarkStart w:id="416" w:name="apx-convergence-diagnostics"/>
    <w:p>
      <w:pPr>
        <w:pStyle w:val="Heading1"/>
      </w:pPr>
      <w:r>
        <w:t xml:space="preserve">Convergence diagnostics</w:t>
      </w:r>
    </w:p>
    <w:p>
      <w:pPr>
        <w:pStyle w:val="FirstParagraph"/>
      </w:pPr>
      <w:r>
        <w:t xml:space="preserve">This appendix reports the realised sampling diagnostics for every fitted model. Each of</w:t>
      </w:r>
      <w:r>
        <w:t xml:space="preserve"> </w:t>
      </w:r>
      <w:r>
        <w:t xml:space="preserve">the 18 ERP cells was fitted under two random-effect structures (base and maximal) and</w:t>
      </w:r>
      <w:r>
        <w:t xml:space="preserve"> </w:t>
      </w:r>
      <w:r>
        <w:t xml:space="preserve">two prior sets, the literature-derived informative priors reported throughout and the</w:t>
      </w:r>
      <w:r>
        <w:t xml:space="preserve"> </w:t>
      </w:r>
      <w:r>
        <w:t xml:space="preserve">weakly informative baseline used for the sensitivity analysis, giving</w:t>
      </w:r>
      <w:r>
        <w:t xml:space="preserve"> </w:t>
      </w:r>
      <w:r>
        <w:t xml:space="preserve">72 grid fits. Each of the</w:t>
      </w:r>
      <w:r>
        <w:t xml:space="preserve"> </w:t>
      </w:r>
      <w:r>
        <w:t xml:space="preserve">3 accuracy models was fitted under the two prior sets with its reported by-participant</w:t>
      </w:r>
      <w:r>
        <w:t xml:space="preserve"> </w:t>
      </w:r>
      <w:r>
        <w:t xml:space="preserve">structure, giving</w:t>
      </w:r>
      <w:r>
        <w:t xml:space="preserve"> </w:t>
      </w:r>
      <w:r>
        <w:t xml:space="preserve">6 fits.</w:t>
      </w:r>
      <w:r>
        <w:t xml:space="preserve"> </w:t>
      </w:r>
      <w:r>
        <w:t xml:space="preserve">The retention-free refits add</w:t>
      </w:r>
      <w:r>
        <w:t xml:space="preserve"> </w:t>
      </w:r>
      <w:r>
        <w:t xml:space="preserve">24 fits, the 12 gender-agreement and differential-object-marking</w:t>
      </w:r>
      <w:r>
        <w:t xml:space="preserve"> </w:t>
      </w:r>
      <w:r>
        <w:t xml:space="preserve">cells under both structures with the informative</w:t>
      </w:r>
      <w:r>
        <w:t xml:space="preserve"> </w:t>
      </w:r>
      <w:r>
        <w:t xml:space="preserve">priors. A further 15 accuracy refits were run as sensitivity analyses, each property refitted with a by-participant grammaticality</w:t>
      </w:r>
      <w:r>
        <w:t xml:space="preserve"> </w:t>
      </w:r>
      <m:oMath>
        <m:r>
          <m:rPr>
            <m:sty m:val="p"/>
          </m:rPr>
          <m:t>×</m:t>
        </m:r>
      </m:oMath>
      <w:r>
        <w:t xml:space="preserve"> </w:t>
      </w:r>
      <w:r>
        <w:t xml:space="preserve">session slope, with the crossed by-item term, with both, with the questionnaire’s multilingual language diversity score as a between-participant covariate and with the reaction-time screen of the earlier preprocessing. Estimates from all but the diversity refit appear alongside the signal-detection results.</w:t>
      </w:r>
      <w:r>
        <w:t xml:space="preserve"> </w:t>
      </w:r>
      <w:r>
        <w:t xml:space="preserve">The diversity score is not the covariate the ERP models carry, which is the L1 dominance</w:t>
      </w:r>
      <w:r>
        <w:t xml:space="preserve"> </w:t>
      </w:r>
      <w:r>
        <w:t xml:space="preserve">score of the same questionnaire, so this refit does not remedy the asymmetry noted in the</w:t>
      </w:r>
      <w:r>
        <w:t xml:space="preserve"> </w:t>
      </w:r>
      <w:r>
        <w:t xml:space="preserve">Method. The robustness analysis of the reprocessing protocol adds</w:t>
      </w:r>
      <w:r>
        <w:t xml:space="preserve"> </w:t>
      </w:r>
      <w:r>
        <w:t xml:space="preserve">18 ERP fits, the 18 cells refitted without the reprocessed and</w:t>
      </w:r>
      <w:r>
        <w:t xml:space="preserve"> </w:t>
      </w:r>
      <w:r>
        <w:t xml:space="preserve">recovered records under the maximal structure and the informative</w:t>
      </w:r>
      <w:r>
        <w:t xml:space="preserve"> </w:t>
      </w:r>
      <w:r>
        <w:t xml:space="preserve">priors. The data-side sensitivity variants are identified in the tables’ Fit column.</w:t>
      </w:r>
      <w:r>
        <w:t xml:space="preserve"> </w:t>
      </w:r>
      <w:r>
        <w:t xml:space="preserve">In all, 135 models were fitted, and the five</w:t>
      </w:r>
      <w:r>
        <w:t xml:space="preserve"> </w:t>
      </w:r>
      <w:r>
        <w:t xml:space="preserve">groups above account for every one of them.</w:t>
      </w:r>
      <w:r>
        <w:t xml:space="preserve"> </w:t>
      </w:r>
      <w:hyperlink w:anchor="tbl-convergence-appendix">
        <w:r>
          <w:rPr>
            <w:rStyle w:val="Hyperlink"/>
          </w:rPr>
          <w:t xml:space="preserve">Table D1</w:t>
        </w:r>
      </w:hyperlink>
      <w:r>
        <w:t xml:space="preserve"> </w:t>
      </w:r>
      <w:r>
        <w:t xml:space="preserve">(ERP models) and</w:t>
      </w:r>
      <w:r>
        <w:t xml:space="preserve"> </w:t>
      </w:r>
      <w:hyperlink w:anchor="tbl-convergence-accuracy">
        <w:r>
          <w:rPr>
            <w:rStyle w:val="Hyperlink"/>
          </w:rPr>
          <w:t xml:space="preserve">Table D2</w:t>
        </w:r>
      </w:hyperlink>
      <w:r>
        <w:t xml:space="preserve"> </w:t>
      </w:r>
      <w:r>
        <w:t xml:space="preserve">(judgement-accuracy</w:t>
      </w:r>
      <w:r>
        <w:t xml:space="preserve"> </w:t>
      </w:r>
      <w:r>
        <w:t xml:space="preserve">models) give the realised diagnostics for every one, so a</w:t>
      </w:r>
      <w:r>
        <w:t xml:space="preserve"> </w:t>
      </w:r>
      <w:r>
        <w:t xml:space="preserve">model that converged comfortably can be told from one that converged marginally.</w:t>
      </w:r>
    </w:p>
    <w:bookmarkStart w:id="414" w:name="tbl-convergence-appendix"/>
    <w:p>
      <w:pPr>
        <w:pStyle w:val="FigureTitle"/>
      </w:pPr>
      <w:r>
        <w:t xml:space="preserve">Table D1</w:t>
      </w:r>
    </w:p>
    <w:p>
      <w:pPr>
        <w:pStyle w:val="Caption"/>
      </w:pPr>
      <w:r>
        <w:t xml:space="preserve">Convergence Diagnostics for the ERP Models</w:t>
      </w:r>
    </w:p>
    <w:tbl>
      <w:tblPr>
        <w:tblStyle w:val="Table"/>
        <w:tblW w:type="pct" w:w="4950"/>
        <w:tblLayout w:type="fixed"/>
        <w:tblLook w:firstRow="1" w:lastRow="0" w:firstColumn="0" w:lastColumn="0" w:noHBand="0" w:noVBand="0" w:val="0020"/>
      </w:tblPr>
      <w:tblGrid>
        <w:gridCol w:w="1267"/>
        <w:gridCol w:w="792"/>
        <w:gridCol w:w="1584"/>
        <w:gridCol w:w="712"/>
        <w:gridCol w:w="693"/>
        <w:gridCol w:w="693"/>
        <w:gridCol w:w="712"/>
        <w:gridCol w:w="693"/>
        <w:gridCol w:w="693"/>
      </w:tblGrid>
      <w:tr>
        <w:trPr>
          <w:tblHeader w:val="on"/>
        </w:trPr>
        <w:tc>
          <w:tcPr/>
          <w:p>
            <w:pPr>
              <w:pStyle w:val="Compact"/>
            </w:pPr>
          </w:p>
        </w:tc>
        <w:tc>
          <w:tcPr/>
          <w:p>
            <w:pPr>
              <w:pStyle w:val="Compact"/>
            </w:pPr>
          </w:p>
        </w:tc>
        <w:tc>
          <w:tcPr/>
          <w:p>
            <w:pPr>
              <w:pStyle w:val="Compact"/>
            </w:pPr>
          </w:p>
        </w:tc>
        <w:tc>
          <w:tcPr>
            <w:gridSpan w:val="3"/>
          </w:tcPr>
          <w:p>
            <w:pPr>
              <w:pStyle w:val="Compact"/>
              <w:jc w:val="center"/>
            </w:pPr>
            <w:r>
              <w:t xml:space="preserve">Maximal structure</w:t>
            </w:r>
          </w:p>
        </w:tc>
        <w:tc>
          <w:tcPr>
            <w:gridSpan w:val="3"/>
          </w:tcPr>
          <w:p>
            <w:pPr>
              <w:pStyle w:val="Compact"/>
              <w:jc w:val="center"/>
            </w:pPr>
            <w:r>
              <w:t xml:space="preserve">Base structure</w:t>
            </w:r>
          </w:p>
        </w:tc>
      </w:tr>
      <w:tr>
        <w:trPr>
          <w:tblHeader w:val="on"/>
        </w:trPr>
        <w:tc>
          <w:tcPr/>
          <w:p>
            <w:pPr>
              <w:pStyle w:val="Compact"/>
              <w:jc w:val="left"/>
            </w:pPr>
            <w:r>
              <w:t xml:space="preserve">Window (ms)</w:t>
            </w:r>
          </w:p>
        </w:tc>
        <w:tc>
          <w:tcPr/>
          <w:p>
            <w:pPr>
              <w:pStyle w:val="Compact"/>
              <w:jc w:val="left"/>
            </w:pPr>
            <w:r>
              <w:t xml:space="preserve">Region</w:t>
            </w:r>
          </w:p>
        </w:tc>
        <w:tc>
          <w:tcPr/>
          <w:p>
            <w:pPr>
              <w:pStyle w:val="Compact"/>
              <w:jc w:val="left"/>
            </w:pPr>
            <w:r>
              <w:t xml:space="preserve">Fit</w:t>
            </w:r>
          </w:p>
        </w:tc>
        <w:tc>
          <w:tcPr/>
          <w:p>
            <w:pPr>
              <w:pStyle w:val="Compact"/>
              <w:jc w:val="center"/>
            </w:pPr>
            <m:oMath>
              <m:acc>
                <m:accPr>
                  <m:chr m:val="̂"/>
                </m:accPr>
                <m:e>
                  <m:r>
                    <m:t>R</m:t>
                  </m:r>
                </m:e>
              </m:acc>
            </m:oMath>
            <w:r>
              <w:t xml:space="preserve">​</w:t>
            </w:r>
          </w:p>
        </w:tc>
        <w:tc>
          <w:tcPr/>
          <w:p>
            <w:pPr>
              <w:pStyle w:val="Compact"/>
              <w:jc w:val="center"/>
            </w:pPr>
            <w:r>
              <w:t xml:space="preserve">Bulk</w:t>
            </w:r>
          </w:p>
        </w:tc>
        <w:tc>
          <w:tcPr/>
          <w:p>
            <w:pPr>
              <w:pStyle w:val="Compact"/>
              <w:jc w:val="center"/>
            </w:pPr>
            <w:r>
              <w:t xml:space="preserve">Tail</w:t>
            </w:r>
          </w:p>
        </w:tc>
        <w:tc>
          <w:tcPr/>
          <w:p>
            <w:pPr>
              <w:pStyle w:val="Compact"/>
              <w:jc w:val="center"/>
            </w:pPr>
            <m:oMath>
              <m:acc>
                <m:accPr>
                  <m:chr m:val="̂"/>
                </m:accPr>
                <m:e>
                  <m:r>
                    <m:t>R</m:t>
                  </m:r>
                </m:e>
              </m:acc>
            </m:oMath>
            <w:r>
              <w:t xml:space="preserve">​</w:t>
            </w:r>
          </w:p>
        </w:tc>
        <w:tc>
          <w:tcPr/>
          <w:p>
            <w:pPr>
              <w:pStyle w:val="Compact"/>
              <w:jc w:val="center"/>
            </w:pPr>
            <w:r>
              <w:t xml:space="preserve">Bulk</w:t>
            </w:r>
          </w:p>
        </w:tc>
        <w:tc>
          <w:tcPr/>
          <w:p>
            <w:pPr>
              <w:pStyle w:val="Compact"/>
              <w:jc w:val="center"/>
            </w:pPr>
            <w:r>
              <w:t xml:space="preserve">Tail</w:t>
            </w:r>
          </w:p>
        </w:tc>
      </w:tr>
      <w:tr>
        <w:tc>
          <w:tcPr>
            <w:gridSpan w:val="9"/>
          </w:tcPr>
          <w:p>
            <w:pPr>
              <w:pStyle w:val="Compact"/>
              <w:jc w:val="left"/>
            </w:pPr>
            <w:r>
              <w:rPr>
                <w:i/>
                <w:iCs/>
              </w:rPr>
              <w:t xml:space="preserve">Gender agreement</w:t>
            </w:r>
          </w:p>
        </w:tc>
      </w:tr>
      <w:tr>
        <w:tc>
          <w:tcPr/>
          <w:p>
            <w:pPr>
              <w:pStyle w:val="Compact"/>
              <w:jc w:val="left"/>
            </w:pPr>
            <w:r>
              <w:t xml:space="preserve">   200–500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1.006</w:t>
            </w:r>
          </w:p>
        </w:tc>
        <w:tc>
          <w:tcPr/>
          <w:p>
            <w:pPr>
              <w:pStyle w:val="Compact"/>
              <w:jc w:val="center"/>
            </w:pPr>
            <w:r>
              <w:t xml:space="preserve">1,051</w:t>
            </w:r>
          </w:p>
        </w:tc>
        <w:tc>
          <w:tcPr/>
          <w:p>
            <w:pPr>
              <w:pStyle w:val="Compact"/>
              <w:jc w:val="center"/>
            </w:pPr>
            <w:r>
              <w:t xml:space="preserve">⁠ ⁠2,308</w:t>
            </w:r>
          </w:p>
        </w:tc>
        <w:tc>
          <w:tcPr/>
          <w:p>
            <w:pPr>
              <w:pStyle w:val="Compact"/>
              <w:jc w:val="center"/>
            </w:pPr>
            <w:r>
              <w:t xml:space="preserve">1.002</w:t>
            </w:r>
          </w:p>
        </w:tc>
        <w:tc>
          <w:tcPr/>
          <w:p>
            <w:pPr>
              <w:pStyle w:val="Compact"/>
              <w:jc w:val="center"/>
            </w:pPr>
            <w:r>
              <w:t xml:space="preserve">1,007</w:t>
            </w:r>
          </w:p>
        </w:tc>
        <w:tc>
          <w:tcPr/>
          <w:p>
            <w:pPr>
              <w:pStyle w:val="Compact"/>
              <w:jc w:val="center"/>
            </w:pPr>
            <w:r>
              <w:t xml:space="preserve">2,814</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1.002</w:t>
            </w:r>
          </w:p>
        </w:tc>
        <w:tc>
          <w:tcPr/>
          <w:p>
            <w:pPr>
              <w:pStyle w:val="Compact"/>
              <w:jc w:val="center"/>
            </w:pPr>
            <w:r>
              <w:t xml:space="preserve">1,360</w:t>
            </w:r>
          </w:p>
        </w:tc>
        <w:tc>
          <w:tcPr/>
          <w:p>
            <w:pPr>
              <w:pStyle w:val="Compact"/>
              <w:jc w:val="center"/>
            </w:pPr>
            <w:r>
              <w:t xml:space="preserve">⁠ ⁠3,292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1.006</w:t>
            </w:r>
          </w:p>
        </w:tc>
        <w:tc>
          <w:tcPr/>
          <w:p>
            <w:pPr>
              <w:pStyle w:val="Compact"/>
              <w:jc w:val="center"/>
            </w:pPr>
            <w:r>
              <w:t xml:space="preserve">⁠ ⁠ ⁠953</w:t>
            </w:r>
          </w:p>
        </w:tc>
        <w:tc>
          <w:tcPr/>
          <w:p>
            <w:pPr>
              <w:pStyle w:val="Compact"/>
              <w:jc w:val="center"/>
            </w:pPr>
            <w:r>
              <w:t xml:space="preserve">⁠ ⁠2,253</w:t>
            </w:r>
          </w:p>
        </w:tc>
        <w:tc>
          <w:tcPr/>
          <w:p>
            <w:pPr>
              <w:pStyle w:val="Compact"/>
              <w:jc w:val="center"/>
            </w:pPr>
            <w:r>
              <w:t xml:space="preserve">1.001</w:t>
            </w:r>
          </w:p>
        </w:tc>
        <w:tc>
          <w:tcPr/>
          <w:p>
            <w:pPr>
              <w:pStyle w:val="Compact"/>
              <w:jc w:val="center"/>
            </w:pPr>
            <w:r>
              <w:t xml:space="preserve">2,145</w:t>
            </w:r>
          </w:p>
        </w:tc>
        <w:tc>
          <w:tcPr/>
          <w:p>
            <w:pPr>
              <w:pStyle w:val="Compact"/>
              <w:jc w:val="center"/>
            </w:pPr>
            <w:r>
              <w:t xml:space="preserve">5,050</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1.005</w:t>
            </w:r>
          </w:p>
        </w:tc>
        <w:tc>
          <w:tcPr/>
          <w:p>
            <w:pPr>
              <w:pStyle w:val="Compact"/>
              <w:jc w:val="center"/>
            </w:pPr>
            <w:r>
              <w:t xml:space="preserve">1,139</w:t>
            </w:r>
          </w:p>
        </w:tc>
        <w:tc>
          <w:tcPr/>
          <w:p>
            <w:pPr>
              <w:pStyle w:val="Compact"/>
              <w:jc w:val="center"/>
            </w:pPr>
            <w:r>
              <w:t xml:space="preserve">⁠ ⁠3,364</w:t>
            </w:r>
          </w:p>
        </w:tc>
        <w:tc>
          <w:tcPr/>
          <w:p>
            <w:pPr>
              <w:pStyle w:val="Compact"/>
              <w:jc w:val="center"/>
            </w:pPr>
            <w:r>
              <w:t xml:space="preserve">1.002</w:t>
            </w:r>
          </w:p>
        </w:tc>
        <w:tc>
          <w:tcPr/>
          <w:p>
            <w:pPr>
              <w:pStyle w:val="Compact"/>
              <w:jc w:val="center"/>
            </w:pPr>
            <w:r>
              <w:t xml:space="preserve">1,035</w:t>
            </w:r>
          </w:p>
        </w:tc>
        <w:tc>
          <w:tcPr/>
          <w:p>
            <w:pPr>
              <w:pStyle w:val="Compact"/>
              <w:jc w:val="center"/>
            </w:pPr>
            <w:r>
              <w:t xml:space="preserve">2,157</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1.003</w:t>
            </w:r>
          </w:p>
        </w:tc>
        <w:tc>
          <w:tcPr/>
          <w:p>
            <w:pPr>
              <w:pStyle w:val="Compact"/>
              <w:jc w:val="center"/>
            </w:pPr>
            <w:r>
              <w:t xml:space="preserve">1,276</w:t>
            </w:r>
          </w:p>
        </w:tc>
        <w:tc>
          <w:tcPr/>
          <w:p>
            <w:pPr>
              <w:pStyle w:val="Compact"/>
              <w:jc w:val="center"/>
            </w:pPr>
            <w:r>
              <w:t xml:space="preserve">⁠ ⁠2,890</w:t>
            </w:r>
          </w:p>
        </w:tc>
        <w:tc>
          <w:tcPr/>
          <w:p>
            <w:pPr>
              <w:pStyle w:val="Compact"/>
              <w:jc w:val="center"/>
            </w:pPr>
            <w:r>
              <w:t xml:space="preserve">1.006</w:t>
            </w:r>
          </w:p>
        </w:tc>
        <w:tc>
          <w:tcPr/>
          <w:p>
            <w:pPr>
              <w:pStyle w:val="Compact"/>
              <w:jc w:val="center"/>
            </w:pPr>
            <w:r>
              <w:t xml:space="preserve">1,171</w:t>
            </w:r>
          </w:p>
        </w:tc>
        <w:tc>
          <w:tcPr/>
          <w:p>
            <w:pPr>
              <w:pStyle w:val="Compact"/>
              <w:jc w:val="center"/>
            </w:pPr>
            <w:r>
              <w:t xml:space="preserve">2,464</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1.002</w:t>
            </w:r>
          </w:p>
        </w:tc>
        <w:tc>
          <w:tcPr/>
          <w:p>
            <w:pPr>
              <w:pStyle w:val="Compact"/>
              <w:jc w:val="center"/>
            </w:pPr>
            <w:r>
              <w:t xml:space="preserve">1,521</w:t>
            </w:r>
          </w:p>
        </w:tc>
        <w:tc>
          <w:tcPr/>
          <w:p>
            <w:pPr>
              <w:pStyle w:val="Compact"/>
              <w:jc w:val="center"/>
            </w:pPr>
            <w:r>
              <w:t xml:space="preserve">⁠ ⁠3,162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1.006</w:t>
            </w:r>
          </w:p>
        </w:tc>
        <w:tc>
          <w:tcPr/>
          <w:p>
            <w:pPr>
              <w:pStyle w:val="Compact"/>
              <w:jc w:val="center"/>
            </w:pPr>
            <w:r>
              <w:t xml:space="preserve">1,086</w:t>
            </w:r>
          </w:p>
        </w:tc>
        <w:tc>
          <w:tcPr/>
          <w:p>
            <w:pPr>
              <w:pStyle w:val="Compact"/>
              <w:jc w:val="center"/>
            </w:pPr>
            <w:r>
              <w:t xml:space="preserve">⁠ ⁠2,856</w:t>
            </w:r>
          </w:p>
        </w:tc>
        <w:tc>
          <w:tcPr/>
          <w:p>
            <w:pPr>
              <w:pStyle w:val="Compact"/>
              <w:jc w:val="center"/>
            </w:pPr>
            <w:r>
              <w:t xml:space="preserve">1.002</w:t>
            </w:r>
          </w:p>
        </w:tc>
        <w:tc>
          <w:tcPr/>
          <w:p>
            <w:pPr>
              <w:pStyle w:val="Compact"/>
              <w:jc w:val="center"/>
            </w:pPr>
            <w:r>
              <w:t xml:space="preserve">1,389</w:t>
            </w:r>
          </w:p>
        </w:tc>
        <w:tc>
          <w:tcPr/>
          <w:p>
            <w:pPr>
              <w:pStyle w:val="Compact"/>
              <w:jc w:val="center"/>
            </w:pPr>
            <w:r>
              <w:t xml:space="preserve">3,792</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1.004</w:t>
            </w:r>
          </w:p>
        </w:tc>
        <w:tc>
          <w:tcPr/>
          <w:p>
            <w:pPr>
              <w:pStyle w:val="Compact"/>
              <w:jc w:val="center"/>
            </w:pPr>
            <w:r>
              <w:t xml:space="preserve">1,322</w:t>
            </w:r>
          </w:p>
        </w:tc>
        <w:tc>
          <w:tcPr/>
          <w:p>
            <w:pPr>
              <w:pStyle w:val="Compact"/>
              <w:jc w:val="center"/>
            </w:pPr>
            <w:r>
              <w:t xml:space="preserve">⁠ ⁠3,489</w:t>
            </w:r>
          </w:p>
        </w:tc>
        <w:tc>
          <w:tcPr/>
          <w:p>
            <w:pPr>
              <w:pStyle w:val="Compact"/>
              <w:jc w:val="center"/>
            </w:pPr>
            <w:r>
              <w:t xml:space="preserve">1.003</w:t>
            </w:r>
          </w:p>
        </w:tc>
        <w:tc>
          <w:tcPr/>
          <w:p>
            <w:pPr>
              <w:pStyle w:val="Compact"/>
              <w:jc w:val="center"/>
            </w:pPr>
            <w:r>
              <w:t xml:space="preserve">1,125</w:t>
            </w:r>
          </w:p>
        </w:tc>
        <w:tc>
          <w:tcPr/>
          <w:p>
            <w:pPr>
              <w:pStyle w:val="Compact"/>
              <w:jc w:val="center"/>
            </w:pPr>
            <w:r>
              <w:t xml:space="preserve">3,188</w:t>
            </w:r>
          </w:p>
        </w:tc>
      </w:tr>
      <w:tr>
        <w:tc>
          <w:tcPr/>
          <w:p>
            <w:pPr>
              <w:pStyle w:val="Compact"/>
              <w:jc w:val="left"/>
            </w:pPr>
            <w:r>
              <w:t xml:space="preserve">   300–600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1.009</w:t>
            </w:r>
          </w:p>
        </w:tc>
        <w:tc>
          <w:tcPr/>
          <w:p>
            <w:pPr>
              <w:pStyle w:val="Compact"/>
              <w:jc w:val="center"/>
            </w:pPr>
            <w:r>
              <w:t xml:space="preserve">⁠ ⁠ ⁠832</w:t>
            </w:r>
          </w:p>
        </w:tc>
        <w:tc>
          <w:tcPr/>
          <w:p>
            <w:pPr>
              <w:pStyle w:val="Compact"/>
              <w:jc w:val="center"/>
            </w:pPr>
            <w:r>
              <w:t xml:space="preserve">⁠ ⁠1,900</w:t>
            </w:r>
          </w:p>
        </w:tc>
        <w:tc>
          <w:tcPr/>
          <w:p>
            <w:pPr>
              <w:pStyle w:val="Compact"/>
              <w:jc w:val="center"/>
            </w:pPr>
            <w:r>
              <w:t xml:space="preserve">1.004</w:t>
            </w:r>
          </w:p>
        </w:tc>
        <w:tc>
          <w:tcPr/>
          <w:p>
            <w:pPr>
              <w:pStyle w:val="Compact"/>
              <w:jc w:val="center"/>
            </w:pPr>
            <w:r>
              <w:t xml:space="preserve">1,147</w:t>
            </w:r>
          </w:p>
        </w:tc>
        <w:tc>
          <w:tcPr/>
          <w:p>
            <w:pPr>
              <w:pStyle w:val="Compact"/>
              <w:jc w:val="center"/>
            </w:pPr>
            <w:r>
              <w:t xml:space="preserve">2,198</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1.004</w:t>
            </w:r>
          </w:p>
        </w:tc>
        <w:tc>
          <w:tcPr/>
          <w:p>
            <w:pPr>
              <w:pStyle w:val="Compact"/>
              <w:jc w:val="center"/>
            </w:pPr>
            <w:r>
              <w:t xml:space="preserve">⁠ ⁠ ⁠847</w:t>
            </w:r>
          </w:p>
        </w:tc>
        <w:tc>
          <w:tcPr/>
          <w:p>
            <w:pPr>
              <w:pStyle w:val="Compact"/>
              <w:jc w:val="center"/>
            </w:pPr>
            <w:r>
              <w:t xml:space="preserve">⁠ ⁠2,212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1.003</w:t>
            </w:r>
          </w:p>
        </w:tc>
        <w:tc>
          <w:tcPr/>
          <w:p>
            <w:pPr>
              <w:pStyle w:val="Compact"/>
              <w:jc w:val="center"/>
            </w:pPr>
            <w:r>
              <w:t xml:space="preserve">⁠ ⁠ ⁠872</w:t>
            </w:r>
          </w:p>
        </w:tc>
        <w:tc>
          <w:tcPr/>
          <w:p>
            <w:pPr>
              <w:pStyle w:val="Compact"/>
              <w:jc w:val="center"/>
            </w:pPr>
            <w:r>
              <w:t xml:space="preserve">⁠ ⁠1,918</w:t>
            </w:r>
          </w:p>
        </w:tc>
        <w:tc>
          <w:tcPr/>
          <w:p>
            <w:pPr>
              <w:pStyle w:val="Compact"/>
              <w:jc w:val="center"/>
            </w:pPr>
            <w:r>
              <w:t xml:space="preserve">1.002</w:t>
            </w:r>
          </w:p>
        </w:tc>
        <w:tc>
          <w:tcPr/>
          <w:p>
            <w:pPr>
              <w:pStyle w:val="Compact"/>
              <w:jc w:val="center"/>
            </w:pPr>
            <w:r>
              <w:t xml:space="preserve">1,146</w:t>
            </w:r>
          </w:p>
        </w:tc>
        <w:tc>
          <w:tcPr/>
          <w:p>
            <w:pPr>
              <w:pStyle w:val="Compact"/>
              <w:jc w:val="center"/>
            </w:pPr>
            <w:r>
              <w:t xml:space="preserve">2,527</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1.002</w:t>
            </w:r>
          </w:p>
        </w:tc>
        <w:tc>
          <w:tcPr/>
          <w:p>
            <w:pPr>
              <w:pStyle w:val="Compact"/>
              <w:jc w:val="center"/>
            </w:pPr>
            <w:r>
              <w:t xml:space="preserve">⁠ ⁠ ⁠883</w:t>
            </w:r>
          </w:p>
        </w:tc>
        <w:tc>
          <w:tcPr/>
          <w:p>
            <w:pPr>
              <w:pStyle w:val="Compact"/>
              <w:jc w:val="center"/>
            </w:pPr>
            <w:r>
              <w:t xml:space="preserve">⁠ ⁠2,714</w:t>
            </w:r>
          </w:p>
        </w:tc>
        <w:tc>
          <w:tcPr/>
          <w:p>
            <w:pPr>
              <w:pStyle w:val="Compact"/>
              <w:jc w:val="center"/>
            </w:pPr>
            <w:r>
              <w:t xml:space="preserve">1.003</w:t>
            </w:r>
          </w:p>
        </w:tc>
        <w:tc>
          <w:tcPr/>
          <w:p>
            <w:pPr>
              <w:pStyle w:val="Compact"/>
              <w:jc w:val="center"/>
            </w:pPr>
            <w:r>
              <w:t xml:space="preserve">⁠ ⁠ ⁠785</w:t>
            </w:r>
          </w:p>
        </w:tc>
        <w:tc>
          <w:tcPr/>
          <w:p>
            <w:pPr>
              <w:pStyle w:val="Compact"/>
              <w:jc w:val="center"/>
            </w:pPr>
            <w:r>
              <w:t xml:space="preserve">2,598</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1.004</w:t>
            </w:r>
          </w:p>
        </w:tc>
        <w:tc>
          <w:tcPr/>
          <w:p>
            <w:pPr>
              <w:pStyle w:val="Compact"/>
              <w:jc w:val="center"/>
            </w:pPr>
            <w:r>
              <w:t xml:space="preserve">1,239</w:t>
            </w:r>
          </w:p>
        </w:tc>
        <w:tc>
          <w:tcPr/>
          <w:p>
            <w:pPr>
              <w:pStyle w:val="Compact"/>
              <w:jc w:val="center"/>
            </w:pPr>
            <w:r>
              <w:t xml:space="preserve">⁠ ⁠2,650</w:t>
            </w:r>
          </w:p>
        </w:tc>
        <w:tc>
          <w:tcPr/>
          <w:p>
            <w:pPr>
              <w:pStyle w:val="Compact"/>
              <w:jc w:val="center"/>
            </w:pPr>
            <w:r>
              <w:t xml:space="preserve">1.006</w:t>
            </w:r>
          </w:p>
        </w:tc>
        <w:tc>
          <w:tcPr/>
          <w:p>
            <w:pPr>
              <w:pStyle w:val="Compact"/>
              <w:jc w:val="center"/>
            </w:pPr>
            <w:r>
              <w:t xml:space="preserve">1,023</w:t>
            </w:r>
          </w:p>
        </w:tc>
        <w:tc>
          <w:tcPr/>
          <w:p>
            <w:pPr>
              <w:pStyle w:val="Compact"/>
              <w:jc w:val="center"/>
            </w:pPr>
            <w:r>
              <w:t xml:space="preserve">2,138</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1,273</w:t>
            </w:r>
          </w:p>
        </w:tc>
        <w:tc>
          <w:tcPr/>
          <w:p>
            <w:pPr>
              <w:pStyle w:val="Compact"/>
              <w:jc w:val="center"/>
            </w:pPr>
            <w:r>
              <w:t xml:space="preserve">⁠ ⁠2,617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1,321</w:t>
            </w:r>
          </w:p>
        </w:tc>
        <w:tc>
          <w:tcPr/>
          <w:p>
            <w:pPr>
              <w:pStyle w:val="Compact"/>
              <w:jc w:val="center"/>
            </w:pPr>
            <w:r>
              <w:t xml:space="preserve">⁠ ⁠2,410</w:t>
            </w:r>
          </w:p>
        </w:tc>
        <w:tc>
          <w:tcPr/>
          <w:p>
            <w:pPr>
              <w:pStyle w:val="Compact"/>
              <w:jc w:val="center"/>
            </w:pPr>
            <w:r>
              <w:t xml:space="preserve">1.003</w:t>
            </w:r>
          </w:p>
        </w:tc>
        <w:tc>
          <w:tcPr/>
          <w:p>
            <w:pPr>
              <w:pStyle w:val="Compact"/>
              <w:jc w:val="center"/>
            </w:pPr>
            <w:r>
              <w:t xml:space="preserve">1,416</w:t>
            </w:r>
          </w:p>
        </w:tc>
        <w:tc>
          <w:tcPr/>
          <w:p>
            <w:pPr>
              <w:pStyle w:val="Compact"/>
              <w:jc w:val="center"/>
            </w:pPr>
            <w:r>
              <w:t xml:space="preserve">2,936</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1.004</w:t>
            </w:r>
          </w:p>
        </w:tc>
        <w:tc>
          <w:tcPr/>
          <w:p>
            <w:pPr>
              <w:pStyle w:val="Compact"/>
              <w:jc w:val="center"/>
            </w:pPr>
            <w:r>
              <w:t xml:space="preserve">1,186</w:t>
            </w:r>
          </w:p>
        </w:tc>
        <w:tc>
          <w:tcPr/>
          <w:p>
            <w:pPr>
              <w:pStyle w:val="Compact"/>
              <w:jc w:val="center"/>
            </w:pPr>
            <w:r>
              <w:t xml:space="preserve">⁠ ⁠2,733</w:t>
            </w:r>
          </w:p>
        </w:tc>
        <w:tc>
          <w:tcPr/>
          <w:p>
            <w:pPr>
              <w:pStyle w:val="Compact"/>
              <w:jc w:val="center"/>
            </w:pPr>
            <w:r>
              <w:t xml:space="preserve">1.003</w:t>
            </w:r>
          </w:p>
        </w:tc>
        <w:tc>
          <w:tcPr/>
          <w:p>
            <w:pPr>
              <w:pStyle w:val="Compact"/>
              <w:jc w:val="center"/>
            </w:pPr>
            <w:r>
              <w:t xml:space="preserve">1,115</w:t>
            </w:r>
          </w:p>
        </w:tc>
        <w:tc>
          <w:tcPr/>
          <w:p>
            <w:pPr>
              <w:pStyle w:val="Compact"/>
              <w:jc w:val="center"/>
            </w:pPr>
            <w:r>
              <w:t xml:space="preserve">2,662</w:t>
            </w:r>
          </w:p>
        </w:tc>
      </w:tr>
      <w:tr>
        <w:tc>
          <w:tcPr/>
          <w:p>
            <w:pPr>
              <w:pStyle w:val="Compact"/>
              <w:jc w:val="left"/>
            </w:pPr>
            <w:r>
              <w:t xml:space="preserve">   400–900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1.002</w:t>
            </w:r>
          </w:p>
        </w:tc>
        <w:tc>
          <w:tcPr/>
          <w:p>
            <w:pPr>
              <w:pStyle w:val="Compact"/>
              <w:jc w:val="center"/>
            </w:pPr>
            <w:r>
              <w:t xml:space="preserve">1,213</w:t>
            </w:r>
          </w:p>
        </w:tc>
        <w:tc>
          <w:tcPr/>
          <w:p>
            <w:pPr>
              <w:pStyle w:val="Compact"/>
              <w:jc w:val="center"/>
            </w:pPr>
            <w:r>
              <w:t xml:space="preserve">⁠ ⁠2,487</w:t>
            </w:r>
          </w:p>
        </w:tc>
        <w:tc>
          <w:tcPr/>
          <w:p>
            <w:pPr>
              <w:pStyle w:val="Compact"/>
              <w:jc w:val="center"/>
            </w:pPr>
            <w:r>
              <w:t xml:space="preserve">1.003</w:t>
            </w:r>
          </w:p>
        </w:tc>
        <w:tc>
          <w:tcPr/>
          <w:p>
            <w:pPr>
              <w:pStyle w:val="Compact"/>
              <w:jc w:val="center"/>
            </w:pPr>
            <w:r>
              <w:t xml:space="preserve">⁠ ⁠ ⁠868</w:t>
            </w:r>
          </w:p>
        </w:tc>
        <w:tc>
          <w:tcPr/>
          <w:p>
            <w:pPr>
              <w:pStyle w:val="Compact"/>
              <w:jc w:val="center"/>
            </w:pPr>
            <w:r>
              <w:t xml:space="preserve">2,381</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1.004</w:t>
            </w:r>
          </w:p>
        </w:tc>
        <w:tc>
          <w:tcPr/>
          <w:p>
            <w:pPr>
              <w:pStyle w:val="Compact"/>
              <w:jc w:val="center"/>
            </w:pPr>
            <w:r>
              <w:t xml:space="preserve">1,166</w:t>
            </w:r>
          </w:p>
        </w:tc>
        <w:tc>
          <w:tcPr/>
          <w:p>
            <w:pPr>
              <w:pStyle w:val="Compact"/>
              <w:jc w:val="center"/>
            </w:pPr>
            <w:r>
              <w:t xml:space="preserve">⁠ ⁠3,013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1.002</w:t>
            </w:r>
          </w:p>
        </w:tc>
        <w:tc>
          <w:tcPr/>
          <w:p>
            <w:pPr>
              <w:pStyle w:val="Compact"/>
              <w:jc w:val="center"/>
            </w:pPr>
            <w:r>
              <w:t xml:space="preserve">1,149</w:t>
            </w:r>
          </w:p>
        </w:tc>
        <w:tc>
          <w:tcPr/>
          <w:p>
            <w:pPr>
              <w:pStyle w:val="Compact"/>
              <w:jc w:val="center"/>
            </w:pPr>
            <w:r>
              <w:t xml:space="preserve">⁠ ⁠2,812</w:t>
            </w:r>
          </w:p>
        </w:tc>
        <w:tc>
          <w:tcPr/>
          <w:p>
            <w:pPr>
              <w:pStyle w:val="Compact"/>
              <w:jc w:val="center"/>
            </w:pPr>
            <w:r>
              <w:t xml:space="preserve">1.005</w:t>
            </w:r>
          </w:p>
        </w:tc>
        <w:tc>
          <w:tcPr/>
          <w:p>
            <w:pPr>
              <w:pStyle w:val="Compact"/>
              <w:jc w:val="center"/>
            </w:pPr>
            <w:r>
              <w:t xml:space="preserve">1,130</w:t>
            </w:r>
          </w:p>
        </w:tc>
        <w:tc>
          <w:tcPr/>
          <w:p>
            <w:pPr>
              <w:pStyle w:val="Compact"/>
              <w:jc w:val="center"/>
            </w:pPr>
            <w:r>
              <w:t xml:space="preserve">2,663</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1.005</w:t>
            </w:r>
          </w:p>
        </w:tc>
        <w:tc>
          <w:tcPr/>
          <w:p>
            <w:pPr>
              <w:pStyle w:val="Compact"/>
              <w:jc w:val="center"/>
            </w:pPr>
            <w:r>
              <w:t xml:space="preserve">1,194</w:t>
            </w:r>
          </w:p>
        </w:tc>
        <w:tc>
          <w:tcPr/>
          <w:p>
            <w:pPr>
              <w:pStyle w:val="Compact"/>
              <w:jc w:val="center"/>
            </w:pPr>
            <w:r>
              <w:t xml:space="preserve">⁠ ⁠3,342</w:t>
            </w:r>
          </w:p>
        </w:tc>
        <w:tc>
          <w:tcPr/>
          <w:p>
            <w:pPr>
              <w:pStyle w:val="Compact"/>
              <w:jc w:val="center"/>
            </w:pPr>
            <w:r>
              <w:t xml:space="preserve">1.002</w:t>
            </w:r>
          </w:p>
        </w:tc>
        <w:tc>
          <w:tcPr/>
          <w:p>
            <w:pPr>
              <w:pStyle w:val="Compact"/>
              <w:jc w:val="center"/>
            </w:pPr>
            <w:r>
              <w:t xml:space="preserve">1,174</w:t>
            </w:r>
          </w:p>
        </w:tc>
        <w:tc>
          <w:tcPr/>
          <w:p>
            <w:pPr>
              <w:pStyle w:val="Compact"/>
              <w:jc w:val="center"/>
            </w:pPr>
            <w:r>
              <w:t xml:space="preserve">2,948</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1.004</w:t>
            </w:r>
          </w:p>
        </w:tc>
        <w:tc>
          <w:tcPr/>
          <w:p>
            <w:pPr>
              <w:pStyle w:val="Compact"/>
              <w:jc w:val="center"/>
            </w:pPr>
            <w:r>
              <w:t xml:space="preserve">1,165</w:t>
            </w:r>
          </w:p>
        </w:tc>
        <w:tc>
          <w:tcPr/>
          <w:p>
            <w:pPr>
              <w:pStyle w:val="Compact"/>
              <w:jc w:val="center"/>
            </w:pPr>
            <w:r>
              <w:t xml:space="preserve">⁠ ⁠2,204</w:t>
            </w:r>
          </w:p>
        </w:tc>
        <w:tc>
          <w:tcPr/>
          <w:p>
            <w:pPr>
              <w:pStyle w:val="Compact"/>
              <w:jc w:val="center"/>
            </w:pPr>
            <w:r>
              <w:t xml:space="preserve">1.005</w:t>
            </w:r>
          </w:p>
        </w:tc>
        <w:tc>
          <w:tcPr/>
          <w:p>
            <w:pPr>
              <w:pStyle w:val="Compact"/>
              <w:jc w:val="center"/>
            </w:pPr>
            <w:r>
              <w:t xml:space="preserve">1,370</w:t>
            </w:r>
          </w:p>
        </w:tc>
        <w:tc>
          <w:tcPr/>
          <w:p>
            <w:pPr>
              <w:pStyle w:val="Compact"/>
              <w:jc w:val="center"/>
            </w:pPr>
            <w:r>
              <w:t xml:space="preserve">3,484</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1.004</w:t>
            </w:r>
          </w:p>
        </w:tc>
        <w:tc>
          <w:tcPr/>
          <w:p>
            <w:pPr>
              <w:pStyle w:val="Compact"/>
              <w:jc w:val="center"/>
            </w:pPr>
            <w:r>
              <w:t xml:space="preserve">1,368</w:t>
            </w:r>
          </w:p>
        </w:tc>
        <w:tc>
          <w:tcPr/>
          <w:p>
            <w:pPr>
              <w:pStyle w:val="Compact"/>
              <w:jc w:val="center"/>
            </w:pPr>
            <w:r>
              <w:t xml:space="preserve">⁠ ⁠3,558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1.005</w:t>
            </w:r>
          </w:p>
        </w:tc>
        <w:tc>
          <w:tcPr/>
          <w:p>
            <w:pPr>
              <w:pStyle w:val="Compact"/>
              <w:jc w:val="center"/>
            </w:pPr>
            <w:r>
              <w:t xml:space="preserve">1,427</w:t>
            </w:r>
          </w:p>
        </w:tc>
        <w:tc>
          <w:tcPr/>
          <w:p>
            <w:pPr>
              <w:pStyle w:val="Compact"/>
              <w:jc w:val="center"/>
            </w:pPr>
            <w:r>
              <w:t xml:space="preserve">⁠ ⁠3,324</w:t>
            </w:r>
          </w:p>
        </w:tc>
        <w:tc>
          <w:tcPr/>
          <w:p>
            <w:pPr>
              <w:pStyle w:val="Compact"/>
              <w:jc w:val="center"/>
            </w:pPr>
            <w:r>
              <w:t xml:space="preserve">1.005</w:t>
            </w:r>
          </w:p>
        </w:tc>
        <w:tc>
          <w:tcPr/>
          <w:p>
            <w:pPr>
              <w:pStyle w:val="Compact"/>
              <w:jc w:val="center"/>
            </w:pPr>
            <w:r>
              <w:t xml:space="preserve">1,067</w:t>
            </w:r>
          </w:p>
        </w:tc>
        <w:tc>
          <w:tcPr/>
          <w:p>
            <w:pPr>
              <w:pStyle w:val="Compact"/>
              <w:jc w:val="center"/>
            </w:pPr>
            <w:r>
              <w:t xml:space="preserve">2,945</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1.005</w:t>
            </w:r>
          </w:p>
        </w:tc>
        <w:tc>
          <w:tcPr/>
          <w:p>
            <w:pPr>
              <w:pStyle w:val="Compact"/>
              <w:jc w:val="center"/>
            </w:pPr>
            <w:r>
              <w:t xml:space="preserve">1,265</w:t>
            </w:r>
          </w:p>
        </w:tc>
        <w:tc>
          <w:tcPr/>
          <w:p>
            <w:pPr>
              <w:pStyle w:val="Compact"/>
              <w:jc w:val="center"/>
            </w:pPr>
            <w:r>
              <w:t xml:space="preserve">⁠ ⁠3,484</w:t>
            </w:r>
          </w:p>
        </w:tc>
        <w:tc>
          <w:tcPr/>
          <w:p>
            <w:pPr>
              <w:pStyle w:val="Compact"/>
              <w:jc w:val="center"/>
            </w:pPr>
            <w:r>
              <w:t xml:space="preserve">1.005</w:t>
            </w:r>
          </w:p>
        </w:tc>
        <w:tc>
          <w:tcPr/>
          <w:p>
            <w:pPr>
              <w:pStyle w:val="Compact"/>
              <w:jc w:val="center"/>
            </w:pPr>
            <w:r>
              <w:t xml:space="preserve">1,188</w:t>
            </w:r>
          </w:p>
        </w:tc>
        <w:tc>
          <w:tcPr/>
          <w:p>
            <w:pPr>
              <w:pStyle w:val="Compact"/>
              <w:jc w:val="center"/>
            </w:pPr>
            <w:r>
              <w:t xml:space="preserve">2,909</w:t>
            </w:r>
          </w:p>
        </w:tc>
      </w:tr>
      <w:tr>
        <w:tc>
          <w:tcPr>
            <w:gridSpan w:val="9"/>
          </w:tcPr>
          <w:p>
            <w:pPr>
              <w:pStyle w:val="Compact"/>
              <w:jc w:val="left"/>
            </w:pPr>
            <w:r>
              <w:rPr>
                <w:i/>
                <w:iCs/>
              </w:rPr>
              <w:t xml:space="preserve">Differential object marking</w:t>
            </w:r>
          </w:p>
        </w:tc>
      </w:tr>
      <w:tr>
        <w:tc>
          <w:tcPr/>
          <w:p>
            <w:pPr>
              <w:pStyle w:val="Compact"/>
              <w:jc w:val="left"/>
            </w:pPr>
            <w:r>
              <w:t xml:space="preserve">   200–500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1.002</w:t>
            </w:r>
          </w:p>
        </w:tc>
        <w:tc>
          <w:tcPr/>
          <w:p>
            <w:pPr>
              <w:pStyle w:val="Compact"/>
              <w:jc w:val="center"/>
            </w:pPr>
            <w:r>
              <w:t xml:space="preserve">2,248</w:t>
            </w:r>
          </w:p>
        </w:tc>
        <w:tc>
          <w:tcPr/>
          <w:p>
            <w:pPr>
              <w:pStyle w:val="Compact"/>
              <w:jc w:val="center"/>
            </w:pPr>
            <w:r>
              <w:t xml:space="preserve">⁠ ⁠6,221</w:t>
            </w:r>
          </w:p>
        </w:tc>
        <w:tc>
          <w:tcPr/>
          <w:p>
            <w:pPr>
              <w:pStyle w:val="Compact"/>
              <w:jc w:val="center"/>
            </w:pPr>
            <w:r>
              <w:t xml:space="preserve">1.002</w:t>
            </w:r>
          </w:p>
        </w:tc>
        <w:tc>
          <w:tcPr/>
          <w:p>
            <w:pPr>
              <w:pStyle w:val="Compact"/>
              <w:jc w:val="center"/>
            </w:pPr>
            <w:r>
              <w:t xml:space="preserve">1,519</w:t>
            </w:r>
          </w:p>
        </w:tc>
        <w:tc>
          <w:tcPr/>
          <w:p>
            <w:pPr>
              <w:pStyle w:val="Compact"/>
              <w:jc w:val="center"/>
            </w:pPr>
            <w:r>
              <w:t xml:space="preserve">3,265</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1.002</w:t>
            </w:r>
          </w:p>
        </w:tc>
        <w:tc>
          <w:tcPr/>
          <w:p>
            <w:pPr>
              <w:pStyle w:val="Compact"/>
              <w:jc w:val="center"/>
            </w:pPr>
            <w:r>
              <w:t xml:space="preserve">2,368</w:t>
            </w:r>
          </w:p>
        </w:tc>
        <w:tc>
          <w:tcPr/>
          <w:p>
            <w:pPr>
              <w:pStyle w:val="Compact"/>
              <w:jc w:val="center"/>
            </w:pPr>
            <w:r>
              <w:t xml:space="preserve">⁠ ⁠3,742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2,356</w:t>
            </w:r>
          </w:p>
        </w:tc>
        <w:tc>
          <w:tcPr/>
          <w:p>
            <w:pPr>
              <w:pStyle w:val="Compact"/>
              <w:jc w:val="center"/>
            </w:pPr>
            <w:r>
              <w:t xml:space="preserve">⁠ ⁠6,394</w:t>
            </w:r>
          </w:p>
        </w:tc>
        <w:tc>
          <w:tcPr/>
          <w:p>
            <w:pPr>
              <w:pStyle w:val="Compact"/>
              <w:jc w:val="center"/>
            </w:pPr>
            <w:r>
              <w:t xml:space="preserve">1.003</w:t>
            </w:r>
          </w:p>
        </w:tc>
        <w:tc>
          <w:tcPr/>
          <w:p>
            <w:pPr>
              <w:pStyle w:val="Compact"/>
              <w:jc w:val="center"/>
            </w:pPr>
            <w:r>
              <w:t xml:space="preserve">1,229</w:t>
            </w:r>
          </w:p>
        </w:tc>
        <w:tc>
          <w:tcPr/>
          <w:p>
            <w:pPr>
              <w:pStyle w:val="Compact"/>
              <w:jc w:val="center"/>
            </w:pPr>
            <w:r>
              <w:t xml:space="preserve">2,765</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1.001</w:t>
            </w:r>
          </w:p>
        </w:tc>
        <w:tc>
          <w:tcPr/>
          <w:p>
            <w:pPr>
              <w:pStyle w:val="Compact"/>
              <w:jc w:val="center"/>
            </w:pPr>
            <w:r>
              <w:t xml:space="preserve">2,218</w:t>
            </w:r>
          </w:p>
        </w:tc>
        <w:tc>
          <w:tcPr/>
          <w:p>
            <w:pPr>
              <w:pStyle w:val="Compact"/>
              <w:jc w:val="center"/>
            </w:pPr>
            <w:r>
              <w:t xml:space="preserve">⁠ ⁠5,724</w:t>
            </w:r>
          </w:p>
        </w:tc>
        <w:tc>
          <w:tcPr/>
          <w:p>
            <w:pPr>
              <w:pStyle w:val="Compact"/>
              <w:jc w:val="center"/>
            </w:pPr>
            <w:r>
              <w:t xml:space="preserve">1.001</w:t>
            </w:r>
          </w:p>
        </w:tc>
        <w:tc>
          <w:tcPr/>
          <w:p>
            <w:pPr>
              <w:pStyle w:val="Compact"/>
              <w:jc w:val="center"/>
            </w:pPr>
            <w:r>
              <w:t xml:space="preserve">2,220</w:t>
            </w:r>
          </w:p>
        </w:tc>
        <w:tc>
          <w:tcPr/>
          <w:p>
            <w:pPr>
              <w:pStyle w:val="Compact"/>
              <w:jc w:val="center"/>
            </w:pPr>
            <w:r>
              <w:t xml:space="preserve">6,669</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1.003</w:t>
            </w:r>
          </w:p>
        </w:tc>
        <w:tc>
          <w:tcPr/>
          <w:p>
            <w:pPr>
              <w:pStyle w:val="Compact"/>
              <w:jc w:val="center"/>
            </w:pPr>
            <w:r>
              <w:t xml:space="preserve">2,233</w:t>
            </w:r>
          </w:p>
        </w:tc>
        <w:tc>
          <w:tcPr/>
          <w:p>
            <w:pPr>
              <w:pStyle w:val="Compact"/>
              <w:jc w:val="center"/>
            </w:pPr>
            <w:r>
              <w:t xml:space="preserve">⁠ ⁠5,674</w:t>
            </w:r>
          </w:p>
        </w:tc>
        <w:tc>
          <w:tcPr/>
          <w:p>
            <w:pPr>
              <w:pStyle w:val="Compact"/>
              <w:jc w:val="center"/>
            </w:pPr>
            <w:r>
              <w:t xml:space="preserve">1.003</w:t>
            </w:r>
          </w:p>
        </w:tc>
        <w:tc>
          <w:tcPr/>
          <w:p>
            <w:pPr>
              <w:pStyle w:val="Compact"/>
              <w:jc w:val="center"/>
            </w:pPr>
            <w:r>
              <w:t xml:space="preserve">1,486</w:t>
            </w:r>
          </w:p>
        </w:tc>
        <w:tc>
          <w:tcPr/>
          <w:p>
            <w:pPr>
              <w:pStyle w:val="Compact"/>
              <w:jc w:val="center"/>
            </w:pPr>
            <w:r>
              <w:t xml:space="preserve">4,311</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1.003</w:t>
            </w:r>
          </w:p>
        </w:tc>
        <w:tc>
          <w:tcPr/>
          <w:p>
            <w:pPr>
              <w:pStyle w:val="Compact"/>
              <w:jc w:val="center"/>
            </w:pPr>
            <w:r>
              <w:t xml:space="preserve">2,056</w:t>
            </w:r>
          </w:p>
        </w:tc>
        <w:tc>
          <w:tcPr/>
          <w:p>
            <w:pPr>
              <w:pStyle w:val="Compact"/>
              <w:jc w:val="center"/>
            </w:pPr>
            <w:r>
              <w:t xml:space="preserve">⁠ ⁠4,873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2,225</w:t>
            </w:r>
          </w:p>
        </w:tc>
        <w:tc>
          <w:tcPr/>
          <w:p>
            <w:pPr>
              <w:pStyle w:val="Compact"/>
              <w:jc w:val="center"/>
            </w:pPr>
            <w:r>
              <w:t xml:space="preserve">⁠ ⁠4,979</w:t>
            </w:r>
          </w:p>
        </w:tc>
        <w:tc>
          <w:tcPr/>
          <w:p>
            <w:pPr>
              <w:pStyle w:val="Compact"/>
              <w:jc w:val="center"/>
            </w:pPr>
            <w:r>
              <w:t xml:space="preserve">1.001</w:t>
            </w:r>
          </w:p>
        </w:tc>
        <w:tc>
          <w:tcPr/>
          <w:p>
            <w:pPr>
              <w:pStyle w:val="Compact"/>
              <w:jc w:val="center"/>
            </w:pPr>
            <w:r>
              <w:t xml:space="preserve">2,206</w:t>
            </w:r>
          </w:p>
        </w:tc>
        <w:tc>
          <w:tcPr/>
          <w:p>
            <w:pPr>
              <w:pStyle w:val="Compact"/>
              <w:jc w:val="center"/>
            </w:pPr>
            <w:r>
              <w:t xml:space="preserve">5,806</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1.002</w:t>
            </w:r>
          </w:p>
        </w:tc>
        <w:tc>
          <w:tcPr/>
          <w:p>
            <w:pPr>
              <w:pStyle w:val="Compact"/>
              <w:jc w:val="center"/>
            </w:pPr>
            <w:r>
              <w:t xml:space="preserve">1,956</w:t>
            </w:r>
          </w:p>
        </w:tc>
        <w:tc>
          <w:tcPr/>
          <w:p>
            <w:pPr>
              <w:pStyle w:val="Compact"/>
              <w:jc w:val="center"/>
            </w:pPr>
            <w:r>
              <w:t xml:space="preserve">⁠ ⁠5,895</w:t>
            </w:r>
          </w:p>
        </w:tc>
        <w:tc>
          <w:tcPr/>
          <w:p>
            <w:pPr>
              <w:pStyle w:val="Compact"/>
              <w:jc w:val="center"/>
            </w:pPr>
            <w:r>
              <w:t xml:space="preserve">1.003</w:t>
            </w:r>
          </w:p>
        </w:tc>
        <w:tc>
          <w:tcPr/>
          <w:p>
            <w:pPr>
              <w:pStyle w:val="Compact"/>
              <w:jc w:val="center"/>
            </w:pPr>
            <w:r>
              <w:t xml:space="preserve">1,597</w:t>
            </w:r>
          </w:p>
        </w:tc>
        <w:tc>
          <w:tcPr/>
          <w:p>
            <w:pPr>
              <w:pStyle w:val="Compact"/>
              <w:jc w:val="center"/>
            </w:pPr>
            <w:r>
              <w:t xml:space="preserve">3,851</w:t>
            </w:r>
          </w:p>
        </w:tc>
      </w:tr>
      <w:tr>
        <w:tc>
          <w:tcPr/>
          <w:p>
            <w:pPr>
              <w:pStyle w:val="Compact"/>
              <w:jc w:val="left"/>
            </w:pPr>
            <w:r>
              <w:t xml:space="preserve">   300–600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1.002</w:t>
            </w:r>
          </w:p>
        </w:tc>
        <w:tc>
          <w:tcPr/>
          <w:p>
            <w:pPr>
              <w:pStyle w:val="Compact"/>
              <w:jc w:val="center"/>
            </w:pPr>
            <w:r>
              <w:t xml:space="preserve">2,611</w:t>
            </w:r>
          </w:p>
        </w:tc>
        <w:tc>
          <w:tcPr/>
          <w:p>
            <w:pPr>
              <w:pStyle w:val="Compact"/>
              <w:jc w:val="center"/>
            </w:pPr>
            <w:r>
              <w:t xml:space="preserve">⁠ ⁠5,110</w:t>
            </w:r>
          </w:p>
        </w:tc>
        <w:tc>
          <w:tcPr/>
          <w:p>
            <w:pPr>
              <w:pStyle w:val="Compact"/>
              <w:jc w:val="center"/>
            </w:pPr>
            <w:r>
              <w:t xml:space="preserve">1.003</w:t>
            </w:r>
          </w:p>
        </w:tc>
        <w:tc>
          <w:tcPr/>
          <w:p>
            <w:pPr>
              <w:pStyle w:val="Compact"/>
              <w:jc w:val="center"/>
            </w:pPr>
            <w:r>
              <w:t xml:space="preserve">2,507</w:t>
            </w:r>
          </w:p>
        </w:tc>
        <w:tc>
          <w:tcPr/>
          <w:p>
            <w:pPr>
              <w:pStyle w:val="Compact"/>
              <w:jc w:val="center"/>
            </w:pPr>
            <w:r>
              <w:t xml:space="preserve">6,209</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1,968</w:t>
            </w:r>
          </w:p>
        </w:tc>
        <w:tc>
          <w:tcPr/>
          <w:p>
            <w:pPr>
              <w:pStyle w:val="Compact"/>
              <w:jc w:val="center"/>
            </w:pPr>
            <w:r>
              <w:t xml:space="preserve">⁠ ⁠3,015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2,535</w:t>
            </w:r>
          </w:p>
        </w:tc>
        <w:tc>
          <w:tcPr/>
          <w:p>
            <w:pPr>
              <w:pStyle w:val="Compact"/>
              <w:jc w:val="center"/>
            </w:pPr>
            <w:r>
              <w:t xml:space="preserve">⁠ ⁠4,680</w:t>
            </w:r>
          </w:p>
        </w:tc>
        <w:tc>
          <w:tcPr/>
          <w:p>
            <w:pPr>
              <w:pStyle w:val="Compact"/>
              <w:jc w:val="center"/>
            </w:pPr>
            <w:r>
              <w:t xml:space="preserve">1.001</w:t>
            </w:r>
          </w:p>
        </w:tc>
        <w:tc>
          <w:tcPr/>
          <w:p>
            <w:pPr>
              <w:pStyle w:val="Compact"/>
              <w:jc w:val="center"/>
            </w:pPr>
            <w:r>
              <w:t xml:space="preserve">2,377</w:t>
            </w:r>
          </w:p>
        </w:tc>
        <w:tc>
          <w:tcPr/>
          <w:p>
            <w:pPr>
              <w:pStyle w:val="Compact"/>
              <w:jc w:val="center"/>
            </w:pPr>
            <w:r>
              <w:t xml:space="preserve">4,799</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1.001</w:t>
            </w:r>
          </w:p>
        </w:tc>
        <w:tc>
          <w:tcPr/>
          <w:p>
            <w:pPr>
              <w:pStyle w:val="Compact"/>
              <w:jc w:val="center"/>
            </w:pPr>
            <w:r>
              <w:t xml:space="preserve">3,422</w:t>
            </w:r>
          </w:p>
        </w:tc>
        <w:tc>
          <w:tcPr/>
          <w:p>
            <w:pPr>
              <w:pStyle w:val="Compact"/>
              <w:jc w:val="center"/>
            </w:pPr>
            <w:r>
              <w:t xml:space="preserve">⁠ ⁠8,269</w:t>
            </w:r>
          </w:p>
        </w:tc>
        <w:tc>
          <w:tcPr/>
          <w:p>
            <w:pPr>
              <w:pStyle w:val="Compact"/>
              <w:jc w:val="center"/>
            </w:pPr>
            <w:r>
              <w:t xml:space="preserve">1.002</w:t>
            </w:r>
          </w:p>
        </w:tc>
        <w:tc>
          <w:tcPr/>
          <w:p>
            <w:pPr>
              <w:pStyle w:val="Compact"/>
              <w:jc w:val="center"/>
            </w:pPr>
            <w:r>
              <w:t xml:space="preserve">1,965</w:t>
            </w:r>
          </w:p>
        </w:tc>
        <w:tc>
          <w:tcPr/>
          <w:p>
            <w:pPr>
              <w:pStyle w:val="Compact"/>
              <w:jc w:val="center"/>
            </w:pPr>
            <w:r>
              <w:t xml:space="preserve">4,995</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1.001</w:t>
            </w:r>
          </w:p>
        </w:tc>
        <w:tc>
          <w:tcPr/>
          <w:p>
            <w:pPr>
              <w:pStyle w:val="Compact"/>
              <w:jc w:val="center"/>
            </w:pPr>
            <w:r>
              <w:t xml:space="preserve">2,774</w:t>
            </w:r>
          </w:p>
        </w:tc>
        <w:tc>
          <w:tcPr/>
          <w:p>
            <w:pPr>
              <w:pStyle w:val="Compact"/>
              <w:jc w:val="center"/>
            </w:pPr>
            <w:r>
              <w:t xml:space="preserve">⁠ ⁠7,022</w:t>
            </w:r>
          </w:p>
        </w:tc>
        <w:tc>
          <w:tcPr/>
          <w:p>
            <w:pPr>
              <w:pStyle w:val="Compact"/>
              <w:jc w:val="center"/>
            </w:pPr>
            <w:r>
              <w:t xml:space="preserve">1.003</w:t>
            </w:r>
          </w:p>
        </w:tc>
        <w:tc>
          <w:tcPr/>
          <w:p>
            <w:pPr>
              <w:pStyle w:val="Compact"/>
              <w:jc w:val="center"/>
            </w:pPr>
            <w:r>
              <w:t xml:space="preserve">2,039</w:t>
            </w:r>
          </w:p>
        </w:tc>
        <w:tc>
          <w:tcPr/>
          <w:p>
            <w:pPr>
              <w:pStyle w:val="Compact"/>
              <w:jc w:val="center"/>
            </w:pPr>
            <w:r>
              <w:t xml:space="preserve">4,036</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2,834</w:t>
            </w:r>
          </w:p>
        </w:tc>
        <w:tc>
          <w:tcPr/>
          <w:p>
            <w:pPr>
              <w:pStyle w:val="Compact"/>
              <w:jc w:val="center"/>
            </w:pPr>
            <w:r>
              <w:t xml:space="preserve">⁠ ⁠5,407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1.003</w:t>
            </w:r>
          </w:p>
        </w:tc>
        <w:tc>
          <w:tcPr/>
          <w:p>
            <w:pPr>
              <w:pStyle w:val="Compact"/>
              <w:jc w:val="center"/>
            </w:pPr>
            <w:r>
              <w:t xml:space="preserve">2,880</w:t>
            </w:r>
          </w:p>
        </w:tc>
        <w:tc>
          <w:tcPr/>
          <w:p>
            <w:pPr>
              <w:pStyle w:val="Compact"/>
              <w:jc w:val="center"/>
            </w:pPr>
            <w:r>
              <w:t xml:space="preserve">⁠ ⁠7,234</w:t>
            </w:r>
          </w:p>
        </w:tc>
        <w:tc>
          <w:tcPr/>
          <w:p>
            <w:pPr>
              <w:pStyle w:val="Compact"/>
              <w:jc w:val="center"/>
            </w:pPr>
            <w:r>
              <w:t xml:space="preserve">1.001</w:t>
            </w:r>
          </w:p>
        </w:tc>
        <w:tc>
          <w:tcPr/>
          <w:p>
            <w:pPr>
              <w:pStyle w:val="Compact"/>
              <w:jc w:val="center"/>
            </w:pPr>
            <w:r>
              <w:t xml:space="preserve">2,439</w:t>
            </w:r>
          </w:p>
        </w:tc>
        <w:tc>
          <w:tcPr/>
          <w:p>
            <w:pPr>
              <w:pStyle w:val="Compact"/>
              <w:jc w:val="center"/>
            </w:pPr>
            <w:r>
              <w:t xml:space="preserve">6,097</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1.001</w:t>
            </w:r>
          </w:p>
        </w:tc>
        <w:tc>
          <w:tcPr/>
          <w:p>
            <w:pPr>
              <w:pStyle w:val="Compact"/>
              <w:jc w:val="center"/>
            </w:pPr>
            <w:r>
              <w:t xml:space="preserve">3,710</w:t>
            </w:r>
          </w:p>
        </w:tc>
        <w:tc>
          <w:tcPr/>
          <w:p>
            <w:pPr>
              <w:pStyle w:val="Compact"/>
              <w:jc w:val="center"/>
            </w:pPr>
            <w:r>
              <w:t xml:space="preserve">⁠ ⁠8,753</w:t>
            </w:r>
          </w:p>
        </w:tc>
        <w:tc>
          <w:tcPr/>
          <w:p>
            <w:pPr>
              <w:pStyle w:val="Compact"/>
              <w:jc w:val="center"/>
            </w:pPr>
            <w:r>
              <w:t xml:space="preserve">1.001</w:t>
            </w:r>
          </w:p>
        </w:tc>
        <w:tc>
          <w:tcPr/>
          <w:p>
            <w:pPr>
              <w:pStyle w:val="Compact"/>
              <w:jc w:val="center"/>
            </w:pPr>
            <w:r>
              <w:t xml:space="preserve">2,797</w:t>
            </w:r>
          </w:p>
        </w:tc>
        <w:tc>
          <w:tcPr/>
          <w:p>
            <w:pPr>
              <w:pStyle w:val="Compact"/>
              <w:jc w:val="center"/>
            </w:pPr>
            <w:r>
              <w:t xml:space="preserve">6,038</w:t>
            </w:r>
          </w:p>
        </w:tc>
      </w:tr>
      <w:tr>
        <w:tc>
          <w:tcPr/>
          <w:p>
            <w:pPr>
              <w:pStyle w:val="Compact"/>
              <w:jc w:val="left"/>
            </w:pPr>
            <w:r>
              <w:t xml:space="preserve">   400–900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1.003</w:t>
            </w:r>
          </w:p>
        </w:tc>
        <w:tc>
          <w:tcPr/>
          <w:p>
            <w:pPr>
              <w:pStyle w:val="Compact"/>
              <w:jc w:val="center"/>
            </w:pPr>
            <w:r>
              <w:t xml:space="preserve">2,338</w:t>
            </w:r>
          </w:p>
        </w:tc>
        <w:tc>
          <w:tcPr/>
          <w:p>
            <w:pPr>
              <w:pStyle w:val="Compact"/>
              <w:jc w:val="center"/>
            </w:pPr>
            <w:r>
              <w:t xml:space="preserve">⁠ ⁠4,643</w:t>
            </w:r>
          </w:p>
        </w:tc>
        <w:tc>
          <w:tcPr/>
          <w:p>
            <w:pPr>
              <w:pStyle w:val="Compact"/>
              <w:jc w:val="center"/>
            </w:pPr>
            <w:r>
              <w:t xml:space="preserve">1.001</w:t>
            </w:r>
          </w:p>
        </w:tc>
        <w:tc>
          <w:tcPr/>
          <w:p>
            <w:pPr>
              <w:pStyle w:val="Compact"/>
              <w:jc w:val="center"/>
            </w:pPr>
            <w:r>
              <w:t xml:space="preserve">2,743</w:t>
            </w:r>
          </w:p>
        </w:tc>
        <w:tc>
          <w:tcPr/>
          <w:p>
            <w:pPr>
              <w:pStyle w:val="Compact"/>
              <w:jc w:val="center"/>
            </w:pPr>
            <w:r>
              <w:t xml:space="preserve">3,998</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3,107</w:t>
            </w:r>
          </w:p>
        </w:tc>
        <w:tc>
          <w:tcPr/>
          <w:p>
            <w:pPr>
              <w:pStyle w:val="Compact"/>
              <w:jc w:val="center"/>
            </w:pPr>
            <w:r>
              <w:t xml:space="preserve">⁠ ⁠7,229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3,236</w:t>
            </w:r>
          </w:p>
        </w:tc>
        <w:tc>
          <w:tcPr/>
          <w:p>
            <w:pPr>
              <w:pStyle w:val="Compact"/>
              <w:jc w:val="center"/>
            </w:pPr>
            <w:r>
              <w:t xml:space="preserve">⁠ ⁠5,170</w:t>
            </w:r>
          </w:p>
        </w:tc>
        <w:tc>
          <w:tcPr/>
          <w:p>
            <w:pPr>
              <w:pStyle w:val="Compact"/>
              <w:jc w:val="center"/>
            </w:pPr>
            <w:r>
              <w:t xml:space="preserve">1.001</w:t>
            </w:r>
          </w:p>
        </w:tc>
        <w:tc>
          <w:tcPr/>
          <w:p>
            <w:pPr>
              <w:pStyle w:val="Compact"/>
              <w:jc w:val="center"/>
            </w:pPr>
            <w:r>
              <w:t xml:space="preserve">2,543</w:t>
            </w:r>
          </w:p>
        </w:tc>
        <w:tc>
          <w:tcPr/>
          <w:p>
            <w:pPr>
              <w:pStyle w:val="Compact"/>
              <w:jc w:val="center"/>
            </w:pPr>
            <w:r>
              <w:t xml:space="preserve">4,312</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1.001</w:t>
            </w:r>
          </w:p>
        </w:tc>
        <w:tc>
          <w:tcPr/>
          <w:p>
            <w:pPr>
              <w:pStyle w:val="Compact"/>
              <w:jc w:val="center"/>
            </w:pPr>
            <w:r>
              <w:t xml:space="preserve">2,562</w:t>
            </w:r>
          </w:p>
        </w:tc>
        <w:tc>
          <w:tcPr/>
          <w:p>
            <w:pPr>
              <w:pStyle w:val="Compact"/>
              <w:jc w:val="center"/>
            </w:pPr>
            <w:r>
              <w:t xml:space="preserve">⁠ ⁠5,069</w:t>
            </w:r>
          </w:p>
        </w:tc>
        <w:tc>
          <w:tcPr/>
          <w:p>
            <w:pPr>
              <w:pStyle w:val="Compact"/>
              <w:jc w:val="center"/>
            </w:pPr>
            <w:r>
              <w:t xml:space="preserve">1.002</w:t>
            </w:r>
          </w:p>
        </w:tc>
        <w:tc>
          <w:tcPr/>
          <w:p>
            <w:pPr>
              <w:pStyle w:val="Compact"/>
              <w:jc w:val="center"/>
            </w:pPr>
            <w:r>
              <w:t xml:space="preserve">2,101</w:t>
            </w:r>
          </w:p>
        </w:tc>
        <w:tc>
          <w:tcPr/>
          <w:p>
            <w:pPr>
              <w:pStyle w:val="Compact"/>
              <w:jc w:val="center"/>
            </w:pPr>
            <w:r>
              <w:t xml:space="preserve">2,580</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1.001</w:t>
            </w:r>
          </w:p>
        </w:tc>
        <w:tc>
          <w:tcPr/>
          <w:p>
            <w:pPr>
              <w:pStyle w:val="Compact"/>
              <w:jc w:val="center"/>
            </w:pPr>
            <w:r>
              <w:t xml:space="preserve">3,635</w:t>
            </w:r>
          </w:p>
        </w:tc>
        <w:tc>
          <w:tcPr/>
          <w:p>
            <w:pPr>
              <w:pStyle w:val="Compact"/>
              <w:jc w:val="center"/>
            </w:pPr>
            <w:r>
              <w:t xml:space="preserve">⁠ ⁠8,332</w:t>
            </w:r>
          </w:p>
        </w:tc>
        <w:tc>
          <w:tcPr/>
          <w:p>
            <w:pPr>
              <w:pStyle w:val="Compact"/>
              <w:jc w:val="center"/>
            </w:pPr>
            <w:r>
              <w:t xml:space="preserve">1.002</w:t>
            </w:r>
          </w:p>
        </w:tc>
        <w:tc>
          <w:tcPr/>
          <w:p>
            <w:pPr>
              <w:pStyle w:val="Compact"/>
              <w:jc w:val="center"/>
            </w:pPr>
            <w:r>
              <w:t xml:space="preserve">2,345</w:t>
            </w:r>
          </w:p>
        </w:tc>
        <w:tc>
          <w:tcPr/>
          <w:p>
            <w:pPr>
              <w:pStyle w:val="Compact"/>
              <w:jc w:val="center"/>
            </w:pPr>
            <w:r>
              <w:t xml:space="preserve">5,239</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2,743</w:t>
            </w:r>
          </w:p>
        </w:tc>
        <w:tc>
          <w:tcPr/>
          <w:p>
            <w:pPr>
              <w:pStyle w:val="Compact"/>
              <w:jc w:val="center"/>
            </w:pPr>
            <w:r>
              <w:t xml:space="preserve">⁠ ⁠5,873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2,556</w:t>
            </w:r>
          </w:p>
        </w:tc>
        <w:tc>
          <w:tcPr/>
          <w:p>
            <w:pPr>
              <w:pStyle w:val="Compact"/>
              <w:jc w:val="center"/>
            </w:pPr>
            <w:r>
              <w:t xml:space="preserve">⁠ ⁠5,191</w:t>
            </w:r>
          </w:p>
        </w:tc>
        <w:tc>
          <w:tcPr/>
          <w:p>
            <w:pPr>
              <w:pStyle w:val="Compact"/>
              <w:jc w:val="center"/>
            </w:pPr>
            <w:r>
              <w:t xml:space="preserve">1.002</w:t>
            </w:r>
          </w:p>
        </w:tc>
        <w:tc>
          <w:tcPr/>
          <w:p>
            <w:pPr>
              <w:pStyle w:val="Compact"/>
              <w:jc w:val="center"/>
            </w:pPr>
            <w:r>
              <w:t xml:space="preserve">2,731</w:t>
            </w:r>
          </w:p>
        </w:tc>
        <w:tc>
          <w:tcPr/>
          <w:p>
            <w:pPr>
              <w:pStyle w:val="Compact"/>
              <w:jc w:val="center"/>
            </w:pPr>
            <w:r>
              <w:t xml:space="preserve">6,049</w:t>
            </w:r>
          </w:p>
        </w:tc>
      </w:tr>
      <w:tr>
        <w:tc>
          <w:tcPr/>
          <w:p>
            <w:pPr>
              <w:pStyle w:val="Compact"/>
            </w:pPr>
          </w:p>
        </w:tc>
        <w:tc>
          <w:tcPr/>
          <w:p>
            <w:pPr>
              <w:pStyle w:val="Compact"/>
            </w:pPr>
          </w:p>
        </w:tc>
        <w:tc>
          <w:tcPr/>
          <w:p>
            <w:pPr>
              <w:pStyle w:val="Compact"/>
              <w:jc w:val="left"/>
            </w:pPr>
            <w:r>
              <w:t xml:space="preserve">Retention-free</w:t>
            </w:r>
          </w:p>
        </w:tc>
        <w:tc>
          <w:tcPr/>
          <w:p>
            <w:pPr>
              <w:pStyle w:val="Compact"/>
              <w:jc w:val="center"/>
            </w:pPr>
            <w:r>
              <w:t xml:space="preserve">1.001</w:t>
            </w:r>
          </w:p>
        </w:tc>
        <w:tc>
          <w:tcPr/>
          <w:p>
            <w:pPr>
              <w:pStyle w:val="Compact"/>
              <w:jc w:val="center"/>
            </w:pPr>
            <w:r>
              <w:t xml:space="preserve">3,694</w:t>
            </w:r>
          </w:p>
        </w:tc>
        <w:tc>
          <w:tcPr/>
          <w:p>
            <w:pPr>
              <w:pStyle w:val="Compact"/>
              <w:jc w:val="center"/>
            </w:pPr>
            <w:r>
              <w:t xml:space="preserve">⁠ ⁠9,400</w:t>
            </w:r>
          </w:p>
        </w:tc>
        <w:tc>
          <w:tcPr/>
          <w:p>
            <w:pPr>
              <w:pStyle w:val="Compact"/>
              <w:jc w:val="center"/>
            </w:pPr>
            <w:r>
              <w:t xml:space="preserve">1.001</w:t>
            </w:r>
          </w:p>
        </w:tc>
        <w:tc>
          <w:tcPr/>
          <w:p>
            <w:pPr>
              <w:pStyle w:val="Compact"/>
              <w:jc w:val="center"/>
            </w:pPr>
            <w:r>
              <w:t xml:space="preserve">3,172</w:t>
            </w:r>
          </w:p>
        </w:tc>
        <w:tc>
          <w:tcPr/>
          <w:p>
            <w:pPr>
              <w:pStyle w:val="Compact"/>
              <w:jc w:val="center"/>
            </w:pPr>
            <w:r>
              <w:t xml:space="preserve">7,862</w:t>
            </w:r>
          </w:p>
        </w:tc>
      </w:tr>
      <w:tr>
        <w:tc>
          <w:tcPr>
            <w:gridSpan w:val="9"/>
          </w:tcPr>
          <w:p>
            <w:pPr>
              <w:pStyle w:val="Compact"/>
              <w:jc w:val="left"/>
            </w:pPr>
            <w:r>
              <w:rPr>
                <w:i/>
                <w:iCs/>
              </w:rPr>
              <w:t xml:space="preserve">Verb–object number agreement</w:t>
            </w:r>
          </w:p>
        </w:tc>
      </w:tr>
      <w:tr>
        <w:tc>
          <w:tcPr/>
          <w:p>
            <w:pPr>
              <w:pStyle w:val="Compact"/>
              <w:jc w:val="left"/>
            </w:pPr>
            <w:r>
              <w:t xml:space="preserve">   200–500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1.001</w:t>
            </w:r>
          </w:p>
        </w:tc>
        <w:tc>
          <w:tcPr/>
          <w:p>
            <w:pPr>
              <w:pStyle w:val="Compact"/>
              <w:jc w:val="center"/>
            </w:pPr>
            <w:r>
              <w:t xml:space="preserve">3,957</w:t>
            </w:r>
          </w:p>
        </w:tc>
        <w:tc>
          <w:tcPr/>
          <w:p>
            <w:pPr>
              <w:pStyle w:val="Compact"/>
              <w:jc w:val="center"/>
            </w:pPr>
            <w:r>
              <w:t xml:space="preserve">⁠ ⁠7,261</w:t>
            </w:r>
          </w:p>
        </w:tc>
        <w:tc>
          <w:tcPr/>
          <w:p>
            <w:pPr>
              <w:pStyle w:val="Compact"/>
              <w:jc w:val="center"/>
            </w:pPr>
            <w:r>
              <w:t xml:space="preserve">1.001</w:t>
            </w:r>
          </w:p>
        </w:tc>
        <w:tc>
          <w:tcPr/>
          <w:p>
            <w:pPr>
              <w:pStyle w:val="Compact"/>
              <w:jc w:val="center"/>
            </w:pPr>
            <w:r>
              <w:t xml:space="preserve">3,133</w:t>
            </w:r>
          </w:p>
        </w:tc>
        <w:tc>
          <w:tcPr/>
          <w:p>
            <w:pPr>
              <w:pStyle w:val="Compact"/>
              <w:jc w:val="center"/>
            </w:pPr>
            <w:r>
              <w:t xml:space="preserve">6,795</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1.002</w:t>
            </w:r>
          </w:p>
        </w:tc>
        <w:tc>
          <w:tcPr/>
          <w:p>
            <w:pPr>
              <w:pStyle w:val="Compact"/>
              <w:jc w:val="center"/>
            </w:pPr>
            <w:r>
              <w:t xml:space="preserve">3,145</w:t>
            </w:r>
          </w:p>
        </w:tc>
        <w:tc>
          <w:tcPr/>
          <w:p>
            <w:pPr>
              <w:pStyle w:val="Compact"/>
              <w:jc w:val="center"/>
            </w:pPr>
            <w:r>
              <w:t xml:space="preserve">⁠ ⁠6,516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3,409</w:t>
            </w:r>
          </w:p>
        </w:tc>
        <w:tc>
          <w:tcPr/>
          <w:p>
            <w:pPr>
              <w:pStyle w:val="Compact"/>
              <w:jc w:val="center"/>
            </w:pPr>
            <w:r>
              <w:t xml:space="preserve">⁠ ⁠6,169</w:t>
            </w:r>
          </w:p>
        </w:tc>
        <w:tc>
          <w:tcPr/>
          <w:p>
            <w:pPr>
              <w:pStyle w:val="Compact"/>
              <w:jc w:val="center"/>
            </w:pPr>
            <w:r>
              <w:t xml:space="preserve">1.001</w:t>
            </w:r>
          </w:p>
        </w:tc>
        <w:tc>
          <w:tcPr/>
          <w:p>
            <w:pPr>
              <w:pStyle w:val="Compact"/>
              <w:jc w:val="center"/>
            </w:pPr>
            <w:r>
              <w:t xml:space="preserve">3,890</w:t>
            </w:r>
          </w:p>
        </w:tc>
        <w:tc>
          <w:tcPr/>
          <w:p>
            <w:pPr>
              <w:pStyle w:val="Compact"/>
              <w:jc w:val="center"/>
            </w:pPr>
            <w:r>
              <w:t xml:space="preserve">5,966</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1.001</w:t>
            </w:r>
          </w:p>
        </w:tc>
        <w:tc>
          <w:tcPr/>
          <w:p>
            <w:pPr>
              <w:pStyle w:val="Compact"/>
              <w:jc w:val="center"/>
            </w:pPr>
            <w:r>
              <w:t xml:space="preserve">3,762</w:t>
            </w:r>
          </w:p>
        </w:tc>
        <w:tc>
          <w:tcPr/>
          <w:p>
            <w:pPr>
              <w:pStyle w:val="Compact"/>
              <w:jc w:val="center"/>
            </w:pPr>
            <w:r>
              <w:t xml:space="preserve">⁠ ⁠7,636</w:t>
            </w:r>
          </w:p>
        </w:tc>
        <w:tc>
          <w:tcPr/>
          <w:p>
            <w:pPr>
              <w:pStyle w:val="Compact"/>
              <w:jc w:val="center"/>
            </w:pPr>
            <w:r>
              <w:t xml:space="preserve">1.001</w:t>
            </w:r>
          </w:p>
        </w:tc>
        <w:tc>
          <w:tcPr/>
          <w:p>
            <w:pPr>
              <w:pStyle w:val="Compact"/>
              <w:jc w:val="center"/>
            </w:pPr>
            <w:r>
              <w:t xml:space="preserve">3,157</w:t>
            </w:r>
          </w:p>
        </w:tc>
        <w:tc>
          <w:tcPr/>
          <w:p>
            <w:pPr>
              <w:pStyle w:val="Compact"/>
              <w:jc w:val="center"/>
            </w:pPr>
            <w:r>
              <w:t xml:space="preserve">7,538</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3,788</w:t>
            </w:r>
          </w:p>
        </w:tc>
        <w:tc>
          <w:tcPr/>
          <w:p>
            <w:pPr>
              <w:pStyle w:val="Compact"/>
              <w:jc w:val="center"/>
            </w:pPr>
            <w:r>
              <w:t xml:space="preserve">⁠ ⁠8,151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1.003</w:t>
            </w:r>
          </w:p>
        </w:tc>
        <w:tc>
          <w:tcPr/>
          <w:p>
            <w:pPr>
              <w:pStyle w:val="Compact"/>
              <w:jc w:val="center"/>
            </w:pPr>
            <w:r>
              <w:t xml:space="preserve">3,740</w:t>
            </w:r>
          </w:p>
        </w:tc>
        <w:tc>
          <w:tcPr/>
          <w:p>
            <w:pPr>
              <w:pStyle w:val="Compact"/>
              <w:jc w:val="center"/>
            </w:pPr>
            <w:r>
              <w:t xml:space="preserve">⁠ ⁠7,410</w:t>
            </w:r>
          </w:p>
        </w:tc>
        <w:tc>
          <w:tcPr/>
          <w:p>
            <w:pPr>
              <w:pStyle w:val="Compact"/>
              <w:jc w:val="center"/>
            </w:pPr>
            <w:r>
              <w:t xml:space="preserve">1.002</w:t>
            </w:r>
          </w:p>
        </w:tc>
        <w:tc>
          <w:tcPr/>
          <w:p>
            <w:pPr>
              <w:pStyle w:val="Compact"/>
              <w:jc w:val="center"/>
            </w:pPr>
            <w:r>
              <w:t xml:space="preserve">2,546</w:t>
            </w:r>
          </w:p>
        </w:tc>
        <w:tc>
          <w:tcPr/>
          <w:p>
            <w:pPr>
              <w:pStyle w:val="Compact"/>
              <w:jc w:val="center"/>
            </w:pPr>
            <w:r>
              <w:t xml:space="preserve">6,834</w:t>
            </w:r>
          </w:p>
        </w:tc>
      </w:tr>
      <w:tr>
        <w:tc>
          <w:tcPr/>
          <w:p>
            <w:pPr>
              <w:pStyle w:val="Compact"/>
              <w:jc w:val="left"/>
            </w:pPr>
            <w:r>
              <w:t xml:space="preserve">   300–600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1.002</w:t>
            </w:r>
          </w:p>
        </w:tc>
        <w:tc>
          <w:tcPr/>
          <w:p>
            <w:pPr>
              <w:pStyle w:val="Compact"/>
              <w:jc w:val="center"/>
            </w:pPr>
            <w:r>
              <w:t xml:space="preserve">4,004</w:t>
            </w:r>
          </w:p>
        </w:tc>
        <w:tc>
          <w:tcPr/>
          <w:p>
            <w:pPr>
              <w:pStyle w:val="Compact"/>
              <w:jc w:val="center"/>
            </w:pPr>
            <w:r>
              <w:t xml:space="preserve">⁠ ⁠7,754</w:t>
            </w:r>
          </w:p>
        </w:tc>
        <w:tc>
          <w:tcPr/>
          <w:p>
            <w:pPr>
              <w:pStyle w:val="Compact"/>
              <w:jc w:val="center"/>
            </w:pPr>
            <w:r>
              <w:t xml:space="preserve">1.002</w:t>
            </w:r>
          </w:p>
        </w:tc>
        <w:tc>
          <w:tcPr/>
          <w:p>
            <w:pPr>
              <w:pStyle w:val="Compact"/>
              <w:jc w:val="center"/>
            </w:pPr>
            <w:r>
              <w:t xml:space="preserve">3,846</w:t>
            </w:r>
          </w:p>
        </w:tc>
        <w:tc>
          <w:tcPr/>
          <w:p>
            <w:pPr>
              <w:pStyle w:val="Compact"/>
              <w:jc w:val="center"/>
            </w:pPr>
            <w:r>
              <w:t xml:space="preserve">5,466</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4,657</w:t>
            </w:r>
          </w:p>
        </w:tc>
        <w:tc>
          <w:tcPr/>
          <w:p>
            <w:pPr>
              <w:pStyle w:val="Compact"/>
              <w:jc w:val="center"/>
            </w:pPr>
            <w:r>
              <w:t xml:space="preserve">⁠ ⁠8,103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4,263</w:t>
            </w:r>
          </w:p>
        </w:tc>
        <w:tc>
          <w:tcPr/>
          <w:p>
            <w:pPr>
              <w:pStyle w:val="Compact"/>
              <w:jc w:val="center"/>
            </w:pPr>
            <w:r>
              <w:t xml:space="preserve">⁠ ⁠7,242</w:t>
            </w:r>
          </w:p>
        </w:tc>
        <w:tc>
          <w:tcPr/>
          <w:p>
            <w:pPr>
              <w:pStyle w:val="Compact"/>
              <w:jc w:val="center"/>
            </w:pPr>
            <w:r>
              <w:t xml:space="preserve">1.002</w:t>
            </w:r>
          </w:p>
        </w:tc>
        <w:tc>
          <w:tcPr/>
          <w:p>
            <w:pPr>
              <w:pStyle w:val="Compact"/>
              <w:jc w:val="center"/>
            </w:pPr>
            <w:r>
              <w:t xml:space="preserve">3,307</w:t>
            </w:r>
          </w:p>
        </w:tc>
        <w:tc>
          <w:tcPr/>
          <w:p>
            <w:pPr>
              <w:pStyle w:val="Compact"/>
              <w:jc w:val="center"/>
            </w:pPr>
            <w:r>
              <w:t xml:space="preserve">4,329</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1.001</w:t>
            </w:r>
          </w:p>
        </w:tc>
        <w:tc>
          <w:tcPr/>
          <w:p>
            <w:pPr>
              <w:pStyle w:val="Compact"/>
              <w:jc w:val="center"/>
            </w:pPr>
            <w:r>
              <w:t xml:space="preserve">3,491</w:t>
            </w:r>
          </w:p>
        </w:tc>
        <w:tc>
          <w:tcPr/>
          <w:p>
            <w:pPr>
              <w:pStyle w:val="Compact"/>
              <w:jc w:val="center"/>
            </w:pPr>
            <w:r>
              <w:t xml:space="preserve">⁠ ⁠6,895</w:t>
            </w:r>
          </w:p>
        </w:tc>
        <w:tc>
          <w:tcPr/>
          <w:p>
            <w:pPr>
              <w:pStyle w:val="Compact"/>
              <w:jc w:val="center"/>
            </w:pPr>
            <w:r>
              <w:t xml:space="preserve">1.001</w:t>
            </w:r>
          </w:p>
        </w:tc>
        <w:tc>
          <w:tcPr/>
          <w:p>
            <w:pPr>
              <w:pStyle w:val="Compact"/>
              <w:jc w:val="center"/>
            </w:pPr>
            <w:r>
              <w:t xml:space="preserve">3,561</w:t>
            </w:r>
          </w:p>
        </w:tc>
        <w:tc>
          <w:tcPr/>
          <w:p>
            <w:pPr>
              <w:pStyle w:val="Compact"/>
              <w:jc w:val="center"/>
            </w:pPr>
            <w:r>
              <w:t xml:space="preserve">7,869</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4,950</w:t>
            </w:r>
          </w:p>
        </w:tc>
        <w:tc>
          <w:tcPr/>
          <w:p>
            <w:pPr>
              <w:pStyle w:val="Compact"/>
              <w:jc w:val="center"/>
            </w:pPr>
            <w:r>
              <w:t xml:space="preserve">10,506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1.001</w:t>
            </w:r>
          </w:p>
        </w:tc>
        <w:tc>
          <w:tcPr/>
          <w:p>
            <w:pPr>
              <w:pStyle w:val="Compact"/>
              <w:jc w:val="center"/>
            </w:pPr>
            <w:r>
              <w:t xml:space="preserve">3,576</w:t>
            </w:r>
          </w:p>
        </w:tc>
        <w:tc>
          <w:tcPr/>
          <w:p>
            <w:pPr>
              <w:pStyle w:val="Compact"/>
              <w:jc w:val="center"/>
            </w:pPr>
            <w:r>
              <w:t xml:space="preserve">⁠ ⁠7,750</w:t>
            </w:r>
          </w:p>
        </w:tc>
        <w:tc>
          <w:tcPr/>
          <w:p>
            <w:pPr>
              <w:pStyle w:val="Compact"/>
              <w:jc w:val="center"/>
            </w:pPr>
            <w:r>
              <w:t xml:space="preserve">1.002</w:t>
            </w:r>
          </w:p>
        </w:tc>
        <w:tc>
          <w:tcPr/>
          <w:p>
            <w:pPr>
              <w:pStyle w:val="Compact"/>
              <w:jc w:val="center"/>
            </w:pPr>
            <w:r>
              <w:t xml:space="preserve">2,796</w:t>
            </w:r>
          </w:p>
        </w:tc>
        <w:tc>
          <w:tcPr/>
          <w:p>
            <w:pPr>
              <w:pStyle w:val="Compact"/>
              <w:jc w:val="center"/>
            </w:pPr>
            <w:r>
              <w:t xml:space="preserve">5,904</w:t>
            </w:r>
          </w:p>
        </w:tc>
      </w:tr>
      <w:tr>
        <w:tc>
          <w:tcPr/>
          <w:p>
            <w:pPr>
              <w:pStyle w:val="Compact"/>
              <w:jc w:val="left"/>
            </w:pPr>
            <w:r>
              <w:t xml:space="preserve">   400–900</w:t>
            </w:r>
          </w:p>
        </w:tc>
        <w:tc>
          <w:tcPr/>
          <w:p>
            <w:pPr>
              <w:pStyle w:val="Compact"/>
              <w:jc w:val="left"/>
            </w:pPr>
            <w:r>
              <w:t xml:space="preserve">Lateral</w:t>
            </w:r>
          </w:p>
        </w:tc>
        <w:tc>
          <w:tcPr/>
          <w:p>
            <w:pPr>
              <w:pStyle w:val="Compact"/>
              <w:jc w:val="left"/>
            </w:pPr>
            <w:r>
              <w:t xml:space="preserve">Informative prior</w:t>
            </w:r>
          </w:p>
        </w:tc>
        <w:tc>
          <w:tcPr/>
          <w:p>
            <w:pPr>
              <w:pStyle w:val="Compact"/>
              <w:jc w:val="center"/>
            </w:pPr>
            <w:r>
              <w:t xml:space="preserve">1.004</w:t>
            </w:r>
          </w:p>
        </w:tc>
        <w:tc>
          <w:tcPr/>
          <w:p>
            <w:pPr>
              <w:pStyle w:val="Compact"/>
              <w:jc w:val="center"/>
            </w:pPr>
            <w:r>
              <w:t xml:space="preserve">2,391</w:t>
            </w:r>
          </w:p>
        </w:tc>
        <w:tc>
          <w:tcPr/>
          <w:p>
            <w:pPr>
              <w:pStyle w:val="Compact"/>
              <w:jc w:val="center"/>
            </w:pPr>
            <w:r>
              <w:t xml:space="preserve">⁠ ⁠4,020</w:t>
            </w:r>
          </w:p>
        </w:tc>
        <w:tc>
          <w:tcPr/>
          <w:p>
            <w:pPr>
              <w:pStyle w:val="Compact"/>
              <w:jc w:val="center"/>
            </w:pPr>
            <w:r>
              <w:t xml:space="preserve">1.001</w:t>
            </w:r>
          </w:p>
        </w:tc>
        <w:tc>
          <w:tcPr/>
          <w:p>
            <w:pPr>
              <w:pStyle w:val="Compact"/>
              <w:jc w:val="center"/>
            </w:pPr>
            <w:r>
              <w:t xml:space="preserve">2,390</w:t>
            </w:r>
          </w:p>
        </w:tc>
        <w:tc>
          <w:tcPr/>
          <w:p>
            <w:pPr>
              <w:pStyle w:val="Compact"/>
              <w:jc w:val="center"/>
            </w:pPr>
            <w:r>
              <w:t xml:space="preserve">3,990</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1.001</w:t>
            </w:r>
          </w:p>
        </w:tc>
        <w:tc>
          <w:tcPr/>
          <w:p>
            <w:pPr>
              <w:pStyle w:val="Compact"/>
              <w:jc w:val="center"/>
            </w:pPr>
            <w:r>
              <w:t xml:space="preserve">3,183</w:t>
            </w:r>
          </w:p>
        </w:tc>
        <w:tc>
          <w:tcPr/>
          <w:p>
            <w:pPr>
              <w:pStyle w:val="Compact"/>
              <w:jc w:val="center"/>
            </w:pPr>
            <w:r>
              <w:t xml:space="preserve">⁠ ⁠7,474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1.002</w:t>
            </w:r>
          </w:p>
        </w:tc>
        <w:tc>
          <w:tcPr/>
          <w:p>
            <w:pPr>
              <w:pStyle w:val="Compact"/>
              <w:jc w:val="center"/>
            </w:pPr>
            <w:r>
              <w:t xml:space="preserve">2,136</w:t>
            </w:r>
          </w:p>
        </w:tc>
        <w:tc>
          <w:tcPr/>
          <w:p>
            <w:pPr>
              <w:pStyle w:val="Compact"/>
              <w:jc w:val="center"/>
            </w:pPr>
            <w:r>
              <w:t xml:space="preserve">⁠ ⁠3,960</w:t>
            </w:r>
          </w:p>
        </w:tc>
        <w:tc>
          <w:tcPr/>
          <w:p>
            <w:pPr>
              <w:pStyle w:val="Compact"/>
              <w:jc w:val="center"/>
            </w:pPr>
            <w:r>
              <w:t xml:space="preserve">1.001</w:t>
            </w:r>
          </w:p>
        </w:tc>
        <w:tc>
          <w:tcPr/>
          <w:p>
            <w:pPr>
              <w:pStyle w:val="Compact"/>
              <w:jc w:val="center"/>
            </w:pPr>
            <w:r>
              <w:t xml:space="preserve">3,150</w:t>
            </w:r>
          </w:p>
        </w:tc>
        <w:tc>
          <w:tcPr/>
          <w:p>
            <w:pPr>
              <w:pStyle w:val="Compact"/>
              <w:jc w:val="center"/>
            </w:pPr>
            <w:r>
              <w:t xml:space="preserve">6,315</w:t>
            </w:r>
          </w:p>
        </w:tc>
      </w:tr>
      <w:tr>
        <w:tc>
          <w:tcPr/>
          <w:p>
            <w:pPr>
              <w:pStyle w:val="Compact"/>
            </w:pPr>
          </w:p>
        </w:tc>
        <w:tc>
          <w:tcPr/>
          <w:p>
            <w:pPr>
              <w:pStyle w:val="Compact"/>
              <w:jc w:val="left"/>
            </w:pPr>
            <w:r>
              <w:t xml:space="preserve">Midline</w:t>
            </w:r>
          </w:p>
        </w:tc>
        <w:tc>
          <w:tcPr/>
          <w:p>
            <w:pPr>
              <w:pStyle w:val="Compact"/>
              <w:jc w:val="left"/>
            </w:pPr>
            <w:r>
              <w:t xml:space="preserve">Informative prior</w:t>
            </w:r>
          </w:p>
        </w:tc>
        <w:tc>
          <w:tcPr/>
          <w:p>
            <w:pPr>
              <w:pStyle w:val="Compact"/>
              <w:jc w:val="center"/>
            </w:pPr>
            <w:r>
              <w:t xml:space="preserve">1.001</w:t>
            </w:r>
          </w:p>
        </w:tc>
        <w:tc>
          <w:tcPr/>
          <w:p>
            <w:pPr>
              <w:pStyle w:val="Compact"/>
              <w:jc w:val="center"/>
            </w:pPr>
            <w:r>
              <w:t xml:space="preserve">2,503</w:t>
            </w:r>
          </w:p>
        </w:tc>
        <w:tc>
          <w:tcPr/>
          <w:p>
            <w:pPr>
              <w:pStyle w:val="Compact"/>
              <w:jc w:val="center"/>
            </w:pPr>
            <w:r>
              <w:t xml:space="preserve">⁠ ⁠6,448</w:t>
            </w:r>
          </w:p>
        </w:tc>
        <w:tc>
          <w:tcPr/>
          <w:p>
            <w:pPr>
              <w:pStyle w:val="Compact"/>
              <w:jc w:val="center"/>
            </w:pPr>
            <w:r>
              <w:t xml:space="preserve">1.002</w:t>
            </w:r>
          </w:p>
        </w:tc>
        <w:tc>
          <w:tcPr/>
          <w:p>
            <w:pPr>
              <w:pStyle w:val="Compact"/>
              <w:jc w:val="center"/>
            </w:pPr>
            <w:r>
              <w:t xml:space="preserve">1,949</w:t>
            </w:r>
          </w:p>
        </w:tc>
        <w:tc>
          <w:tcPr/>
          <w:p>
            <w:pPr>
              <w:pStyle w:val="Compact"/>
              <w:jc w:val="center"/>
            </w:pPr>
            <w:r>
              <w:t xml:space="preserve">4,476</w:t>
            </w:r>
          </w:p>
        </w:tc>
      </w:tr>
      <w:tr>
        <w:tc>
          <w:tcPr/>
          <w:p>
            <w:pPr>
              <w:pStyle w:val="Compact"/>
            </w:pPr>
          </w:p>
        </w:tc>
        <w:tc>
          <w:tcPr/>
          <w:p>
            <w:pPr>
              <w:pStyle w:val="Compact"/>
            </w:pPr>
          </w:p>
        </w:tc>
        <w:tc>
          <w:tcPr/>
          <w:p>
            <w:pPr>
              <w:pStyle w:val="Compact"/>
              <w:jc w:val="left"/>
            </w:pPr>
            <w:r>
              <w:t xml:space="preserve">Informative prior, reprocessed excluded</w:t>
            </w:r>
          </w:p>
        </w:tc>
        <w:tc>
          <w:tcPr/>
          <w:p>
            <w:pPr>
              <w:pStyle w:val="Compact"/>
              <w:jc w:val="center"/>
            </w:pPr>
            <w:r>
              <w:t xml:space="preserve">1.002</w:t>
            </w:r>
          </w:p>
        </w:tc>
        <w:tc>
          <w:tcPr/>
          <w:p>
            <w:pPr>
              <w:pStyle w:val="Compact"/>
              <w:jc w:val="center"/>
            </w:pPr>
            <w:r>
              <w:t xml:space="preserve">2,201</w:t>
            </w:r>
          </w:p>
        </w:tc>
        <w:tc>
          <w:tcPr/>
          <w:p>
            <w:pPr>
              <w:pStyle w:val="Compact"/>
              <w:jc w:val="center"/>
            </w:pPr>
            <w:r>
              <w:t xml:space="preserve">⁠ ⁠5,005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left"/>
            </w:pPr>
            <w:r>
              <w:t xml:space="preserve">Weak prior</w:t>
            </w:r>
          </w:p>
        </w:tc>
        <w:tc>
          <w:tcPr/>
          <w:p>
            <w:pPr>
              <w:pStyle w:val="Compact"/>
              <w:jc w:val="center"/>
            </w:pPr>
            <w:r>
              <w:t xml:space="preserve">1.002</w:t>
            </w:r>
          </w:p>
        </w:tc>
        <w:tc>
          <w:tcPr/>
          <w:p>
            <w:pPr>
              <w:pStyle w:val="Compact"/>
              <w:jc w:val="center"/>
            </w:pPr>
            <w:r>
              <w:t xml:space="preserve">2,552</w:t>
            </w:r>
          </w:p>
        </w:tc>
        <w:tc>
          <w:tcPr/>
          <w:p>
            <w:pPr>
              <w:pStyle w:val="Compact"/>
              <w:jc w:val="center"/>
            </w:pPr>
            <w:r>
              <w:t xml:space="preserve">⁠ ⁠6,572</w:t>
            </w:r>
          </w:p>
        </w:tc>
        <w:tc>
          <w:tcPr/>
          <w:p>
            <w:pPr>
              <w:pStyle w:val="Compact"/>
              <w:jc w:val="center"/>
            </w:pPr>
            <w:r>
              <w:t xml:space="preserve">1.002</w:t>
            </w:r>
          </w:p>
        </w:tc>
        <w:tc>
          <w:tcPr/>
          <w:p>
            <w:pPr>
              <w:pStyle w:val="Compact"/>
              <w:jc w:val="center"/>
            </w:pPr>
            <w:r>
              <w:t xml:space="preserve">2,541</w:t>
            </w:r>
          </w:p>
        </w:tc>
        <w:tc>
          <w:tcPr/>
          <w:p>
            <w:pPr>
              <w:pStyle w:val="Compact"/>
              <w:jc w:val="center"/>
            </w:pPr>
            <w:r>
              <w:t xml:space="preserve">5,651</w:t>
            </w:r>
          </w:p>
        </w:tc>
      </w:tr>
    </w:tbl>
    <w:bookmarkEnd w:id="414"/>
    <w:p>
      <w:pPr>
        <w:pStyle w:val="FigureNote"/>
      </w:pPr>
      <w:r>
        <w:rPr>
          <w:i/>
          <w:iCs/>
        </w:rPr>
        <w:t xml:space="preserve">Note</w:t>
      </w:r>
      <w:r>
        <w:t xml:space="preserve">. Maximal structure = the reported by-participant and by-item random-effect structure; Base structure = the same without the by-item grammaticality slope. Informative prior = the reported priors; Weak prior = the weakly informative baseline; Retention-free = the refit that frees the Session-6 step from the training trend (informative priors). Reprocessed excluded = the robustness refit that leaves out the nine reprocessed Session 3 recordings and the two recovered records.</w:t>
      </w:r>
      <w:r>
        <w:t xml:space="preserve"> </w:t>
      </w:r>
      <m:oMath>
        <m:acc>
          <m:accPr>
            <m:chr m:val="̂"/>
          </m:accPr>
          <m:e>
            <m:r>
              <m:t>R</m:t>
            </m:r>
          </m:e>
        </m:acc>
      </m:oMath>
      <w:r>
        <w:t xml:space="preserve"> </w:t>
      </w:r>
      <w:r>
        <w:t xml:space="preserve">= largest rank-normalised</w:t>
      </w:r>
      <w:r>
        <w:t xml:space="preserve"> </w:t>
      </w:r>
      <m:oMath>
        <m:acc>
          <m:accPr>
            <m:chr m:val="̂"/>
          </m:accPr>
          <m:e>
            <m:r>
              <m:t>R</m:t>
            </m:r>
          </m:e>
        </m:acc>
      </m:oMath>
      <w:r>
        <w:t xml:space="preserve">; Bulk and Tail = smallest bulk and tail effective sample size (ESS), each over all parameters of the model.</w:t>
      </w:r>
      <w:r>
        <w:t xml:space="preserve"> </w:t>
      </w:r>
      <m:oMath>
        <m:acc>
          <m:accPr>
            <m:chr m:val="̂"/>
          </m:accPr>
          <m:e>
            <m:r>
              <m:t>R</m:t>
            </m:r>
          </m:e>
        </m:acc>
      </m:oMath>
      <w:r>
        <w:t xml:space="preserve"> </w:t>
      </w:r>
      <w:r>
        <w:t xml:space="preserve">is rounded to three decimals; the criteria (</w:t>
      </w:r>
      <m:oMath>
        <m:acc>
          <m:accPr>
            <m:chr m:val="̂"/>
          </m:accPr>
          <m:e>
            <m:r>
              <m:t>R</m:t>
            </m:r>
          </m:e>
        </m:acc>
      </m:oMath>
      <w:r>
        <w:t xml:space="preserve"> </w:t>
      </w:r>
      <w:r>
        <w:t xml:space="preserve">&lt; 1.01, both ESS &gt; 400, no divergent transitions) were applied before rounding. An em dash marks a fit whose diagnostics are not yet available.</w:t>
      </w:r>
    </w:p>
    <w:p>
      <w:pPr>
        <w:pStyle w:val="BodyText"/>
      </w:pPr>
      <w:r>
        <w:t xml:space="preserve"> </w:t>
      </w:r>
    </w:p>
    <w:bookmarkStart w:id="415" w:name="tbl-convergence-accuracy"/>
    <w:p>
      <w:pPr>
        <w:pStyle w:val="FigureTitle"/>
      </w:pPr>
      <w:r>
        <w:t xml:space="preserve">Table D2</w:t>
      </w:r>
    </w:p>
    <w:p>
      <w:pPr>
        <w:pStyle w:val="Caption"/>
      </w:pPr>
      <w:r>
        <w:t xml:space="preserve">Convergence Diagnostics for the Judgement-Accuracy Models</w:t>
      </w:r>
    </w:p>
    <w:tbl>
      <w:tblPr>
        <w:tblStyle w:val="Table"/>
        <w:tblW w:type="pct" w:w="4400"/>
        <w:tblLayout w:type="fixed"/>
        <w:tblLook w:firstRow="1" w:lastRow="0" w:firstColumn="0" w:lastColumn="0" w:noHBand="0" w:noVBand="0" w:val="0020"/>
      </w:tblPr>
      <w:tblGrid>
        <w:gridCol w:w="4593"/>
        <w:gridCol w:w="792"/>
        <w:gridCol w:w="792"/>
        <w:gridCol w:w="792"/>
      </w:tblGrid>
      <w:tr>
        <w:trPr>
          <w:tblHeader w:val="on"/>
        </w:trPr>
        <w:tc>
          <w:tcPr/>
          <w:p>
            <w:pPr>
              <w:pStyle w:val="Compact"/>
            </w:pPr>
          </w:p>
        </w:tc>
        <w:tc>
          <w:tcPr/>
          <w:p>
            <w:pPr>
              <w:pStyle w:val="Compact"/>
            </w:pPr>
          </w:p>
        </w:tc>
        <w:tc>
          <w:tcPr>
            <w:gridSpan w:val="2"/>
          </w:tcPr>
          <w:p>
            <w:pPr>
              <w:pStyle w:val="Compact"/>
              <w:jc w:val="center"/>
            </w:pPr>
            <w:r>
              <w:t xml:space="preserve">ESS</w:t>
            </w:r>
          </w:p>
        </w:tc>
      </w:tr>
      <w:tr>
        <w:trPr>
          <w:tblHeader w:val="on"/>
        </w:trPr>
        <w:tc>
          <w:tcPr/>
          <w:p>
            <w:pPr>
              <w:pStyle w:val="Compact"/>
              <w:jc w:val="left"/>
            </w:pPr>
            <w:r>
              <w:t xml:space="preserve">Fit</w:t>
            </w:r>
          </w:p>
        </w:tc>
        <w:tc>
          <w:tcPr/>
          <w:p>
            <w:pPr>
              <w:pStyle w:val="Compact"/>
              <w:jc w:val="center"/>
            </w:pPr>
            <m:oMath>
              <m:acc>
                <m:accPr>
                  <m:chr m:val="̂"/>
                </m:accPr>
                <m:e>
                  <m:r>
                    <m:t>R</m:t>
                  </m:r>
                </m:e>
              </m:acc>
            </m:oMath>
            <w:r>
              <w:t xml:space="preserve">​</w:t>
            </w:r>
          </w:p>
        </w:tc>
        <w:tc>
          <w:tcPr/>
          <w:p>
            <w:pPr>
              <w:pStyle w:val="Compact"/>
              <w:jc w:val="center"/>
            </w:pPr>
            <w:r>
              <w:t xml:space="preserve">Bulk</w:t>
            </w:r>
          </w:p>
        </w:tc>
        <w:tc>
          <w:tcPr/>
          <w:p>
            <w:pPr>
              <w:pStyle w:val="Compact"/>
              <w:jc w:val="center"/>
            </w:pPr>
            <w:r>
              <w:t xml:space="preserve">Tail</w:t>
            </w:r>
          </w:p>
        </w:tc>
      </w:tr>
      <w:tr>
        <w:tc>
          <w:tcPr>
            <w:gridSpan w:val="4"/>
          </w:tcPr>
          <w:p>
            <w:pPr>
              <w:pStyle w:val="Compact"/>
              <w:jc w:val="left"/>
            </w:pPr>
            <w:r>
              <w:rPr>
                <w:i/>
                <w:iCs/>
              </w:rPr>
              <w:t xml:space="preserve">Gender agreement</w:t>
            </w:r>
          </w:p>
        </w:tc>
      </w:tr>
      <w:tr>
        <w:tc>
          <w:tcPr/>
          <w:p>
            <w:pPr>
              <w:pStyle w:val="Compact"/>
              <w:jc w:val="left"/>
            </w:pPr>
            <w:r>
              <w:t xml:space="preserve">   Informative prior</w:t>
            </w:r>
          </w:p>
        </w:tc>
        <w:tc>
          <w:tcPr/>
          <w:p>
            <w:pPr>
              <w:pStyle w:val="Compact"/>
              <w:jc w:val="center"/>
            </w:pPr>
            <w:r>
              <w:t xml:space="preserve">1.001</w:t>
            </w:r>
          </w:p>
        </w:tc>
        <w:tc>
          <w:tcPr/>
          <w:p>
            <w:pPr>
              <w:pStyle w:val="Compact"/>
              <w:jc w:val="center"/>
            </w:pPr>
            <w:r>
              <w:t xml:space="preserve">3,538</w:t>
            </w:r>
          </w:p>
        </w:tc>
        <w:tc>
          <w:tcPr/>
          <w:p>
            <w:pPr>
              <w:pStyle w:val="Compact"/>
              <w:jc w:val="center"/>
            </w:pPr>
            <w:r>
              <w:t xml:space="preserve">⁠ ⁠7,350</w:t>
            </w:r>
          </w:p>
        </w:tc>
      </w:tr>
      <w:tr>
        <w:tc>
          <w:tcPr/>
          <w:p>
            <w:pPr>
              <w:pStyle w:val="Compact"/>
              <w:jc w:val="left"/>
            </w:pPr>
            <w:r>
              <w:t xml:space="preserve">   Weak prior</w:t>
            </w:r>
          </w:p>
        </w:tc>
        <w:tc>
          <w:tcPr/>
          <w:p>
            <w:pPr>
              <w:pStyle w:val="Compact"/>
              <w:jc w:val="center"/>
            </w:pPr>
            <w:r>
              <w:t xml:space="preserve">1.002</w:t>
            </w:r>
          </w:p>
        </w:tc>
        <w:tc>
          <w:tcPr/>
          <w:p>
            <w:pPr>
              <w:pStyle w:val="Compact"/>
              <w:jc w:val="center"/>
            </w:pPr>
            <w:r>
              <w:t xml:space="preserve">3,621</w:t>
            </w:r>
          </w:p>
        </w:tc>
        <w:tc>
          <w:tcPr/>
          <w:p>
            <w:pPr>
              <w:pStyle w:val="Compact"/>
              <w:jc w:val="center"/>
            </w:pPr>
            <w:r>
              <w:t xml:space="preserve">⁠ ⁠6,624</w:t>
            </w:r>
          </w:p>
        </w:tc>
      </w:tr>
      <w:tr>
        <w:tc>
          <w:tcPr/>
          <w:p>
            <w:pPr>
              <w:pStyle w:val="Compact"/>
              <w:jc w:val="left"/>
            </w:pPr>
            <w:r>
              <w:t xml:space="preserve">   Grammaticality × session slope added</w:t>
            </w:r>
          </w:p>
        </w:tc>
        <w:tc>
          <w:tcPr/>
          <w:p>
            <w:pPr>
              <w:pStyle w:val="Compact"/>
              <w:jc w:val="center"/>
            </w:pPr>
            <w:r>
              <w:t xml:space="preserve">1.003</w:t>
            </w:r>
          </w:p>
        </w:tc>
        <w:tc>
          <w:tcPr/>
          <w:p>
            <w:pPr>
              <w:pStyle w:val="Compact"/>
              <w:jc w:val="center"/>
            </w:pPr>
            <w:r>
              <w:t xml:space="preserve">2,689</w:t>
            </w:r>
          </w:p>
        </w:tc>
        <w:tc>
          <w:tcPr/>
          <w:p>
            <w:pPr>
              <w:pStyle w:val="Compact"/>
              <w:jc w:val="center"/>
            </w:pPr>
            <w:r>
              <w:t xml:space="preserve">⁠ ⁠6,001</w:t>
            </w:r>
          </w:p>
        </w:tc>
      </w:tr>
      <w:tr>
        <w:tc>
          <w:tcPr/>
          <w:p>
            <w:pPr>
              <w:pStyle w:val="Compact"/>
              <w:jc w:val="left"/>
            </w:pPr>
            <w:r>
              <w:t xml:space="preserve">   Language-diversity covariate added</w:t>
            </w:r>
          </w:p>
        </w:tc>
        <w:tc>
          <w:tcPr/>
          <w:p>
            <w:pPr>
              <w:pStyle w:val="Compact"/>
              <w:jc w:val="center"/>
            </w:pPr>
            <w:r>
              <w:t xml:space="preserve">1.001</w:t>
            </w:r>
          </w:p>
        </w:tc>
        <w:tc>
          <w:tcPr/>
          <w:p>
            <w:pPr>
              <w:pStyle w:val="Compact"/>
              <w:jc w:val="center"/>
            </w:pPr>
            <w:r>
              <w:t xml:space="preserve">4,002</w:t>
            </w:r>
          </w:p>
        </w:tc>
        <w:tc>
          <w:tcPr/>
          <w:p>
            <w:pPr>
              <w:pStyle w:val="Compact"/>
              <w:jc w:val="center"/>
            </w:pPr>
            <w:r>
              <w:t xml:space="preserve">⁠ ⁠7,151</w:t>
            </w:r>
          </w:p>
        </w:tc>
      </w:tr>
      <w:tr>
        <w:tc>
          <w:tcPr/>
          <w:p>
            <w:pPr>
              <w:pStyle w:val="Compact"/>
              <w:jc w:val="left"/>
            </w:pPr>
            <w:r>
              <w:t xml:space="preserve">   By-item term added</w:t>
            </w:r>
          </w:p>
        </w:tc>
        <w:tc>
          <w:tcPr/>
          <w:p>
            <w:pPr>
              <w:pStyle w:val="Compact"/>
              <w:jc w:val="center"/>
            </w:pPr>
            <w:r>
              <w:t xml:space="preserve">1.001</w:t>
            </w:r>
          </w:p>
        </w:tc>
        <w:tc>
          <w:tcPr/>
          <w:p>
            <w:pPr>
              <w:pStyle w:val="Compact"/>
              <w:jc w:val="center"/>
            </w:pPr>
            <w:r>
              <w:t xml:space="preserve">2,721</w:t>
            </w:r>
          </w:p>
        </w:tc>
        <w:tc>
          <w:tcPr/>
          <w:p>
            <w:pPr>
              <w:pStyle w:val="Compact"/>
              <w:jc w:val="center"/>
            </w:pPr>
            <w:r>
              <w:t xml:space="preserve">⁠ ⁠5,249</w:t>
            </w:r>
          </w:p>
        </w:tc>
      </w:tr>
      <w:tr>
        <w:tc>
          <w:tcPr/>
          <w:p>
            <w:pPr>
              <w:pStyle w:val="Compact"/>
              <w:jc w:val="left"/>
            </w:pPr>
            <w:r>
              <w:t xml:space="preserve">   Reaction-time screen applied</w:t>
            </w:r>
          </w:p>
        </w:tc>
        <w:tc>
          <w:tcPr/>
          <w:p>
            <w:pPr>
              <w:pStyle w:val="Compact"/>
              <w:jc w:val="center"/>
            </w:pPr>
            <w:r>
              <w:t xml:space="preserve">1.002</w:t>
            </w:r>
          </w:p>
        </w:tc>
        <w:tc>
          <w:tcPr/>
          <w:p>
            <w:pPr>
              <w:pStyle w:val="Compact"/>
              <w:jc w:val="center"/>
            </w:pPr>
            <w:r>
              <w:t xml:space="preserve">3,239</w:t>
            </w:r>
          </w:p>
        </w:tc>
        <w:tc>
          <w:tcPr/>
          <w:p>
            <w:pPr>
              <w:pStyle w:val="Compact"/>
              <w:jc w:val="center"/>
            </w:pPr>
            <w:r>
              <w:t xml:space="preserve">⁠ ⁠6,727</w:t>
            </w:r>
          </w:p>
        </w:tc>
      </w:tr>
      <w:tr>
        <w:tc>
          <w:tcPr/>
          <w:p>
            <w:pPr>
              <w:pStyle w:val="Compact"/>
              <w:jc w:val="left"/>
            </w:pPr>
            <w:r>
              <w:t xml:space="preserve">   Grammaticality × session slope and by-item term added</w:t>
            </w:r>
          </w:p>
        </w:tc>
        <w:tc>
          <w:tcPr/>
          <w:p>
            <w:pPr>
              <w:pStyle w:val="Compact"/>
              <w:jc w:val="center"/>
            </w:pPr>
            <w:r>
              <w:t xml:space="preserve">1.006</w:t>
            </w:r>
          </w:p>
        </w:tc>
        <w:tc>
          <w:tcPr/>
          <w:p>
            <w:pPr>
              <w:pStyle w:val="Compact"/>
              <w:jc w:val="center"/>
            </w:pPr>
            <w:r>
              <w:t xml:space="preserve">2,516</w:t>
            </w:r>
          </w:p>
        </w:tc>
        <w:tc>
          <w:tcPr/>
          <w:p>
            <w:pPr>
              <w:pStyle w:val="Compact"/>
              <w:jc w:val="center"/>
            </w:pPr>
            <w:r>
              <w:t xml:space="preserve">⁠ ⁠4,960</w:t>
            </w:r>
          </w:p>
        </w:tc>
      </w:tr>
      <w:tr>
        <w:tc>
          <w:tcPr>
            <w:gridSpan w:val="4"/>
          </w:tcPr>
          <w:p>
            <w:pPr>
              <w:pStyle w:val="Compact"/>
              <w:jc w:val="left"/>
            </w:pPr>
            <w:r>
              <w:rPr>
                <w:i/>
                <w:iCs/>
              </w:rPr>
              <w:t xml:space="preserve">Differential object marking</w:t>
            </w:r>
          </w:p>
        </w:tc>
      </w:tr>
      <w:tr>
        <w:tc>
          <w:tcPr/>
          <w:p>
            <w:pPr>
              <w:pStyle w:val="Compact"/>
              <w:jc w:val="left"/>
            </w:pPr>
            <w:r>
              <w:t xml:space="preserve">   Informative prior</w:t>
            </w:r>
          </w:p>
        </w:tc>
        <w:tc>
          <w:tcPr/>
          <w:p>
            <w:pPr>
              <w:pStyle w:val="Compact"/>
              <w:jc w:val="center"/>
            </w:pPr>
            <w:r>
              <w:t xml:space="preserve">1.001</w:t>
            </w:r>
          </w:p>
        </w:tc>
        <w:tc>
          <w:tcPr/>
          <w:p>
            <w:pPr>
              <w:pStyle w:val="Compact"/>
              <w:jc w:val="center"/>
            </w:pPr>
            <w:r>
              <w:t xml:space="preserve">5,270</w:t>
            </w:r>
          </w:p>
        </w:tc>
        <w:tc>
          <w:tcPr/>
          <w:p>
            <w:pPr>
              <w:pStyle w:val="Compact"/>
              <w:jc w:val="center"/>
            </w:pPr>
            <w:r>
              <w:t xml:space="preserve">⁠ ⁠8,365</w:t>
            </w:r>
          </w:p>
        </w:tc>
      </w:tr>
      <w:tr>
        <w:tc>
          <w:tcPr/>
          <w:p>
            <w:pPr>
              <w:pStyle w:val="Compact"/>
              <w:jc w:val="left"/>
            </w:pPr>
            <w:r>
              <w:t xml:space="preserve">   Weak prior</w:t>
            </w:r>
          </w:p>
        </w:tc>
        <w:tc>
          <w:tcPr/>
          <w:p>
            <w:pPr>
              <w:pStyle w:val="Compact"/>
              <w:jc w:val="center"/>
            </w:pPr>
            <w:r>
              <w:t xml:space="preserve">1.001</w:t>
            </w:r>
          </w:p>
        </w:tc>
        <w:tc>
          <w:tcPr/>
          <w:p>
            <w:pPr>
              <w:pStyle w:val="Compact"/>
              <w:jc w:val="center"/>
            </w:pPr>
            <w:r>
              <w:t xml:space="preserve">5,419</w:t>
            </w:r>
          </w:p>
        </w:tc>
        <w:tc>
          <w:tcPr/>
          <w:p>
            <w:pPr>
              <w:pStyle w:val="Compact"/>
              <w:jc w:val="center"/>
            </w:pPr>
            <w:r>
              <w:t xml:space="preserve">⁠ ⁠8,477</w:t>
            </w:r>
          </w:p>
        </w:tc>
      </w:tr>
      <w:tr>
        <w:tc>
          <w:tcPr/>
          <w:p>
            <w:pPr>
              <w:pStyle w:val="Compact"/>
              <w:jc w:val="left"/>
            </w:pPr>
            <w:r>
              <w:t xml:space="preserve">   Grammaticality × session slope added</w:t>
            </w:r>
          </w:p>
        </w:tc>
        <w:tc>
          <w:tcPr/>
          <w:p>
            <w:pPr>
              <w:pStyle w:val="Compact"/>
              <w:jc w:val="center"/>
            </w:pPr>
            <w:r>
              <w:t xml:space="preserve">1.001</w:t>
            </w:r>
          </w:p>
        </w:tc>
        <w:tc>
          <w:tcPr/>
          <w:p>
            <w:pPr>
              <w:pStyle w:val="Compact"/>
              <w:jc w:val="center"/>
            </w:pPr>
            <w:r>
              <w:t xml:space="preserve">6,636</w:t>
            </w:r>
          </w:p>
        </w:tc>
        <w:tc>
          <w:tcPr/>
          <w:p>
            <w:pPr>
              <w:pStyle w:val="Compact"/>
              <w:jc w:val="center"/>
            </w:pPr>
            <w:r>
              <w:t xml:space="preserve">11,292</w:t>
            </w:r>
          </w:p>
        </w:tc>
      </w:tr>
      <w:tr>
        <w:tc>
          <w:tcPr/>
          <w:p>
            <w:pPr>
              <w:pStyle w:val="Compact"/>
              <w:jc w:val="left"/>
            </w:pPr>
            <w:r>
              <w:t xml:space="preserve">   Language-diversity covariate added</w:t>
            </w:r>
          </w:p>
        </w:tc>
        <w:tc>
          <w:tcPr/>
          <w:p>
            <w:pPr>
              <w:pStyle w:val="Compact"/>
              <w:jc w:val="center"/>
            </w:pPr>
            <w:r>
              <w:t xml:space="preserve">1.001</w:t>
            </w:r>
          </w:p>
        </w:tc>
        <w:tc>
          <w:tcPr/>
          <w:p>
            <w:pPr>
              <w:pStyle w:val="Compact"/>
              <w:jc w:val="center"/>
            </w:pPr>
            <w:r>
              <w:t xml:space="preserve">6,190</w:t>
            </w:r>
          </w:p>
        </w:tc>
        <w:tc>
          <w:tcPr/>
          <w:p>
            <w:pPr>
              <w:pStyle w:val="Compact"/>
              <w:jc w:val="center"/>
            </w:pPr>
            <w:r>
              <w:t xml:space="preserve">11,800</w:t>
            </w:r>
          </w:p>
        </w:tc>
      </w:tr>
      <w:tr>
        <w:tc>
          <w:tcPr/>
          <w:p>
            <w:pPr>
              <w:pStyle w:val="Compact"/>
              <w:jc w:val="left"/>
            </w:pPr>
            <w:r>
              <w:t xml:space="preserve">   By-item term added</w:t>
            </w:r>
          </w:p>
        </w:tc>
        <w:tc>
          <w:tcPr/>
          <w:p>
            <w:pPr>
              <w:pStyle w:val="Compact"/>
              <w:jc w:val="center"/>
            </w:pPr>
            <w:r>
              <w:t xml:space="preserve">1.003</w:t>
            </w:r>
          </w:p>
        </w:tc>
        <w:tc>
          <w:tcPr/>
          <w:p>
            <w:pPr>
              <w:pStyle w:val="Compact"/>
              <w:jc w:val="center"/>
            </w:pPr>
            <w:r>
              <w:t xml:space="preserve">1,134</w:t>
            </w:r>
          </w:p>
        </w:tc>
        <w:tc>
          <w:tcPr/>
          <w:p>
            <w:pPr>
              <w:pStyle w:val="Compact"/>
              <w:jc w:val="center"/>
            </w:pPr>
            <w:r>
              <w:t xml:space="preserve">⁠ ⁠2,399</w:t>
            </w:r>
          </w:p>
        </w:tc>
      </w:tr>
      <w:tr>
        <w:tc>
          <w:tcPr/>
          <w:p>
            <w:pPr>
              <w:pStyle w:val="Compact"/>
              <w:jc w:val="left"/>
            </w:pPr>
            <w:r>
              <w:t xml:space="preserve">   Reaction-time screen applied</w:t>
            </w:r>
          </w:p>
        </w:tc>
        <w:tc>
          <w:tcPr/>
          <w:p>
            <w:pPr>
              <w:pStyle w:val="Compact"/>
              <w:jc w:val="center"/>
            </w:pPr>
            <w:r>
              <w:t xml:space="preserve">1.001</w:t>
            </w:r>
          </w:p>
        </w:tc>
        <w:tc>
          <w:tcPr/>
          <w:p>
            <w:pPr>
              <w:pStyle w:val="Compact"/>
              <w:jc w:val="center"/>
            </w:pPr>
            <w:r>
              <w:t xml:space="preserve">4,467</w:t>
            </w:r>
          </w:p>
        </w:tc>
        <w:tc>
          <w:tcPr/>
          <w:p>
            <w:pPr>
              <w:pStyle w:val="Compact"/>
              <w:jc w:val="center"/>
            </w:pPr>
            <w:r>
              <w:t xml:space="preserve">⁠ ⁠7,943</w:t>
            </w:r>
          </w:p>
        </w:tc>
      </w:tr>
      <w:tr>
        <w:tc>
          <w:tcPr/>
          <w:p>
            <w:pPr>
              <w:pStyle w:val="Compact"/>
              <w:jc w:val="left"/>
            </w:pPr>
            <w:r>
              <w:t xml:space="preserve">   Grammaticality × session slope and by-item term added</w:t>
            </w:r>
          </w:p>
        </w:tc>
        <w:tc>
          <w:tcPr/>
          <w:p>
            <w:pPr>
              <w:pStyle w:val="Compact"/>
              <w:jc w:val="center"/>
            </w:pPr>
            <w:r>
              <w:t xml:space="preserve">1.004</w:t>
            </w:r>
          </w:p>
        </w:tc>
        <w:tc>
          <w:tcPr/>
          <w:p>
            <w:pPr>
              <w:pStyle w:val="Compact"/>
              <w:jc w:val="center"/>
            </w:pPr>
            <w:r>
              <w:t xml:space="preserve">1,024</w:t>
            </w:r>
          </w:p>
        </w:tc>
        <w:tc>
          <w:tcPr/>
          <w:p>
            <w:pPr>
              <w:pStyle w:val="Compact"/>
              <w:jc w:val="center"/>
            </w:pPr>
            <w:r>
              <w:t xml:space="preserve">⁠ ⁠2,156</w:t>
            </w:r>
          </w:p>
        </w:tc>
      </w:tr>
      <w:tr>
        <w:tc>
          <w:tcPr>
            <w:gridSpan w:val="4"/>
          </w:tcPr>
          <w:p>
            <w:pPr>
              <w:pStyle w:val="Compact"/>
              <w:jc w:val="left"/>
            </w:pPr>
            <w:r>
              <w:rPr>
                <w:i/>
                <w:iCs/>
              </w:rPr>
              <w:t xml:space="preserve">Verb–object number agreement</w:t>
            </w:r>
          </w:p>
        </w:tc>
      </w:tr>
      <w:tr>
        <w:tc>
          <w:tcPr/>
          <w:p>
            <w:pPr>
              <w:pStyle w:val="Compact"/>
              <w:jc w:val="left"/>
            </w:pPr>
            <w:r>
              <w:t xml:space="preserve">   Informative prior</w:t>
            </w:r>
          </w:p>
        </w:tc>
        <w:tc>
          <w:tcPr/>
          <w:p>
            <w:pPr>
              <w:pStyle w:val="Compact"/>
              <w:jc w:val="center"/>
            </w:pPr>
            <w:r>
              <w:t xml:space="preserve">1.000</w:t>
            </w:r>
          </w:p>
        </w:tc>
        <w:tc>
          <w:tcPr/>
          <w:p>
            <w:pPr>
              <w:pStyle w:val="Compact"/>
              <w:jc w:val="center"/>
            </w:pPr>
            <w:r>
              <w:t xml:space="preserve">6,679</w:t>
            </w:r>
          </w:p>
        </w:tc>
        <w:tc>
          <w:tcPr/>
          <w:p>
            <w:pPr>
              <w:pStyle w:val="Compact"/>
              <w:jc w:val="center"/>
            </w:pPr>
            <w:r>
              <w:t xml:space="preserve">11,649</w:t>
            </w:r>
          </w:p>
        </w:tc>
      </w:tr>
      <w:tr>
        <w:tc>
          <w:tcPr/>
          <w:p>
            <w:pPr>
              <w:pStyle w:val="Compact"/>
              <w:jc w:val="left"/>
            </w:pPr>
            <w:r>
              <w:t xml:space="preserve">   Weak prior</w:t>
            </w:r>
          </w:p>
        </w:tc>
        <w:tc>
          <w:tcPr/>
          <w:p>
            <w:pPr>
              <w:pStyle w:val="Compact"/>
              <w:jc w:val="center"/>
            </w:pPr>
            <w:r>
              <w:t xml:space="preserve">1.001</w:t>
            </w:r>
          </w:p>
        </w:tc>
        <w:tc>
          <w:tcPr/>
          <w:p>
            <w:pPr>
              <w:pStyle w:val="Compact"/>
              <w:jc w:val="center"/>
            </w:pPr>
            <w:r>
              <w:t xml:space="preserve">6,496</w:t>
            </w:r>
          </w:p>
        </w:tc>
        <w:tc>
          <w:tcPr/>
          <w:p>
            <w:pPr>
              <w:pStyle w:val="Compact"/>
              <w:jc w:val="center"/>
            </w:pPr>
            <w:r>
              <w:t xml:space="preserve">11,858</w:t>
            </w:r>
          </w:p>
        </w:tc>
      </w:tr>
      <w:tr>
        <w:tc>
          <w:tcPr/>
          <w:p>
            <w:pPr>
              <w:pStyle w:val="Compact"/>
              <w:jc w:val="left"/>
            </w:pPr>
            <w:r>
              <w:t xml:space="preserve">   Grammaticality × session slope added</w:t>
            </w:r>
          </w:p>
        </w:tc>
        <w:tc>
          <w:tcPr/>
          <w:p>
            <w:pPr>
              <w:pStyle w:val="Compact"/>
              <w:jc w:val="center"/>
            </w:pPr>
            <w:r>
              <w:t xml:space="preserve">1.001</w:t>
            </w:r>
          </w:p>
        </w:tc>
        <w:tc>
          <w:tcPr/>
          <w:p>
            <w:pPr>
              <w:pStyle w:val="Compact"/>
              <w:jc w:val="center"/>
            </w:pPr>
            <w:r>
              <w:t xml:space="preserve">6,817</w:t>
            </w:r>
          </w:p>
        </w:tc>
        <w:tc>
          <w:tcPr/>
          <w:p>
            <w:pPr>
              <w:pStyle w:val="Compact"/>
              <w:jc w:val="center"/>
            </w:pPr>
            <w:r>
              <w:t xml:space="preserve">11,813</w:t>
            </w:r>
          </w:p>
        </w:tc>
      </w:tr>
      <w:tr>
        <w:tc>
          <w:tcPr/>
          <w:p>
            <w:pPr>
              <w:pStyle w:val="Compact"/>
              <w:jc w:val="left"/>
            </w:pPr>
            <w:r>
              <w:t xml:space="preserve">   Language-diversity covariate added</w:t>
            </w:r>
          </w:p>
        </w:tc>
        <w:tc>
          <w:tcPr/>
          <w:p>
            <w:pPr>
              <w:pStyle w:val="Compact"/>
              <w:jc w:val="center"/>
            </w:pPr>
            <w:r>
              <w:t xml:space="preserve">1.001</w:t>
            </w:r>
          </w:p>
        </w:tc>
        <w:tc>
          <w:tcPr/>
          <w:p>
            <w:pPr>
              <w:pStyle w:val="Compact"/>
              <w:jc w:val="center"/>
            </w:pPr>
            <w:r>
              <w:t xml:space="preserve">6,472</w:t>
            </w:r>
          </w:p>
        </w:tc>
        <w:tc>
          <w:tcPr/>
          <w:p>
            <w:pPr>
              <w:pStyle w:val="Compact"/>
              <w:jc w:val="center"/>
            </w:pPr>
            <w:r>
              <w:t xml:space="preserve">11,751</w:t>
            </w:r>
          </w:p>
        </w:tc>
      </w:tr>
      <w:tr>
        <w:tc>
          <w:tcPr/>
          <w:p>
            <w:pPr>
              <w:pStyle w:val="Compact"/>
              <w:jc w:val="left"/>
            </w:pPr>
            <w:r>
              <w:t xml:space="preserve">   By-item term added</w:t>
            </w:r>
          </w:p>
        </w:tc>
        <w:tc>
          <w:tcPr/>
          <w:p>
            <w:pPr>
              <w:pStyle w:val="Compact"/>
              <w:jc w:val="center"/>
            </w:pPr>
            <w:r>
              <w:t xml:space="preserve">1.002</w:t>
            </w:r>
          </w:p>
        </w:tc>
        <w:tc>
          <w:tcPr/>
          <w:p>
            <w:pPr>
              <w:pStyle w:val="Compact"/>
              <w:jc w:val="center"/>
            </w:pPr>
            <w:r>
              <w:t xml:space="preserve">3,534</w:t>
            </w:r>
          </w:p>
        </w:tc>
        <w:tc>
          <w:tcPr/>
          <w:p>
            <w:pPr>
              <w:pStyle w:val="Compact"/>
              <w:jc w:val="center"/>
            </w:pPr>
            <w:r>
              <w:t xml:space="preserve">⁠ ⁠7,225</w:t>
            </w:r>
          </w:p>
        </w:tc>
      </w:tr>
      <w:tr>
        <w:tc>
          <w:tcPr/>
          <w:p>
            <w:pPr>
              <w:pStyle w:val="Compact"/>
              <w:jc w:val="left"/>
            </w:pPr>
            <w:r>
              <w:t xml:space="preserve">   Reaction-time screen applied</w:t>
            </w:r>
          </w:p>
        </w:tc>
        <w:tc>
          <w:tcPr/>
          <w:p>
            <w:pPr>
              <w:pStyle w:val="Compact"/>
              <w:jc w:val="center"/>
            </w:pPr>
            <w:r>
              <w:t xml:space="preserve">1.001</w:t>
            </w:r>
          </w:p>
        </w:tc>
        <w:tc>
          <w:tcPr/>
          <w:p>
            <w:pPr>
              <w:pStyle w:val="Compact"/>
              <w:jc w:val="center"/>
            </w:pPr>
            <w:r>
              <w:t xml:space="preserve">5,884</w:t>
            </w:r>
          </w:p>
        </w:tc>
        <w:tc>
          <w:tcPr/>
          <w:p>
            <w:pPr>
              <w:pStyle w:val="Compact"/>
              <w:jc w:val="center"/>
            </w:pPr>
            <w:r>
              <w:t xml:space="preserve">10,443</w:t>
            </w:r>
          </w:p>
        </w:tc>
      </w:tr>
      <w:tr>
        <w:tc>
          <w:tcPr/>
          <w:p>
            <w:pPr>
              <w:pStyle w:val="Compact"/>
              <w:jc w:val="left"/>
            </w:pPr>
            <w:r>
              <w:t xml:space="preserve">   Grammaticality × session slope and by-item term added</w:t>
            </w:r>
          </w:p>
        </w:tc>
        <w:tc>
          <w:tcPr/>
          <w:p>
            <w:pPr>
              <w:pStyle w:val="Compact"/>
              <w:jc w:val="center"/>
            </w:pPr>
            <w:r>
              <w:t xml:space="preserve">1.002</w:t>
            </w:r>
          </w:p>
        </w:tc>
        <w:tc>
          <w:tcPr/>
          <w:p>
            <w:pPr>
              <w:pStyle w:val="Compact"/>
              <w:jc w:val="center"/>
            </w:pPr>
            <w:r>
              <w:t xml:space="preserve">3,432</w:t>
            </w:r>
          </w:p>
        </w:tc>
        <w:tc>
          <w:tcPr/>
          <w:p>
            <w:pPr>
              <w:pStyle w:val="Compact"/>
              <w:jc w:val="center"/>
            </w:pPr>
            <w:r>
              <w:t xml:space="preserve">⁠ ⁠6,983</w:t>
            </w:r>
          </w:p>
        </w:tc>
      </w:tr>
    </w:tbl>
    <w:bookmarkEnd w:id="415"/>
    <w:p>
      <w:pPr>
        <w:pStyle w:val="FigureNote"/>
      </w:pPr>
      <w:r>
        <w:rPr>
          <w:i/>
          <w:iCs/>
        </w:rPr>
        <w:t xml:space="preserve">Note</w:t>
      </w:r>
      <w:r>
        <w:t xml:space="preserve">. Informative prior = the reported model; Weak prior = the weakly informative baseline. The other refits, all under the informative priors, add a by-participant grammaticality × session slope, the LHQ3 Multilingual Language Diversity Score as a covariate, the crossed by-item term of the ERP models or both the slope and that term, or apply the reaction-time screen of the earlier preprocessing.</w:t>
      </w:r>
      <w:r>
        <w:t xml:space="preserve"> </w:t>
      </w:r>
      <m:oMath>
        <m:acc>
          <m:accPr>
            <m:chr m:val="̂"/>
          </m:accPr>
          <m:e>
            <m:r>
              <m:t>R</m:t>
            </m:r>
          </m:e>
        </m:acc>
      </m:oMath>
      <w:r>
        <w:t xml:space="preserve"> </w:t>
      </w:r>
      <w:r>
        <w:t xml:space="preserve">= largest rank-normalised</w:t>
      </w:r>
      <w:r>
        <w:t xml:space="preserve"> </w:t>
      </w:r>
      <m:oMath>
        <m:acc>
          <m:accPr>
            <m:chr m:val="̂"/>
          </m:accPr>
          <m:e>
            <m:r>
              <m:t>R</m:t>
            </m:r>
          </m:e>
        </m:acc>
      </m:oMath>
      <w:r>
        <w:t xml:space="preserve">; Bulk and Tail = smallest bulk and tail effective sample size (ESS), each over all parameters of the model.</w:t>
      </w:r>
      <w:r>
        <w:t xml:space="preserve"> </w:t>
      </w:r>
      <m:oMath>
        <m:acc>
          <m:accPr>
            <m:chr m:val="̂"/>
          </m:accPr>
          <m:e>
            <m:r>
              <m:t>R</m:t>
            </m:r>
          </m:e>
        </m:acc>
      </m:oMath>
      <w:r>
        <w:t xml:space="preserve"> </w:t>
      </w:r>
      <w:r>
        <w:t xml:space="preserve">is rounded to three decimals; the criteria (</w:t>
      </w:r>
      <m:oMath>
        <m:acc>
          <m:accPr>
            <m:chr m:val="̂"/>
          </m:accPr>
          <m:e>
            <m:r>
              <m:t>R</m:t>
            </m:r>
          </m:e>
        </m:acc>
      </m:oMath>
      <w:r>
        <w:t xml:space="preserve"> </w:t>
      </w:r>
      <w:r>
        <w:t xml:space="preserve">&lt; 1.01, both ESS &gt; 400, no divergent transitions) were applied before rounding.</w:t>
      </w:r>
    </w:p>
    <w:p>
      <w:r>
        <w:br w:type="page"/>
      </w:r>
    </w:p>
    <w:bookmarkEnd w:id="416"/>
    <w:p>
      <w:pPr>
        <w:pStyle w:val="Heading1"/>
      </w:pPr>
      <w:r>
        <w:t xml:space="preserve">Appendix E</w:t>
      </w:r>
    </w:p>
    <w:bookmarkStart w:id="429" w:name="apx-group-sessions"/>
    <w:p>
      <w:pPr>
        <w:pStyle w:val="Heading1"/>
      </w:pPr>
      <w:r>
        <w:t xml:space="preserve">Group displays by session</w:t>
      </w:r>
    </w:p>
    <w:p>
      <w:pPr>
        <w:pStyle w:val="FirstParagraph"/>
      </w:pPr>
      <w:r>
        <w:t xml:space="preserve">The main-text group displays pool each property’s sessions. This appendix resolves them by</w:t>
      </w:r>
      <w:r>
        <w:t xml:space="preserve"> </w:t>
      </w:r>
      <w:r>
        <w:t xml:space="preserve">session, so that the development the models estimate can be inspected in each group. Like</w:t>
      </w:r>
      <w:r>
        <w:t xml:space="preserve"> </w:t>
      </w:r>
      <w:r>
        <w:t xml:space="preserve">the pooled displays, they are descriptive and were not used to select any analysis.</w:t>
      </w:r>
      <w:r>
        <w:t xml:space="preserve"> </w:t>
      </w:r>
      <w:hyperlink w:anchor="fig-erp-difference-sessions">
        <w:r>
          <w:rPr>
            <w:rStyle w:val="Hyperlink"/>
          </w:rPr>
          <w:t xml:space="preserve">Figure E1</w:t>
        </w:r>
      </w:hyperlink>
      <w:r>
        <w:t xml:space="preserve"> </w:t>
      </w:r>
      <w:r>
        <w:t xml:space="preserve">gives the difference waves at the midline posterior cluster and</w:t>
      </w:r>
      <w:r>
        <w:t xml:space="preserve"> </w:t>
      </w:r>
      <w:hyperlink w:anchor="fig-erp-topography-sessions">
        <w:r>
          <w:rPr>
            <w:rStyle w:val="Hyperlink"/>
          </w:rPr>
          <w:t xml:space="preserve">Figure E2</w:t>
        </w:r>
      </w:hyperlink>
      <w:r>
        <w:t xml:space="preserve"> </w:t>
      </w:r>
      <w:r>
        <w:t xml:space="preserve">the late-window maps. The observed judgement accuracies behind</w:t>
      </w:r>
      <w:r>
        <w:t xml:space="preserve"> </w:t>
      </w:r>
      <w:hyperlink w:anchor="fig-sdt-by-language">
        <w:r>
          <w:rPr>
            <w:rStyle w:val="Hyperlink"/>
          </w:rPr>
          <w:t xml:space="preserve">Figure 11</w:t>
        </w:r>
      </w:hyperlink>
      <w:r>
        <w:t xml:space="preserve"> </w:t>
      </w:r>
      <w:r>
        <w:t xml:space="preserve">are given in</w:t>
      </w:r>
      <w:r>
        <w:t xml:space="preserve"> </w:t>
      </w:r>
      <w:hyperlink w:anchor="fig-accuracy-by-language">
        <w:r>
          <w:rPr>
            <w:rStyle w:val="Hyperlink"/>
          </w:rPr>
          <w:t xml:space="preserve">Figure E3</w:t>
        </w:r>
      </w:hyperlink>
      <w:r>
        <w:t xml:space="preserve">.</w:t>
      </w:r>
    </w:p>
    <w:bookmarkStart w:id="420" w:name="fig-erp-difference-sessions"/>
    <w:p>
      <w:pPr>
        <w:pStyle w:val="FigureTitle"/>
      </w:pPr>
      <w:r>
        <w:t xml:space="preserve">Figure E1</w:t>
      </w:r>
    </w:p>
    <w:p>
      <w:pPr>
        <w:pStyle w:val="Caption"/>
      </w:pPr>
      <w:r>
        <w:t xml:space="preserve">Difference Waves (Ungrammatical Minus Grammatical) at the Midline Posterior Cluster by Session, Miniature Language and Property</w:t>
      </w:r>
    </w:p>
    <w:p>
      <w:pPr>
        <w:pStyle w:val="FigureWithNote"/>
      </w:pPr>
      <w:r>
        <w:drawing>
          <wp:inline>
            <wp:extent cx="5943600" cy="5760719"/>
            <wp:effectExtent b="0" l="0" r="0" t="0"/>
            <wp:docPr descr="" title="" id="418" name="Picture"/>
            <a:graphic>
              <a:graphicData uri="http://schemas.openxmlformats.org/drawingml/2006/picture">
                <pic:pic>
                  <pic:nvPicPr>
                    <pic:cNvPr descr="paper_1_morphosyntax_files/figure-docx/fig-erp-difference-sessions-1.png" id="419" name="Picture"/>
                    <pic:cNvPicPr>
                      <a:picLocks noChangeArrowheads="1" noChangeAspect="1"/>
                    </pic:cNvPicPr>
                  </pic:nvPicPr>
                  <pic:blipFill>
                    <a:blip r:embed="rId417"/>
                    <a:stretch>
                      <a:fillRect/>
                    </a:stretch>
                  </pic:blipFill>
                  <pic:spPr bwMode="auto">
                    <a:xfrm>
                      <a:off x="0" y="0"/>
                      <a:ext cx="5943600" cy="5760719"/>
                    </a:xfrm>
                    <a:prstGeom prst="rect">
                      <a:avLst/>
                    </a:prstGeom>
                    <a:noFill/>
                    <a:ln w="9525">
                      <a:noFill/>
                      <a:headEnd/>
                      <a:tailEnd/>
                    </a:ln>
                  </pic:spPr>
                </pic:pic>
              </a:graphicData>
            </a:graphic>
          </wp:inline>
        </w:drawing>
      </w:r>
    </w:p>
    <w:bookmarkEnd w:id="420"/>
    <w:p>
      <w:pPr>
        <w:pStyle w:val="FigureNote"/>
      </w:pPr>
      <w:r>
        <w:rPr>
          <w:i/>
          <w:iCs/>
        </w:rPr>
        <w:t xml:space="preserve">Note</w:t>
      </w:r>
      <w:r>
        <w:t xml:space="preserve">. Each line is the participant-paired difference between ungrammatical and grammatical baseline-corrected waveforms at the midline posterior cluster at one session, averaged over participants, for the Mini-Norwegian (blue) and Mini-English (vermilion) groups. Ribbons are pointwise 95% normal intervals from the participant-level standard error. Cells are blank at sessions before a property was introduced, since differential object marking entered the design at Session 3 and verb–object number agreement at Session 4. Sessions 2 to 4 are a week apart. Session 6 is the retention test, about four months after Session 4 without exposure, and draws on fewer participants (see the participant flow figure). Polarity, window bars and the next-word triangle are as in the pooled difference-wave figure in the Results.</w:t>
      </w:r>
    </w:p>
    <w:bookmarkStart w:id="424" w:name="fig-erp-topography-sessions"/>
    <w:p>
      <w:pPr>
        <w:pStyle w:val="FigureTitle"/>
      </w:pPr>
      <w:r>
        <w:t xml:space="preserve">Figure E2</w:t>
      </w:r>
    </w:p>
    <w:p>
      <w:pPr>
        <w:pStyle w:val="Caption"/>
      </w:pPr>
      <w:r>
        <w:t xml:space="preserve">Scalp Topography of the Grammaticality Effect by Property, Session and Miniature Language, 400–900 ms</w:t>
      </w:r>
    </w:p>
    <w:p>
      <w:pPr>
        <w:pStyle w:val="FigureWithNote"/>
      </w:pPr>
      <w:r>
        <w:drawing>
          <wp:inline>
            <wp:extent cx="5943600" cy="1920239"/>
            <wp:effectExtent b="0" l="0" r="0" t="0"/>
            <wp:docPr descr="" title="" id="422" name="Picture"/>
            <a:graphic>
              <a:graphicData uri="http://schemas.openxmlformats.org/drawingml/2006/picture">
                <pic:pic>
                  <pic:nvPicPr>
                    <pic:cNvPr descr="paper_1_morphosyntax_files/figure-docx/fig-erp-topography-sessions-1.png" id="423" name="Picture"/>
                    <pic:cNvPicPr>
                      <a:picLocks noChangeArrowheads="1" noChangeAspect="1"/>
                    </pic:cNvPicPr>
                  </pic:nvPicPr>
                  <pic:blipFill>
                    <a:blip r:embed="rId421"/>
                    <a:stretch>
                      <a:fillRect/>
                    </a:stretch>
                  </pic:blipFill>
                  <pic:spPr bwMode="auto">
                    <a:xfrm>
                      <a:off x="0" y="0"/>
                      <a:ext cx="5943600" cy="1920239"/>
                    </a:xfrm>
                    <a:prstGeom prst="rect">
                      <a:avLst/>
                    </a:prstGeom>
                    <a:noFill/>
                    <a:ln w="9525">
                      <a:noFill/>
                      <a:headEnd/>
                      <a:tailEnd/>
                    </a:ln>
                  </pic:spPr>
                </pic:pic>
              </a:graphicData>
            </a:graphic>
          </wp:inline>
        </w:drawing>
      </w:r>
    </w:p>
    <w:bookmarkEnd w:id="424"/>
    <w:p>
      <w:pPr>
        <w:pStyle w:val="FigureNote"/>
      </w:pPr>
      <w:r>
        <w:rPr>
          <w:i/>
          <w:iCs/>
        </w:rPr>
        <w:t xml:space="preserve">Note</w:t>
      </w:r>
      <w:r>
        <w:t xml:space="preserve">. Maps show the participant-paired ungrammatical-minus-grammatical mean amplitude in the 400–900 ms window at each session, baseline-corrected within participant and averaged over participants. Each block is one property, with sessions in columns and the Mini-Norwegian and Mini-English groups in rows. Only the sessions at which a property was tested are shown: gender agreement from Session 2, differential object marking from Session 3, and verb–object number agreement at Sessions 4 and 6. Sessions 2 to 4 are a week apart. Session 6 is the retention test, about four months after Session 4 without exposure, and draws on fewer participants (see the participant flow figure). Surface estimation, montage, symbols, polarity and the colour scale are those of the scalp-topography figure in the Results, so colours can be compared directly between the two figures.</w:t>
      </w:r>
    </w:p>
    <w:bookmarkStart w:id="428" w:name="fig-accuracy-by-language"/>
    <w:p>
      <w:pPr>
        <w:pStyle w:val="FigureTitle"/>
      </w:pPr>
      <w:r>
        <w:t xml:space="preserve">Figure E3</w:t>
      </w:r>
    </w:p>
    <w:p>
      <w:pPr>
        <w:pStyle w:val="Caption"/>
      </w:pPr>
      <w:r>
        <w:t xml:space="preserve">Observed Judgement Accuracy by Sentence Type, Miniature Language, Property and Session</w:t>
      </w:r>
    </w:p>
    <w:p>
      <w:pPr>
        <w:pStyle w:val="FigureWithNote"/>
      </w:pPr>
      <w:r>
        <w:drawing>
          <wp:inline>
            <wp:extent cx="5943600" cy="4389119"/>
            <wp:effectExtent b="0" l="0" r="0" t="0"/>
            <wp:docPr descr="" title="" id="426" name="Picture"/>
            <a:graphic>
              <a:graphicData uri="http://schemas.openxmlformats.org/drawingml/2006/picture">
                <pic:pic>
                  <pic:nvPicPr>
                    <pic:cNvPr descr="paper_1_morphosyntax_files/figure-docx/fig-accuracy-by-language-1.png" id="427" name="Picture"/>
                    <pic:cNvPicPr>
                      <a:picLocks noChangeArrowheads="1" noChangeAspect="1"/>
                    </pic:cNvPicPr>
                  </pic:nvPicPr>
                  <pic:blipFill>
                    <a:blip r:embed="rId425"/>
                    <a:stretch>
                      <a:fillRect/>
                    </a:stretch>
                  </pic:blipFill>
                  <pic:spPr bwMode="auto">
                    <a:xfrm>
                      <a:off x="0" y="0"/>
                      <a:ext cx="5943600" cy="4389119"/>
                    </a:xfrm>
                    <a:prstGeom prst="rect">
                      <a:avLst/>
                    </a:prstGeom>
                    <a:noFill/>
                    <a:ln w="9525">
                      <a:noFill/>
                      <a:headEnd/>
                      <a:tailEnd/>
                    </a:ln>
                  </pic:spPr>
                </pic:pic>
              </a:graphicData>
            </a:graphic>
          </wp:inline>
        </w:drawing>
      </w:r>
    </w:p>
    <w:bookmarkEnd w:id="428"/>
    <w:p>
      <w:pPr>
        <w:pStyle w:val="FigureNote"/>
      </w:pPr>
      <w:r>
        <w:rPr>
          <w:i/>
          <w:iCs/>
        </w:rPr>
        <w:t xml:space="preserve">Note</w:t>
      </w:r>
      <w:r>
        <w:t xml:space="preserve">. Points are group means of participant-level proportion correct on grammatical sentences (upper row) and on ungrammatical sentences (lower row), and every participant receives equal weight. Vertical lines are 95%</w:t>
      </w:r>
      <w:r>
        <w:t xml:space="preserve"> </w:t>
      </w:r>
      <w:r>
        <w:rPr>
          <w:i/>
          <w:iCs/>
        </w:rPr>
        <w:t xml:space="preserve">t</w:t>
      </w:r>
      <w:r>
        <w:t xml:space="preserve"> </w:t>
      </w:r>
      <w:r>
        <w:t xml:space="preserve">intervals over participants, and the horizontal line marks chance (.50). Each property is plotted from the session at which it entered the design. Accuracy on the two sentence types moves in opposite directions when a group’s criterion shifts, which is why the Results analyse sensitivity and criterion and not accuracy on either sentence type. Sessions are equally spaced, as in the models, although Sessions 2 to 4 are a week apart and Session 6 follows about four months without exposure.</w:t>
      </w:r>
    </w:p>
    <w:bookmarkEnd w:id="42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image" Id="rId425" Target="media/rId425.png" /><Relationship Type="http://schemas.openxmlformats.org/officeDocument/2006/relationships/image" Id="rId122" Target="media/rId122.png" /><Relationship Type="http://schemas.openxmlformats.org/officeDocument/2006/relationships/image" Id="rId55" Target="media/rId55.png" /><Relationship Type="http://schemas.openxmlformats.org/officeDocument/2006/relationships/image" Id="rId102" Target="media/rId102.png" /><Relationship Type="http://schemas.openxmlformats.org/officeDocument/2006/relationships/image" Id="rId417" Target="media/rId417.png" /><Relationship Type="http://schemas.openxmlformats.org/officeDocument/2006/relationships/image" Id="rId94" Target="media/rId94.png" /><Relationship Type="http://schemas.openxmlformats.org/officeDocument/2006/relationships/image" Id="rId109" Target="media/rId109.png" /><Relationship Type="http://schemas.openxmlformats.org/officeDocument/2006/relationships/image" Id="rId421" Target="media/rId421.png" /><Relationship Type="http://schemas.openxmlformats.org/officeDocument/2006/relationships/image" Id="rId98" Target="media/rId98.png" /><Relationship Type="http://schemas.openxmlformats.org/officeDocument/2006/relationships/image" Id="rId61" Target="media/rId61.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50" Target="media/rId50.png" /><Relationship Type="http://schemas.openxmlformats.org/officeDocument/2006/relationships/image" Id="rId82" Target="media/rId82.png" /><Relationship Type="http://schemas.openxmlformats.org/officeDocument/2006/relationships/image" Id="rId117" Target="media/rId117.png" /><Relationship Type="http://schemas.openxmlformats.org/officeDocument/2006/relationships/hyperlink" Id="rId306" Target="https://doi.org/10.1002/hbm.1058" TargetMode="External" /><Relationship Type="http://schemas.openxmlformats.org/officeDocument/2006/relationships/hyperlink" Id="rId145" Target="https://doi.org/10.1002/hbm.20851" TargetMode="External" /><Relationship Type="http://schemas.openxmlformats.org/officeDocument/2006/relationships/hyperlink" Id="rId392" Target="https://doi.org/10.1007/978-3-319-24277-4" TargetMode="External" /><Relationship Type="http://schemas.openxmlformats.org/officeDocument/2006/relationships/hyperlink" Id="rId340" Target="https://doi.org/10.1007/s11229-021-03276-4" TargetMode="External" /><Relationship Type="http://schemas.openxmlformats.org/officeDocument/2006/relationships/hyperlink" Id="rId314" Target="https://doi.org/10.1016/0749-596X(92)90039-Z" TargetMode="External" /><Relationship Type="http://schemas.openxmlformats.org/officeDocument/2006/relationships/hyperlink" Id="rId210" Target="https://doi.org/10.1016/S1364-6613(00)01839-8" TargetMode="External" /><Relationship Type="http://schemas.openxmlformats.org/officeDocument/2006/relationships/hyperlink" Id="rId310" Target="https://doi.org/10.1016/j.bandl.2013.04.005" TargetMode="External" /><Relationship Type="http://schemas.openxmlformats.org/officeDocument/2006/relationships/hyperlink" Id="rId176" Target="https://doi.org/10.1016/j.bandl.2019.01.003" TargetMode="External" /><Relationship Type="http://schemas.openxmlformats.org/officeDocument/2006/relationships/hyperlink" Id="rId352" Target="https://doi.org/10.1016/j.cognition.2009.10.010" TargetMode="External" /><Relationship Type="http://schemas.openxmlformats.org/officeDocument/2006/relationships/hyperlink" Id="rId262" Target="https://doi.org/10.1016/j.cortex.2024.05.007" TargetMode="External" /><Relationship Type="http://schemas.openxmlformats.org/officeDocument/2006/relationships/hyperlink" Id="rId380" Target="https://doi.org/10.1016/j.ijpsycho.2021.02.006" TargetMode="External" /><Relationship Type="http://schemas.openxmlformats.org/officeDocument/2006/relationships/hyperlink" Id="rId200" Target="https://doi.org/10.1016/j.jml.2007.11.004" TargetMode="External" /><Relationship Type="http://schemas.openxmlformats.org/officeDocument/2006/relationships/hyperlink" Id="rId252" Target="https://doi.org/10.1016/j.jml.2007.11.007" TargetMode="External" /><Relationship Type="http://schemas.openxmlformats.org/officeDocument/2006/relationships/hyperlink" Id="rId159" Target="https://doi.org/10.1016/j.jml.2007.12.005" TargetMode="External" /><Relationship Type="http://schemas.openxmlformats.org/officeDocument/2006/relationships/hyperlink" Id="rId163" Target="https://doi.org/10.1016/j.jml.2012.11.001" TargetMode="External" /><Relationship Type="http://schemas.openxmlformats.org/officeDocument/2006/relationships/hyperlink" Id="rId288" Target="https://doi.org/10.1016/j.jml.2017.01.001" TargetMode="External" /><Relationship Type="http://schemas.openxmlformats.org/officeDocument/2006/relationships/hyperlink" Id="rId376" Target="https://doi.org/10.1016/j.jml.2018.07.004" TargetMode="External" /><Relationship Type="http://schemas.openxmlformats.org/officeDocument/2006/relationships/hyperlink" Id="rId274" Target="https://doi.org/10.1016/j.jmva.2009.04.008" TargetMode="External" /><Relationship Type="http://schemas.openxmlformats.org/officeDocument/2006/relationships/hyperlink" Id="rId284" Target="https://doi.org/10.1016/j.jneumeth.2007.03.024" TargetMode="External" /><Relationship Type="http://schemas.openxmlformats.org/officeDocument/2006/relationships/hyperlink" Id="rId394" Target="https://doi.org/10.1016/j.jneumeth.2014.08.002" TargetMode="External" /><Relationship Type="http://schemas.openxmlformats.org/officeDocument/2006/relationships/hyperlink" Id="rId190" Target="https://doi.org/10.1016/j.jneumeth.2015.01.010" TargetMode="External" /><Relationship Type="http://schemas.openxmlformats.org/officeDocument/2006/relationships/hyperlink" Id="rId228" Target="https://doi.org/10.1016/j.jneuroling.2020.100939" TargetMode="External" /><Relationship Type="http://schemas.openxmlformats.org/officeDocument/2006/relationships/hyperlink" Id="rId178" Target="https://doi.org/10.1016/j.neubiorev.2015.01.010" TargetMode="External" /><Relationship Type="http://schemas.openxmlformats.org/officeDocument/2006/relationships/hyperlink" Id="rId194" Target="https://doi.org/10.1016/j.neuroimage.2014.04.037" TargetMode="External" /><Relationship Type="http://schemas.openxmlformats.org/officeDocument/2006/relationships/hyperlink" Id="rId151" Target="https://doi.org/10.1016/j.neuroimage.2016.07.040" TargetMode="External" /><Relationship Type="http://schemas.openxmlformats.org/officeDocument/2006/relationships/hyperlink" Id="rId374" Target="https://doi.org/10.1016/j.neuroimage.2016.10.038" TargetMode="External" /><Relationship Type="http://schemas.openxmlformats.org/officeDocument/2006/relationships/hyperlink" Id="rId372" Target="https://doi.org/10.1016/j.neuroimage.2017.06.061" TargetMode="External" /><Relationship Type="http://schemas.openxmlformats.org/officeDocument/2006/relationships/hyperlink" Id="rId248" Target="https://doi.org/10.1016/j.neuroimage.2017.08.005" TargetMode="External" /><Relationship Type="http://schemas.openxmlformats.org/officeDocument/2006/relationships/hyperlink" Id="rId344" Target="https://doi.org/10.1016/j.neuroimage.2019.06.048" TargetMode="External" /><Relationship Type="http://schemas.openxmlformats.org/officeDocument/2006/relationships/hyperlink" Id="rId202" Target="https://doi.org/10.1016/j.neuron.2015.09.004" TargetMode="External" /><Relationship Type="http://schemas.openxmlformats.org/officeDocument/2006/relationships/hyperlink" Id="rId364" Target="https://doi.org/10.1016/j.neuropsychologia.2014.02.002" TargetMode="External" /><Relationship Type="http://schemas.openxmlformats.org/officeDocument/2006/relationships/hyperlink" Id="rId188" Target="https://doi.org/10.1016/j.neuropsychologia.2025.109150" TargetMode="External" /><Relationship Type="http://schemas.openxmlformats.org/officeDocument/2006/relationships/hyperlink" Id="rId264" Target="https://doi.org/10.1016/j.tics.2014.01.002" TargetMode="External" /><Relationship Type="http://schemas.openxmlformats.org/officeDocument/2006/relationships/hyperlink" Id="rId232" Target="https://doi.org/10.1017/9781009400640.020" TargetMode="External" /><Relationship Type="http://schemas.openxmlformats.org/officeDocument/2006/relationships/hyperlink" Id="rId390" Target="https://doi.org/10.1017/9781108957823.010" TargetMode="External" /><Relationship Type="http://schemas.openxmlformats.org/officeDocument/2006/relationships/hyperlink" Id="rId338" Target="https://doi.org/10.1017/9781316014660" TargetMode="External" /><Relationship Type="http://schemas.openxmlformats.org/officeDocument/2006/relationships/hyperlink" Id="rId186" Target="https://doi.org/10.1017/S136672890700291X" TargetMode="External" /><Relationship Type="http://schemas.openxmlformats.org/officeDocument/2006/relationships/hyperlink" Id="rId360" Target="https://doi.org/10.1017/S1366728912000302" TargetMode="External" /><Relationship Type="http://schemas.openxmlformats.org/officeDocument/2006/relationships/hyperlink" Id="rId334" Target="https://doi.org/10.1017/S136672891300059X" TargetMode="External" /><Relationship Type="http://schemas.openxmlformats.org/officeDocument/2006/relationships/hyperlink" Id="rId238" Target="https://doi.org/10.1017/S1366728917000426" TargetMode="External" /><Relationship Type="http://schemas.openxmlformats.org/officeDocument/2006/relationships/hyperlink" Id="rId304" Target="https://doi.org/10.1017/S1366728917000566" TargetMode="External" /><Relationship Type="http://schemas.openxmlformats.org/officeDocument/2006/relationships/hyperlink" Id="rId276" Target="https://doi.org/10.1017/S1366728918001153" TargetMode="External" /><Relationship Type="http://schemas.openxmlformats.org/officeDocument/2006/relationships/hyperlink" Id="rId206" Target="https://doi.org/10.1037/0033-2909.125.6.777" TargetMode="External" /><Relationship Type="http://schemas.openxmlformats.org/officeDocument/2006/relationships/hyperlink" Id="rId196" Target="https://doi.org/10.1037/1082-989X.3.2.186" TargetMode="External" /><Relationship Type="http://schemas.openxmlformats.org/officeDocument/2006/relationships/hyperlink" Id="rId368" Target="https://doi.org/10.1037/a0014678" TargetMode="External" /><Relationship Type="http://schemas.openxmlformats.org/officeDocument/2006/relationships/hyperlink" Id="rId198" Target="https://doi.org/10.1037/met0000065" TargetMode="External" /><Relationship Type="http://schemas.openxmlformats.org/officeDocument/2006/relationships/hyperlink" Id="rId170" Target="https://doi.org/10.1037/met0000159" TargetMode="External" /><Relationship Type="http://schemas.openxmlformats.org/officeDocument/2006/relationships/hyperlink" Id="rId346" Target="https://doi.org/10.1037/met0000275" TargetMode="External" /><Relationship Type="http://schemas.openxmlformats.org/officeDocument/2006/relationships/hyperlink" Id="rId153" Target="https://doi.org/10.1038/d41586-019-00857-9" TargetMode="External" /><Relationship Type="http://schemas.openxmlformats.org/officeDocument/2006/relationships/hyperlink" Id="rId266" Target="https://doi.org/10.1038/nn.2303" TargetMode="External" /><Relationship Type="http://schemas.openxmlformats.org/officeDocument/2006/relationships/hyperlink" Id="rId308" Target="https://doi.org/10.1038/nn.2886" TargetMode="External" /><Relationship Type="http://schemas.openxmlformats.org/officeDocument/2006/relationships/hyperlink" Id="rId268" Target="https://doi.org/10.1038/s41562-021-01177-7" TargetMode="External" /><Relationship Type="http://schemas.openxmlformats.org/officeDocument/2006/relationships/hyperlink" Id="rId318" Target="https://doi.org/10.1038/s41562-023-01680-z" TargetMode="External" /><Relationship Type="http://schemas.openxmlformats.org/officeDocument/2006/relationships/hyperlink" Id="rId260" Target="https://doi.org/10.1038/s41593-020-0660-4" TargetMode="External" /><Relationship Type="http://schemas.openxmlformats.org/officeDocument/2006/relationships/hyperlink" Id="rId370" Target="https://doi.org/10.1038/s43586-020-00001-2" TargetMode="External" /><Relationship Type="http://schemas.openxmlformats.org/officeDocument/2006/relationships/hyperlink" Id="rId212" Target="https://doi.org/10.1073/pnas.012611199" TargetMode="External" /><Relationship Type="http://schemas.openxmlformats.org/officeDocument/2006/relationships/hyperlink" Id="rId312" Target="https://doi.org/10.1073/pnas.1708274114" TargetMode="External" /><Relationship Type="http://schemas.openxmlformats.org/officeDocument/2006/relationships/hyperlink" Id="rId350" Target="https://doi.org/10.1075/lab.20055.sch" TargetMode="External" /><Relationship Type="http://schemas.openxmlformats.org/officeDocument/2006/relationships/hyperlink" Id="rId290" Target="https://doi.org/10.1075/lab.22063.mit" TargetMode="External" /><Relationship Type="http://schemas.openxmlformats.org/officeDocument/2006/relationships/hyperlink" Id="rId286" Target="https://doi.org/10.1080/00031305.2017.1375986" TargetMode="External" /><Relationship Type="http://schemas.openxmlformats.org/officeDocument/2006/relationships/hyperlink" Id="rId208" Target="https://doi.org/10.1080/14790710408668175" TargetMode="External" /><Relationship Type="http://schemas.openxmlformats.org/officeDocument/2006/relationships/hyperlink" Id="rId230" Target="https://doi.org/10.1080/14790718.2024.2415993" TargetMode="External" /><Relationship Type="http://schemas.openxmlformats.org/officeDocument/2006/relationships/hyperlink" Id="rId324" Target="https://doi.org/10.1080/14790718.2024.2418013" TargetMode="External" /><Relationship Type="http://schemas.openxmlformats.org/officeDocument/2006/relationships/hyperlink" Id="rId222" Target="https://doi.org/10.1080/19345747.2011.618213" TargetMode="External" /><Relationship Type="http://schemas.openxmlformats.org/officeDocument/2006/relationships/hyperlink" Id="rId384" Target="https://doi.org/10.1080/23273798.2023.2223783" TargetMode="External" /><Relationship Type="http://schemas.openxmlformats.org/officeDocument/2006/relationships/hyperlink" Id="rId330" Target="https://doi.org/10.1093/bjps/axx023" TargetMode="External" /><Relationship Type="http://schemas.openxmlformats.org/officeDocument/2006/relationships/hyperlink" Id="rId214" Target="https://doi.org/10.1097/00001756-200110290-00048" TargetMode="External" /><Relationship Type="http://schemas.openxmlformats.org/officeDocument/2006/relationships/hyperlink" Id="rId192" Target="https://doi.org/10.1098/rstb.2009.0111" TargetMode="External" /><Relationship Type="http://schemas.openxmlformats.org/officeDocument/2006/relationships/hyperlink" Id="rId354" Target="https://doi.org/10.1111/cogs.12343" TargetMode="External" /><Relationship Type="http://schemas.openxmlformats.org/officeDocument/2006/relationships/hyperlink" Id="rId316" Target="https://doi.org/10.1111/j.1467-9922.2006.00361.x" TargetMode="External" /><Relationship Type="http://schemas.openxmlformats.org/officeDocument/2006/relationships/hyperlink" Id="rId294" Target="https://doi.org/10.1111/j.1467-9922.2009.00554.x" TargetMode="External" /><Relationship Type="http://schemas.openxmlformats.org/officeDocument/2006/relationships/hyperlink" Id="rId348" Target="https://doi.org/10.1111/j.2041-210X.2010.00012.x" TargetMode="External" /><Relationship Type="http://schemas.openxmlformats.org/officeDocument/2006/relationships/hyperlink" Id="rId254" Target="https://doi.org/10.1111/lang.12525" TargetMode="External" /><Relationship Type="http://schemas.openxmlformats.org/officeDocument/2006/relationships/hyperlink" Id="rId362" Target="https://doi.org/10.1111/psyp.12437" TargetMode="External" /><Relationship Type="http://schemas.openxmlformats.org/officeDocument/2006/relationships/hyperlink" Id="rId342" Target="https://doi.org/10.1111/psyp.13335" TargetMode="External" /><Relationship Type="http://schemas.openxmlformats.org/officeDocument/2006/relationships/hyperlink" Id="rId147" Target="https://doi.org/10.1111/psyp.13451" TargetMode="External" /><Relationship Type="http://schemas.openxmlformats.org/officeDocument/2006/relationships/hyperlink" Id="rId157" Target="https://doi.org/10.1111/psyp.14302" TargetMode="External" /><Relationship Type="http://schemas.openxmlformats.org/officeDocument/2006/relationships/hyperlink" Id="rId246" Target="https://doi.org/10.1111/psyp.14491" TargetMode="External" /><Relationship Type="http://schemas.openxmlformats.org/officeDocument/2006/relationships/hyperlink" Id="rId182" Target="https://doi.org/10.1111/psyp.14570" TargetMode="External" /><Relationship Type="http://schemas.openxmlformats.org/officeDocument/2006/relationships/hyperlink" Id="rId216" Target="https://doi.org/10.1111/rssa.12378" TargetMode="External" /><Relationship Type="http://schemas.openxmlformats.org/officeDocument/2006/relationships/hyperlink" Id="rId244" Target="https://doi.org/10.1126/science.1063736" TargetMode="External" /><Relationship Type="http://schemas.openxmlformats.org/officeDocument/2006/relationships/hyperlink" Id="rId278" Target="https://doi.org/10.1126/science.aal3618" TargetMode="External" /><Relationship Type="http://schemas.openxmlformats.org/officeDocument/2006/relationships/hyperlink" Id="rId256" Target="https://doi.org/10.1162/089892903321107855" TargetMode="External" /><Relationship Type="http://schemas.openxmlformats.org/officeDocument/2006/relationships/hyperlink" Id="rId298" Target="https://doi.org/10.1162/0898929055002463" TargetMode="External" /><Relationship Type="http://schemas.openxmlformats.org/officeDocument/2006/relationships/hyperlink" Id="rId296" Target="https://doi.org/10.1162/jocn_a_00119" TargetMode="External" /><Relationship Type="http://schemas.openxmlformats.org/officeDocument/2006/relationships/hyperlink" Id="rId240" Target="https://doi.org/10.1162/jocn_a_01068" TargetMode="External" /><Relationship Type="http://schemas.openxmlformats.org/officeDocument/2006/relationships/hyperlink" Id="rId161" Target="https://doi.org/10.1177/0267658307080557" TargetMode="External" /><Relationship Type="http://schemas.openxmlformats.org/officeDocument/2006/relationships/hyperlink" Id="rId332" Target="https://doi.org/10.1177/0267658310386439" TargetMode="External" /><Relationship Type="http://schemas.openxmlformats.org/officeDocument/2006/relationships/hyperlink" Id="rId204" Target="https://doi.org/10.1177/0267658310386647" TargetMode="External" /><Relationship Type="http://schemas.openxmlformats.org/officeDocument/2006/relationships/hyperlink" Id="rId326" Target="https://doi.org/10.1177/0267658318809147" TargetMode="External" /><Relationship Type="http://schemas.openxmlformats.org/officeDocument/2006/relationships/hyperlink" Id="rId386" Target="https://doi.org/10.1177/0267658319884116" TargetMode="External" /><Relationship Type="http://schemas.openxmlformats.org/officeDocument/2006/relationships/hyperlink" Id="rId184" Target="https://doi.org/10.1177/02676583251332128" TargetMode="External" /><Relationship Type="http://schemas.openxmlformats.org/officeDocument/2006/relationships/hyperlink" Id="rId356" Target="https://doi.org/10.1177/02676583261426778" TargetMode="External" /><Relationship Type="http://schemas.openxmlformats.org/officeDocument/2006/relationships/hyperlink" Id="rId388" Target="https://doi.org/10.1177/1367006916648859" TargetMode="External" /><Relationship Type="http://schemas.openxmlformats.org/officeDocument/2006/relationships/hyperlink" Id="rId236" Target="https://doi.org/10.1177/1367006916649265" TargetMode="External" /><Relationship Type="http://schemas.openxmlformats.org/officeDocument/2006/relationships/hyperlink" Id="rId358" Target="https://doi.org/10.1177/1367006916655413" TargetMode="External" /><Relationship Type="http://schemas.openxmlformats.org/officeDocument/2006/relationships/hyperlink" Id="rId382" Target="https://doi.org/10.1177/1745691612463078" TargetMode="External" /><Relationship Type="http://schemas.openxmlformats.org/officeDocument/2006/relationships/hyperlink" Id="rId220" Target="https://doi.org/10.1177/1745691614551642" TargetMode="External" /><Relationship Type="http://schemas.openxmlformats.org/officeDocument/2006/relationships/hyperlink" Id="rId302" Target="https://doi.org/10.1186/1471-2202-10-89" TargetMode="External" /><Relationship Type="http://schemas.openxmlformats.org/officeDocument/2006/relationships/hyperlink" Id="rId272" Target="https://doi.org/10.1186/1471-2202-11-5" TargetMode="External" /><Relationship Type="http://schemas.openxmlformats.org/officeDocument/2006/relationships/hyperlink" Id="rId300" Target="https://doi.org/10.1186/1471-2202-8-18" TargetMode="External" /><Relationship Type="http://schemas.openxmlformats.org/officeDocument/2006/relationships/hyperlink" Id="rId226" Target="https://doi.org/10.1198/000313006X152649" TargetMode="External" /><Relationship Type="http://schemas.openxmlformats.org/officeDocument/2006/relationships/hyperlink" Id="rId218" Target="https://doi.org/10.1214/06-BA117A" TargetMode="External" /><Relationship Type="http://schemas.openxmlformats.org/officeDocument/2006/relationships/hyperlink" Id="rId224" Target="https://doi.org/10.1214/08-AOAS191" TargetMode="External" /><Relationship Type="http://schemas.openxmlformats.org/officeDocument/2006/relationships/hyperlink" Id="rId378" Target="https://doi.org/10.1214/20-BA1221" TargetMode="External" /><Relationship Type="http://schemas.openxmlformats.org/officeDocument/2006/relationships/hyperlink" Id="rId292" Target="https://doi.org/10.1371/journal.pone.0032974" TargetMode="External" /><Relationship Type="http://schemas.openxmlformats.org/officeDocument/2006/relationships/hyperlink" Id="rId149" Target="https://doi.org/10.1371/journal.pone.0200791" TargetMode="External" /><Relationship Type="http://schemas.openxmlformats.org/officeDocument/2006/relationships/hyperlink" Id="rId234" Target="https://doi.org/10.1371/journal.pone.0247976" TargetMode="External" /><Relationship Type="http://schemas.openxmlformats.org/officeDocument/2006/relationships/hyperlink" Id="rId396" Target="https://doi.org/10.1523/JNEUROSCI.2126-24.2025" TargetMode="External" /><Relationship Type="http://schemas.openxmlformats.org/officeDocument/2006/relationships/hyperlink" Id="rId180" Target="https://doi.org/10.18637/jss.v076.i01" TargetMode="External" /><Relationship Type="http://schemas.openxmlformats.org/officeDocument/2006/relationships/hyperlink" Id="rId172" Target="https://doi.org/10.18637/jss.v080.i01" TargetMode="External" /><Relationship Type="http://schemas.openxmlformats.org/officeDocument/2006/relationships/hyperlink" Id="rId322" Target="https://doi.org/10.2202/1544-6115.1585" TargetMode="External" /><Relationship Type="http://schemas.openxmlformats.org/officeDocument/2006/relationships/hyperlink" Id="rId165" Target="https://doi.org/10.32614/CRAN.package.depictr" TargetMode="External" /><Relationship Type="http://schemas.openxmlformats.org/officeDocument/2006/relationships/hyperlink" Id="rId167" Target="https://doi.org/10.32614/CRAN.package.scopusflow" TargetMode="External" /><Relationship Type="http://schemas.openxmlformats.org/officeDocument/2006/relationships/hyperlink" Id="rId174" Target="https://doi.org/10.32614/RJ-2018-017" TargetMode="External" /><Relationship Type="http://schemas.openxmlformats.org/officeDocument/2006/relationships/hyperlink" Id="rId258" Target="https://doi.org/10.3389/fnhum.2015.00151" TargetMode="External" /><Relationship Type="http://schemas.openxmlformats.org/officeDocument/2006/relationships/hyperlink" Id="rId336" Target="https://doi.org/10.3389/fpsyg.2015.01087" TargetMode="External" /><Relationship Type="http://schemas.openxmlformats.org/officeDocument/2006/relationships/hyperlink" Id="rId282" Target="https://doi.org/10.3389/fpsyg.2019.02767" TargetMode="External" /><Relationship Type="http://schemas.openxmlformats.org/officeDocument/2006/relationships/hyperlink" Id="rId250" Target="https://doi.org/10.3389/fpsyg.2020.00073" TargetMode="External" /><Relationship Type="http://schemas.openxmlformats.org/officeDocument/2006/relationships/hyperlink" Id="rId320" Target="https://doi.org/10.3390/brainsci12050669" TargetMode="External" /><Relationship Type="http://schemas.openxmlformats.org/officeDocument/2006/relationships/hyperlink" Id="rId155" Target="https://doi.org/10.3390/languages8010090" TargetMode="External" /><Relationship Type="http://schemas.openxmlformats.org/officeDocument/2006/relationships/hyperlink" Id="rId242" Target="https://doi.org/10.3758/BF03203619" TargetMode="External" /><Relationship Type="http://schemas.openxmlformats.org/officeDocument/2006/relationships/hyperlink" Id="rId270" Target="https://doi.org/10.3758/s13423-016-1221-4" TargetMode="External" /><Relationship Type="http://schemas.openxmlformats.org/officeDocument/2006/relationships/hyperlink" Id="rId280" Target="https://doi.org/10.4324/9781410611147" TargetMode="External" /><Relationship Type="http://schemas.openxmlformats.org/officeDocument/2006/relationships/hyperlink" Id="rId366" Target="https://doi.org/10.52294/apertureneuro.2022.2.maoc6465" TargetMode="External" /><Relationship Type="http://schemas.openxmlformats.org/officeDocument/2006/relationships/hyperlink" Id="rId137" Target="https://github.com/pablobernabeu/LESS-morphosyntactic-transfer" TargetMode="External" /><Relationship Type="http://schemas.openxmlformats.org/officeDocument/2006/relationships/hyperlink" Id="rId47" Target="https://orcid.org/0000-0001-5047-3226" TargetMode="External" /><Relationship Type="http://schemas.openxmlformats.org/officeDocument/2006/relationships/hyperlink" Id="rId35" Target="https://orcid.org/0000-0002-2275-209X" TargetMode="External" /><Relationship Type="http://schemas.openxmlformats.org/officeDocument/2006/relationships/hyperlink" Id="rId31" Target="https://orcid.org/0000-0002-5349-7036" TargetMode="External" /><Relationship Type="http://schemas.openxmlformats.org/officeDocument/2006/relationships/hyperlink" Id="rId43" Target="https://orcid.org/0000-0002-9357-4948" TargetMode="External" /><Relationship Type="http://schemas.openxmlformats.org/officeDocument/2006/relationships/hyperlink" Id="rId27" Target="https://orcid.org/0000-0003-1083-2460" TargetMode="External" /><Relationship Type="http://schemas.openxmlformats.org/officeDocument/2006/relationships/hyperlink" Id="rId39" Target="https://orcid.org/0009-0003-3936-6384" TargetMode="External" /><Relationship Type="http://schemas.openxmlformats.org/officeDocument/2006/relationships/hyperlink" Id="rId91" Target="https://osf.io/tjr54" TargetMode="External" /><Relationship Type="http://schemas.openxmlformats.org/officeDocument/2006/relationships/hyperlink" Id="rId138" Target="https://osf.io/tq7vy" TargetMode="External" /><Relationship Type="http://schemas.openxmlformats.org/officeDocument/2006/relationships/hyperlink" Id="rId328"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306" Target="https://doi.org/10.1002/hbm.1058" TargetMode="External" /><Relationship Type="http://schemas.openxmlformats.org/officeDocument/2006/relationships/hyperlink" Id="rId145" Target="https://doi.org/10.1002/hbm.20851" TargetMode="External" /><Relationship Type="http://schemas.openxmlformats.org/officeDocument/2006/relationships/hyperlink" Id="rId392" Target="https://doi.org/10.1007/978-3-319-24277-4" TargetMode="External" /><Relationship Type="http://schemas.openxmlformats.org/officeDocument/2006/relationships/hyperlink" Id="rId340" Target="https://doi.org/10.1007/s11229-021-03276-4" TargetMode="External" /><Relationship Type="http://schemas.openxmlformats.org/officeDocument/2006/relationships/hyperlink" Id="rId314" Target="https://doi.org/10.1016/0749-596X(92)90039-Z" TargetMode="External" /><Relationship Type="http://schemas.openxmlformats.org/officeDocument/2006/relationships/hyperlink" Id="rId210" Target="https://doi.org/10.1016/S1364-6613(00)01839-8" TargetMode="External" /><Relationship Type="http://schemas.openxmlformats.org/officeDocument/2006/relationships/hyperlink" Id="rId310" Target="https://doi.org/10.1016/j.bandl.2013.04.005" TargetMode="External" /><Relationship Type="http://schemas.openxmlformats.org/officeDocument/2006/relationships/hyperlink" Id="rId176" Target="https://doi.org/10.1016/j.bandl.2019.01.003" TargetMode="External" /><Relationship Type="http://schemas.openxmlformats.org/officeDocument/2006/relationships/hyperlink" Id="rId352" Target="https://doi.org/10.1016/j.cognition.2009.10.010" TargetMode="External" /><Relationship Type="http://schemas.openxmlformats.org/officeDocument/2006/relationships/hyperlink" Id="rId262" Target="https://doi.org/10.1016/j.cortex.2024.05.007" TargetMode="External" /><Relationship Type="http://schemas.openxmlformats.org/officeDocument/2006/relationships/hyperlink" Id="rId380" Target="https://doi.org/10.1016/j.ijpsycho.2021.02.006" TargetMode="External" /><Relationship Type="http://schemas.openxmlformats.org/officeDocument/2006/relationships/hyperlink" Id="rId200" Target="https://doi.org/10.1016/j.jml.2007.11.004" TargetMode="External" /><Relationship Type="http://schemas.openxmlformats.org/officeDocument/2006/relationships/hyperlink" Id="rId252" Target="https://doi.org/10.1016/j.jml.2007.11.007" TargetMode="External" /><Relationship Type="http://schemas.openxmlformats.org/officeDocument/2006/relationships/hyperlink" Id="rId159" Target="https://doi.org/10.1016/j.jml.2007.12.005" TargetMode="External" /><Relationship Type="http://schemas.openxmlformats.org/officeDocument/2006/relationships/hyperlink" Id="rId163" Target="https://doi.org/10.1016/j.jml.2012.11.001" TargetMode="External" /><Relationship Type="http://schemas.openxmlformats.org/officeDocument/2006/relationships/hyperlink" Id="rId288" Target="https://doi.org/10.1016/j.jml.2017.01.001" TargetMode="External" /><Relationship Type="http://schemas.openxmlformats.org/officeDocument/2006/relationships/hyperlink" Id="rId376" Target="https://doi.org/10.1016/j.jml.2018.07.004" TargetMode="External" /><Relationship Type="http://schemas.openxmlformats.org/officeDocument/2006/relationships/hyperlink" Id="rId274" Target="https://doi.org/10.1016/j.jmva.2009.04.008" TargetMode="External" /><Relationship Type="http://schemas.openxmlformats.org/officeDocument/2006/relationships/hyperlink" Id="rId284" Target="https://doi.org/10.1016/j.jneumeth.2007.03.024" TargetMode="External" /><Relationship Type="http://schemas.openxmlformats.org/officeDocument/2006/relationships/hyperlink" Id="rId394" Target="https://doi.org/10.1016/j.jneumeth.2014.08.002" TargetMode="External" /><Relationship Type="http://schemas.openxmlformats.org/officeDocument/2006/relationships/hyperlink" Id="rId190" Target="https://doi.org/10.1016/j.jneumeth.2015.01.010" TargetMode="External" /><Relationship Type="http://schemas.openxmlformats.org/officeDocument/2006/relationships/hyperlink" Id="rId228" Target="https://doi.org/10.1016/j.jneuroling.2020.100939" TargetMode="External" /><Relationship Type="http://schemas.openxmlformats.org/officeDocument/2006/relationships/hyperlink" Id="rId178" Target="https://doi.org/10.1016/j.neubiorev.2015.01.010" TargetMode="External" /><Relationship Type="http://schemas.openxmlformats.org/officeDocument/2006/relationships/hyperlink" Id="rId194" Target="https://doi.org/10.1016/j.neuroimage.2014.04.037" TargetMode="External" /><Relationship Type="http://schemas.openxmlformats.org/officeDocument/2006/relationships/hyperlink" Id="rId151" Target="https://doi.org/10.1016/j.neuroimage.2016.07.040" TargetMode="External" /><Relationship Type="http://schemas.openxmlformats.org/officeDocument/2006/relationships/hyperlink" Id="rId374" Target="https://doi.org/10.1016/j.neuroimage.2016.10.038" TargetMode="External" /><Relationship Type="http://schemas.openxmlformats.org/officeDocument/2006/relationships/hyperlink" Id="rId372" Target="https://doi.org/10.1016/j.neuroimage.2017.06.061" TargetMode="External" /><Relationship Type="http://schemas.openxmlformats.org/officeDocument/2006/relationships/hyperlink" Id="rId248" Target="https://doi.org/10.1016/j.neuroimage.2017.08.005" TargetMode="External" /><Relationship Type="http://schemas.openxmlformats.org/officeDocument/2006/relationships/hyperlink" Id="rId344" Target="https://doi.org/10.1016/j.neuroimage.2019.06.048" TargetMode="External" /><Relationship Type="http://schemas.openxmlformats.org/officeDocument/2006/relationships/hyperlink" Id="rId202" Target="https://doi.org/10.1016/j.neuron.2015.09.004" TargetMode="External" /><Relationship Type="http://schemas.openxmlformats.org/officeDocument/2006/relationships/hyperlink" Id="rId364" Target="https://doi.org/10.1016/j.neuropsychologia.2014.02.002" TargetMode="External" /><Relationship Type="http://schemas.openxmlformats.org/officeDocument/2006/relationships/hyperlink" Id="rId188" Target="https://doi.org/10.1016/j.neuropsychologia.2025.109150" TargetMode="External" /><Relationship Type="http://schemas.openxmlformats.org/officeDocument/2006/relationships/hyperlink" Id="rId264" Target="https://doi.org/10.1016/j.tics.2014.01.002" TargetMode="External" /><Relationship Type="http://schemas.openxmlformats.org/officeDocument/2006/relationships/hyperlink" Id="rId232" Target="https://doi.org/10.1017/9781009400640.020" TargetMode="External" /><Relationship Type="http://schemas.openxmlformats.org/officeDocument/2006/relationships/hyperlink" Id="rId390" Target="https://doi.org/10.1017/9781108957823.010" TargetMode="External" /><Relationship Type="http://schemas.openxmlformats.org/officeDocument/2006/relationships/hyperlink" Id="rId338" Target="https://doi.org/10.1017/9781316014660" TargetMode="External" /><Relationship Type="http://schemas.openxmlformats.org/officeDocument/2006/relationships/hyperlink" Id="rId186" Target="https://doi.org/10.1017/S136672890700291X" TargetMode="External" /><Relationship Type="http://schemas.openxmlformats.org/officeDocument/2006/relationships/hyperlink" Id="rId360" Target="https://doi.org/10.1017/S1366728912000302" TargetMode="External" /><Relationship Type="http://schemas.openxmlformats.org/officeDocument/2006/relationships/hyperlink" Id="rId334" Target="https://doi.org/10.1017/S136672891300059X" TargetMode="External" /><Relationship Type="http://schemas.openxmlformats.org/officeDocument/2006/relationships/hyperlink" Id="rId238" Target="https://doi.org/10.1017/S1366728917000426" TargetMode="External" /><Relationship Type="http://schemas.openxmlformats.org/officeDocument/2006/relationships/hyperlink" Id="rId304" Target="https://doi.org/10.1017/S1366728917000566" TargetMode="External" /><Relationship Type="http://schemas.openxmlformats.org/officeDocument/2006/relationships/hyperlink" Id="rId276" Target="https://doi.org/10.1017/S1366728918001153" TargetMode="External" /><Relationship Type="http://schemas.openxmlformats.org/officeDocument/2006/relationships/hyperlink" Id="rId206" Target="https://doi.org/10.1037/0033-2909.125.6.777" TargetMode="External" /><Relationship Type="http://schemas.openxmlformats.org/officeDocument/2006/relationships/hyperlink" Id="rId196" Target="https://doi.org/10.1037/1082-989X.3.2.186" TargetMode="External" /><Relationship Type="http://schemas.openxmlformats.org/officeDocument/2006/relationships/hyperlink" Id="rId368" Target="https://doi.org/10.1037/a0014678" TargetMode="External" /><Relationship Type="http://schemas.openxmlformats.org/officeDocument/2006/relationships/hyperlink" Id="rId198" Target="https://doi.org/10.1037/met0000065" TargetMode="External" /><Relationship Type="http://schemas.openxmlformats.org/officeDocument/2006/relationships/hyperlink" Id="rId170" Target="https://doi.org/10.1037/met0000159" TargetMode="External" /><Relationship Type="http://schemas.openxmlformats.org/officeDocument/2006/relationships/hyperlink" Id="rId346" Target="https://doi.org/10.1037/met0000275" TargetMode="External" /><Relationship Type="http://schemas.openxmlformats.org/officeDocument/2006/relationships/hyperlink" Id="rId153" Target="https://doi.org/10.1038/d41586-019-00857-9" TargetMode="External" /><Relationship Type="http://schemas.openxmlformats.org/officeDocument/2006/relationships/hyperlink" Id="rId266" Target="https://doi.org/10.1038/nn.2303" TargetMode="External" /><Relationship Type="http://schemas.openxmlformats.org/officeDocument/2006/relationships/hyperlink" Id="rId308" Target="https://doi.org/10.1038/nn.2886" TargetMode="External" /><Relationship Type="http://schemas.openxmlformats.org/officeDocument/2006/relationships/hyperlink" Id="rId268" Target="https://doi.org/10.1038/s41562-021-01177-7" TargetMode="External" /><Relationship Type="http://schemas.openxmlformats.org/officeDocument/2006/relationships/hyperlink" Id="rId318" Target="https://doi.org/10.1038/s41562-023-01680-z" TargetMode="External" /><Relationship Type="http://schemas.openxmlformats.org/officeDocument/2006/relationships/hyperlink" Id="rId260" Target="https://doi.org/10.1038/s41593-020-0660-4" TargetMode="External" /><Relationship Type="http://schemas.openxmlformats.org/officeDocument/2006/relationships/hyperlink" Id="rId370" Target="https://doi.org/10.1038/s43586-020-00001-2" TargetMode="External" /><Relationship Type="http://schemas.openxmlformats.org/officeDocument/2006/relationships/hyperlink" Id="rId212" Target="https://doi.org/10.1073/pnas.012611199" TargetMode="External" /><Relationship Type="http://schemas.openxmlformats.org/officeDocument/2006/relationships/hyperlink" Id="rId312" Target="https://doi.org/10.1073/pnas.1708274114" TargetMode="External" /><Relationship Type="http://schemas.openxmlformats.org/officeDocument/2006/relationships/hyperlink" Id="rId350" Target="https://doi.org/10.1075/lab.20055.sch" TargetMode="External" /><Relationship Type="http://schemas.openxmlformats.org/officeDocument/2006/relationships/hyperlink" Id="rId290" Target="https://doi.org/10.1075/lab.22063.mit" TargetMode="External" /><Relationship Type="http://schemas.openxmlformats.org/officeDocument/2006/relationships/hyperlink" Id="rId286" Target="https://doi.org/10.1080/00031305.2017.1375986" TargetMode="External" /><Relationship Type="http://schemas.openxmlformats.org/officeDocument/2006/relationships/hyperlink" Id="rId208" Target="https://doi.org/10.1080/14790710408668175" TargetMode="External" /><Relationship Type="http://schemas.openxmlformats.org/officeDocument/2006/relationships/hyperlink" Id="rId230" Target="https://doi.org/10.1080/14790718.2024.2415993" TargetMode="External" /><Relationship Type="http://schemas.openxmlformats.org/officeDocument/2006/relationships/hyperlink" Id="rId324" Target="https://doi.org/10.1080/14790718.2024.2418013" TargetMode="External" /><Relationship Type="http://schemas.openxmlformats.org/officeDocument/2006/relationships/hyperlink" Id="rId222" Target="https://doi.org/10.1080/19345747.2011.618213" TargetMode="External" /><Relationship Type="http://schemas.openxmlformats.org/officeDocument/2006/relationships/hyperlink" Id="rId384" Target="https://doi.org/10.1080/23273798.2023.2223783" TargetMode="External" /><Relationship Type="http://schemas.openxmlformats.org/officeDocument/2006/relationships/hyperlink" Id="rId330" Target="https://doi.org/10.1093/bjps/axx023" TargetMode="External" /><Relationship Type="http://schemas.openxmlformats.org/officeDocument/2006/relationships/hyperlink" Id="rId214" Target="https://doi.org/10.1097/00001756-200110290-00048" TargetMode="External" /><Relationship Type="http://schemas.openxmlformats.org/officeDocument/2006/relationships/hyperlink" Id="rId192" Target="https://doi.org/10.1098/rstb.2009.0111" TargetMode="External" /><Relationship Type="http://schemas.openxmlformats.org/officeDocument/2006/relationships/hyperlink" Id="rId354" Target="https://doi.org/10.1111/cogs.12343" TargetMode="External" /><Relationship Type="http://schemas.openxmlformats.org/officeDocument/2006/relationships/hyperlink" Id="rId316" Target="https://doi.org/10.1111/j.1467-9922.2006.00361.x" TargetMode="External" /><Relationship Type="http://schemas.openxmlformats.org/officeDocument/2006/relationships/hyperlink" Id="rId294" Target="https://doi.org/10.1111/j.1467-9922.2009.00554.x" TargetMode="External" /><Relationship Type="http://schemas.openxmlformats.org/officeDocument/2006/relationships/hyperlink" Id="rId348" Target="https://doi.org/10.1111/j.2041-210X.2010.00012.x" TargetMode="External" /><Relationship Type="http://schemas.openxmlformats.org/officeDocument/2006/relationships/hyperlink" Id="rId254" Target="https://doi.org/10.1111/lang.12525" TargetMode="External" /><Relationship Type="http://schemas.openxmlformats.org/officeDocument/2006/relationships/hyperlink" Id="rId362" Target="https://doi.org/10.1111/psyp.12437" TargetMode="External" /><Relationship Type="http://schemas.openxmlformats.org/officeDocument/2006/relationships/hyperlink" Id="rId342" Target="https://doi.org/10.1111/psyp.13335" TargetMode="External" /><Relationship Type="http://schemas.openxmlformats.org/officeDocument/2006/relationships/hyperlink" Id="rId147" Target="https://doi.org/10.1111/psyp.13451" TargetMode="External" /><Relationship Type="http://schemas.openxmlformats.org/officeDocument/2006/relationships/hyperlink" Id="rId157" Target="https://doi.org/10.1111/psyp.14302" TargetMode="External" /><Relationship Type="http://schemas.openxmlformats.org/officeDocument/2006/relationships/hyperlink" Id="rId246" Target="https://doi.org/10.1111/psyp.14491" TargetMode="External" /><Relationship Type="http://schemas.openxmlformats.org/officeDocument/2006/relationships/hyperlink" Id="rId182" Target="https://doi.org/10.1111/psyp.14570" TargetMode="External" /><Relationship Type="http://schemas.openxmlformats.org/officeDocument/2006/relationships/hyperlink" Id="rId216" Target="https://doi.org/10.1111/rssa.12378" TargetMode="External" /><Relationship Type="http://schemas.openxmlformats.org/officeDocument/2006/relationships/hyperlink" Id="rId244" Target="https://doi.org/10.1126/science.1063736" TargetMode="External" /><Relationship Type="http://schemas.openxmlformats.org/officeDocument/2006/relationships/hyperlink" Id="rId278" Target="https://doi.org/10.1126/science.aal3618" TargetMode="External" /><Relationship Type="http://schemas.openxmlformats.org/officeDocument/2006/relationships/hyperlink" Id="rId256" Target="https://doi.org/10.1162/089892903321107855" TargetMode="External" /><Relationship Type="http://schemas.openxmlformats.org/officeDocument/2006/relationships/hyperlink" Id="rId298" Target="https://doi.org/10.1162/0898929055002463" TargetMode="External" /><Relationship Type="http://schemas.openxmlformats.org/officeDocument/2006/relationships/hyperlink" Id="rId296" Target="https://doi.org/10.1162/jocn_a_00119" TargetMode="External" /><Relationship Type="http://schemas.openxmlformats.org/officeDocument/2006/relationships/hyperlink" Id="rId240" Target="https://doi.org/10.1162/jocn_a_01068" TargetMode="External" /><Relationship Type="http://schemas.openxmlformats.org/officeDocument/2006/relationships/hyperlink" Id="rId161" Target="https://doi.org/10.1177/0267658307080557" TargetMode="External" /><Relationship Type="http://schemas.openxmlformats.org/officeDocument/2006/relationships/hyperlink" Id="rId332" Target="https://doi.org/10.1177/0267658310386439" TargetMode="External" /><Relationship Type="http://schemas.openxmlformats.org/officeDocument/2006/relationships/hyperlink" Id="rId204" Target="https://doi.org/10.1177/0267658310386647" TargetMode="External" /><Relationship Type="http://schemas.openxmlformats.org/officeDocument/2006/relationships/hyperlink" Id="rId326" Target="https://doi.org/10.1177/0267658318809147" TargetMode="External" /><Relationship Type="http://schemas.openxmlformats.org/officeDocument/2006/relationships/hyperlink" Id="rId386" Target="https://doi.org/10.1177/0267658319884116" TargetMode="External" /><Relationship Type="http://schemas.openxmlformats.org/officeDocument/2006/relationships/hyperlink" Id="rId184" Target="https://doi.org/10.1177/02676583251332128" TargetMode="External" /><Relationship Type="http://schemas.openxmlformats.org/officeDocument/2006/relationships/hyperlink" Id="rId356" Target="https://doi.org/10.1177/02676583261426778" TargetMode="External" /><Relationship Type="http://schemas.openxmlformats.org/officeDocument/2006/relationships/hyperlink" Id="rId388" Target="https://doi.org/10.1177/1367006916648859" TargetMode="External" /><Relationship Type="http://schemas.openxmlformats.org/officeDocument/2006/relationships/hyperlink" Id="rId236" Target="https://doi.org/10.1177/1367006916649265" TargetMode="External" /><Relationship Type="http://schemas.openxmlformats.org/officeDocument/2006/relationships/hyperlink" Id="rId358" Target="https://doi.org/10.1177/1367006916655413" TargetMode="External" /><Relationship Type="http://schemas.openxmlformats.org/officeDocument/2006/relationships/hyperlink" Id="rId382" Target="https://doi.org/10.1177/1745691612463078" TargetMode="External" /><Relationship Type="http://schemas.openxmlformats.org/officeDocument/2006/relationships/hyperlink" Id="rId220" Target="https://doi.org/10.1177/1745691614551642" TargetMode="External" /><Relationship Type="http://schemas.openxmlformats.org/officeDocument/2006/relationships/hyperlink" Id="rId302" Target="https://doi.org/10.1186/1471-2202-10-89" TargetMode="External" /><Relationship Type="http://schemas.openxmlformats.org/officeDocument/2006/relationships/hyperlink" Id="rId272" Target="https://doi.org/10.1186/1471-2202-11-5" TargetMode="External" /><Relationship Type="http://schemas.openxmlformats.org/officeDocument/2006/relationships/hyperlink" Id="rId300" Target="https://doi.org/10.1186/1471-2202-8-18" TargetMode="External" /><Relationship Type="http://schemas.openxmlformats.org/officeDocument/2006/relationships/hyperlink" Id="rId226" Target="https://doi.org/10.1198/000313006X152649" TargetMode="External" /><Relationship Type="http://schemas.openxmlformats.org/officeDocument/2006/relationships/hyperlink" Id="rId218" Target="https://doi.org/10.1214/06-BA117A" TargetMode="External" /><Relationship Type="http://schemas.openxmlformats.org/officeDocument/2006/relationships/hyperlink" Id="rId224" Target="https://doi.org/10.1214/08-AOAS191" TargetMode="External" /><Relationship Type="http://schemas.openxmlformats.org/officeDocument/2006/relationships/hyperlink" Id="rId378" Target="https://doi.org/10.1214/20-BA1221" TargetMode="External" /><Relationship Type="http://schemas.openxmlformats.org/officeDocument/2006/relationships/hyperlink" Id="rId292" Target="https://doi.org/10.1371/journal.pone.0032974" TargetMode="External" /><Relationship Type="http://schemas.openxmlformats.org/officeDocument/2006/relationships/hyperlink" Id="rId149" Target="https://doi.org/10.1371/journal.pone.0200791" TargetMode="External" /><Relationship Type="http://schemas.openxmlformats.org/officeDocument/2006/relationships/hyperlink" Id="rId234" Target="https://doi.org/10.1371/journal.pone.0247976" TargetMode="External" /><Relationship Type="http://schemas.openxmlformats.org/officeDocument/2006/relationships/hyperlink" Id="rId396" Target="https://doi.org/10.1523/JNEUROSCI.2126-24.2025" TargetMode="External" /><Relationship Type="http://schemas.openxmlformats.org/officeDocument/2006/relationships/hyperlink" Id="rId180" Target="https://doi.org/10.18637/jss.v076.i01" TargetMode="External" /><Relationship Type="http://schemas.openxmlformats.org/officeDocument/2006/relationships/hyperlink" Id="rId172" Target="https://doi.org/10.18637/jss.v080.i01" TargetMode="External" /><Relationship Type="http://schemas.openxmlformats.org/officeDocument/2006/relationships/hyperlink" Id="rId322" Target="https://doi.org/10.2202/1544-6115.1585" TargetMode="External" /><Relationship Type="http://schemas.openxmlformats.org/officeDocument/2006/relationships/hyperlink" Id="rId165" Target="https://doi.org/10.32614/CRAN.package.depictr" TargetMode="External" /><Relationship Type="http://schemas.openxmlformats.org/officeDocument/2006/relationships/hyperlink" Id="rId167" Target="https://doi.org/10.32614/CRAN.package.scopusflow" TargetMode="External" /><Relationship Type="http://schemas.openxmlformats.org/officeDocument/2006/relationships/hyperlink" Id="rId174" Target="https://doi.org/10.32614/RJ-2018-017" TargetMode="External" /><Relationship Type="http://schemas.openxmlformats.org/officeDocument/2006/relationships/hyperlink" Id="rId258" Target="https://doi.org/10.3389/fnhum.2015.00151" TargetMode="External" /><Relationship Type="http://schemas.openxmlformats.org/officeDocument/2006/relationships/hyperlink" Id="rId336" Target="https://doi.org/10.3389/fpsyg.2015.01087" TargetMode="External" /><Relationship Type="http://schemas.openxmlformats.org/officeDocument/2006/relationships/hyperlink" Id="rId282" Target="https://doi.org/10.3389/fpsyg.2019.02767" TargetMode="External" /><Relationship Type="http://schemas.openxmlformats.org/officeDocument/2006/relationships/hyperlink" Id="rId250" Target="https://doi.org/10.3389/fpsyg.2020.00073" TargetMode="External" /><Relationship Type="http://schemas.openxmlformats.org/officeDocument/2006/relationships/hyperlink" Id="rId320" Target="https://doi.org/10.3390/brainsci12050669" TargetMode="External" /><Relationship Type="http://schemas.openxmlformats.org/officeDocument/2006/relationships/hyperlink" Id="rId155" Target="https://doi.org/10.3390/languages8010090" TargetMode="External" /><Relationship Type="http://schemas.openxmlformats.org/officeDocument/2006/relationships/hyperlink" Id="rId242" Target="https://doi.org/10.3758/BF03203619" TargetMode="External" /><Relationship Type="http://schemas.openxmlformats.org/officeDocument/2006/relationships/hyperlink" Id="rId270" Target="https://doi.org/10.3758/s13423-016-1221-4" TargetMode="External" /><Relationship Type="http://schemas.openxmlformats.org/officeDocument/2006/relationships/hyperlink" Id="rId280" Target="https://doi.org/10.4324/9781410611147" TargetMode="External" /><Relationship Type="http://schemas.openxmlformats.org/officeDocument/2006/relationships/hyperlink" Id="rId366" Target="https://doi.org/10.52294/apertureneuro.2022.2.maoc6465" TargetMode="External" /><Relationship Type="http://schemas.openxmlformats.org/officeDocument/2006/relationships/hyperlink" Id="rId137" Target="https://github.com/pablobernabeu/LESS-morphosyntactic-transfer" TargetMode="External" /><Relationship Type="http://schemas.openxmlformats.org/officeDocument/2006/relationships/hyperlink" Id="rId47" Target="https://orcid.org/0000-0001-5047-3226" TargetMode="External" /><Relationship Type="http://schemas.openxmlformats.org/officeDocument/2006/relationships/hyperlink" Id="rId35" Target="https://orcid.org/0000-0002-2275-209X" TargetMode="External" /><Relationship Type="http://schemas.openxmlformats.org/officeDocument/2006/relationships/hyperlink" Id="rId31" Target="https://orcid.org/0000-0002-5349-7036" TargetMode="External" /><Relationship Type="http://schemas.openxmlformats.org/officeDocument/2006/relationships/hyperlink" Id="rId43" Target="https://orcid.org/0000-0002-9357-4948" TargetMode="External" /><Relationship Type="http://schemas.openxmlformats.org/officeDocument/2006/relationships/hyperlink" Id="rId27" Target="https://orcid.org/0000-0003-1083-2460" TargetMode="External" /><Relationship Type="http://schemas.openxmlformats.org/officeDocument/2006/relationships/hyperlink" Id="rId39" Target="https://orcid.org/0009-0003-3936-6384" TargetMode="External" /><Relationship Type="http://schemas.openxmlformats.org/officeDocument/2006/relationships/hyperlink" Id="rId91" Target="https://osf.io/tjr54" TargetMode="External" /><Relationship Type="http://schemas.openxmlformats.org/officeDocument/2006/relationships/hyperlink" Id="rId138" Target="https://osf.io/tq7vy" TargetMode="External" /><Relationship Type="http://schemas.openxmlformats.org/officeDocument/2006/relationships/hyperlink" Id="rId328"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LONGITUDINAL L3 MORPHOSYNTACTIC TRANSFER</dc:description>
  <cp:keywords>L3 acquisition, morphosyntactic transfer, ERP, artificial language, signal detection theory, Bayesian multilevel models</cp:keywords>
  <dcterms:created xsi:type="dcterms:W3CDTF">2026-10-26T23:55:04Z</dcterms:created>
  <dcterms:modified xsi:type="dcterms:W3CDTF">2026-10-26T23:55:04Z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Theories of third-language (L3) morphosyntactic transfer disagree over whether prior grammars are transferred whole or property by property. The Typological Primacy Model predicts that similarity in the lexicon selects the grammar that is transferred, whereas property-by-property accounts allow a prior-language property to be recruited whatever the lexicon resembles. We trained 65 Norwegian–English bilinguals on Mini-Norwegian or Mini-English, miniature languages sharing their grammatical morphemes but built on Norwegian or English words, and recorded grammaticality judgements and event-related potentials (ERPs) to three properties across four sessions, the last a retention test months later. For gender agreement, which Norwegian has and English lacks, signal-detection analyses of the judgements showed the Mini-Norwegian group to be no more sensitive than the Mini-English group at any session. In the ERPs, gender-agreement violations elicited a negativity that grew across sessions in the late window; neither it nor its growth differed credibly between groups. In the later sessions, Mini-Norwegian learners more readily judged gender-agreement sentences grammatical, ungrammatical ones included, a criterion difference not credible once each learner’s change in criterion was modelled. Differential object marking and verb–object number agreement, absent from both prior languages, showed no credible group difference in sensitivity at any session. The absence of a Mini-Norwegian advantage is what property-by-property accounts allow and lexically cued wholesale transfer does not. Without a measurement before training or a comparison group lacking gender, the design narrows the debate without settling it. Lexical similarity brought no sensitivity advantage, and its influence on acceptance remains suggestive.</vt:lpwstr>
  </property>
  <property fmtid="{D5CDD505-2E9C-101B-9397-08002B2CF9AE}" pid="5" name="apaauthor">
    <vt:lpwstr/>
  </property>
  <property fmtid="{D5CDD505-2E9C-101B-9397-08002B2CF9AE}" pid="6" name="apatitle">
    <vt:lpwstr>The Neurocognition of Longitudinal L3 Morphosyntactic Transfer: A Bayesian Single-Trial ERP Study of Three Grammatical Properties in Two Artificial Languages</vt:lpwstr>
  </property>
  <property fmtid="{D5CDD505-2E9C-101B-9397-08002B2CF9AE}" pid="7" name="apatitledisplay">
    <vt:lpwstr>The Neurocognition of Longitudinal L3 Morphosyntactic Transfer: A Bayesian Single-Trial ERP Study of Three Grammatical Properties in Two Artificial Languages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
    <vt:lpwstr>source</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references">
    <vt:lpwstr/>
  </property>
  <property fmtid="{D5CDD505-2E9C-101B-9397-08002B2CF9AE}" pid="34" name="revealjs-plugins">
    <vt:lpwstr/>
  </property>
  <property fmtid="{D5CDD505-2E9C-101B-9397-08002B2CF9AE}" pid="35" name="shorttitle">
    <vt:lpwstr>LONGITUDINAL L3 MORPHOSYNTACTIC TRANSFER</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countr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n">
    <vt:lpwstr>23805</vt:lpwstr>
  </property>
  <property fmtid="{D5CDD505-2E9C-101B-9397-08002B2CF9AE}" pid="64" name="zerocitations">
    <vt:lpwstr>False</vt:lpwstr>
  </property>
</Properties>
</file>