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82.png" ContentType="image/png"/>
  <Override PartName="/word/media/rId114.png" ContentType="image/png"/>
  <Override PartName="/word/media/rId55.png" ContentType="image/png"/>
  <Override PartName="/word/media/rId405.png" ContentType="image/png"/>
  <Override PartName="/word/media/rId94.png" ContentType="image/png"/>
  <Override PartName="/word/media/rId105.png" ContentType="image/png"/>
  <Override PartName="/word/media/rId98.png" ContentType="image/png"/>
  <Override PartName="/word/media/rId61.png" ContentType="image/png"/>
  <Override PartName="/word/media/rId69.png" ContentType="image/png"/>
  <Override PartName="/word/media/rId7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The Neurocognition of Longitudinal L3 Morphosyntactic Transfer: A Bayesian Single-Trial ERP Study of Three Grammatical Properties in Two Artificial Languages</w:t>
      </w:r>
    </w:p>
    <w:p>
      <w:pPr>
        <w:pStyle w:val="Author"/>
      </w:pPr>
      <w:r>
        <w:t xml:space="preserve"> </w:t>
      </w:r>
    </w:p>
    <w:p>
      <w:pPr>
        <w:pStyle w:val="Author"/>
      </w:pPr>
      <w:r>
        <w:t xml:space="preserve">Pablo Bernabeu</w:t>
      </w:r>
      <w:r>
        <w:rPr>
          <w:vertAlign w:val="superscript"/>
        </w:rPr>
        <w:t xml:space="preserve">1,2</w:t>
      </w:r>
      <w:r>
        <w:t xml:space="preserve">, Christina Athanasiadi</w:t>
      </w:r>
      <w:r>
        <w:rPr>
          <w:vertAlign w:val="superscript"/>
        </w:rPr>
        <w:t xml:space="preserve">2</w:t>
      </w:r>
      <w:r>
        <w:t xml:space="preserve">, Stella L. Pischinger</w:t>
      </w:r>
      <w:r>
        <w:rPr>
          <w:vertAlign w:val="superscript"/>
        </w:rPr>
        <w:t xml:space="preserve">2</w:t>
      </w:r>
      <w:r>
        <w:t xml:space="preserve">, Gabriella Silva</w:t>
      </w:r>
      <w:r>
        <w:rPr>
          <w:vertAlign w:val="superscript"/>
        </w:rPr>
        <w:t xml:space="preserve">3</w:t>
      </w:r>
      <w:r>
        <w:t xml:space="preserve">, My Ngoc Giang Hoang</w:t>
      </w:r>
      <w:r>
        <w:rPr>
          <w:vertAlign w:val="superscript"/>
        </w:rPr>
        <w:t xml:space="preserve">2</w:t>
      </w:r>
      <w:r>
        <w:t xml:space="preserve">, Vincent DeLuca</w:t>
      </w:r>
      <w:r>
        <w:rPr>
          <w:vertAlign w:val="superscript"/>
        </w:rPr>
        <w:t xml:space="preserve">2</w:t>
      </w:r>
      <w:r>
        <w:t xml:space="preserve">, Jason Rothman</w:t>
      </w:r>
      <w:r>
        <w:rPr>
          <w:vertAlign w:val="superscript"/>
        </w:rPr>
        <w:t xml:space="preserve">2,3,4</w:t>
      </w:r>
      <w:r>
        <w:t xml:space="preserve">, Iva Ivanova</w:t>
      </w:r>
      <w:r>
        <w:rPr>
          <w:vertAlign w:val="superscript"/>
        </w:rPr>
        <w:t xml:space="preserve">5</w:t>
      </w:r>
      <w:r>
        <w:t xml:space="preserve">, Claudia Poch</w:t>
      </w:r>
      <w:r>
        <w:rPr>
          <w:vertAlign w:val="superscript"/>
        </w:rPr>
        <w:t xml:space="preserve">3</w:t>
      </w:r>
      <w:r>
        <w:t xml:space="preserve">, and Jorge González Alonso</w:t>
      </w:r>
      <w:r>
        <w:rPr>
          <w:vertAlign w:val="superscript"/>
        </w:rPr>
        <w:t xml:space="preserve">2,3</w:t>
      </w:r>
    </w:p>
    <w:p>
      <w:pPr>
        <w:pStyle w:val="Author"/>
      </w:pPr>
      <w:r>
        <w:rPr>
          <w:vertAlign w:val="superscript"/>
        </w:rPr>
        <w:t xml:space="preserve">1</w:t>
      </w:r>
      <w:r>
        <w:t xml:space="preserve">Department of Education, University of Oxford</w:t>
      </w:r>
    </w:p>
    <w:p>
      <w:pPr>
        <w:pStyle w:val="Author"/>
      </w:pPr>
      <w:r>
        <w:rPr>
          <w:vertAlign w:val="superscript"/>
        </w:rPr>
        <w:t xml:space="preserve">2</w:t>
      </w:r>
      <w:r>
        <w:t xml:space="preserve">Center for Language, Brain and Learning (C-LaBL), UiT The Arctic University of Norway</w:t>
      </w:r>
    </w:p>
    <w:p>
      <w:pPr>
        <w:pStyle w:val="Author"/>
      </w:pPr>
      <w:r>
        <w:rPr>
          <w:vertAlign w:val="superscript"/>
        </w:rPr>
        <w:t xml:space="preserve">3</w:t>
      </w:r>
      <w:r>
        <w:t xml:space="preserve">Nebrija Research Center in Cognition (CINC), Nebrija University</w:t>
      </w:r>
    </w:p>
    <w:p>
      <w:pPr>
        <w:pStyle w:val="Author"/>
      </w:pPr>
      <w:r>
        <w:rPr>
          <w:vertAlign w:val="superscript"/>
        </w:rPr>
        <w:t xml:space="preserve">4</w:t>
      </w:r>
      <w:r>
        <w:t xml:space="preserve">Department of Linguistics and English Language, Lancaster University</w:t>
      </w:r>
    </w:p>
    <w:p>
      <w:pPr>
        <w:pStyle w:val="Author"/>
      </w:pPr>
      <w:r>
        <w:rPr>
          <w:vertAlign w:val="superscript"/>
        </w:rPr>
        <w:t xml:space="preserve">5</w:t>
      </w:r>
      <w:r>
        <w:t xml:space="preserve">Department of Psychology, University of Texas at El Paso</w:t>
      </w:r>
    </w:p>
    <w:p>
      <w:pPr>
        <w:pStyle w:val="BodyText"/>
      </w:pPr>
      <w:r>
        <w:t xml:space="preserve"> </w:t>
      </w:r>
    </w:p>
    <w:p>
      <w:pPr>
        <w:pStyle w:val="BodyText"/>
      </w:pPr>
      <w:r>
        <w:t xml:space="preserve"> </w:t>
      </w:r>
    </w:p>
    <w:bookmarkEnd w:id="22"/>
    <w:bookmarkStart w:id="48" w:name="author-note"/>
    <w:p>
      <w:pPr>
        <w:pStyle w:val="Heading1"/>
      </w:pPr>
      <w:r>
        <w:t xml:space="preserve">Author Note</w:t>
      </w:r>
    </w:p>
    <w:p>
      <w:pPr>
        <w:pStyle w:val="FirstParagraph"/>
      </w:pPr>
      <w:r>
        <w:t xml:space="preserve">Pablo Bernabeu</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https://orcid.org/0000-0003-1083-2460</w:t>
        </w:r>
      </w:hyperlink>
    </w:p>
    <w:p>
      <w:pPr>
        <w:pStyle w:val="BodyText"/>
      </w:pPr>
      <w:r>
        <w:t xml:space="preserve">Gabriella Silva</w:t>
      </w:r>
      <w:r>
        <w:t xml:space="preserve"> </w:t>
      </w:r>
      <w:bookmarkStart w:id="30"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https://orcid.org/0000-0002-5349-7036</w:t>
        </w:r>
      </w:hyperlink>
    </w:p>
    <w:p>
      <w:pPr>
        <w:pStyle w:val="BodyText"/>
      </w:pPr>
      <w:r>
        <w:t xml:space="preserve">Vincent DeLuca</w:t>
      </w:r>
      <w:r>
        <w:t xml:space="preserve"> </w:t>
      </w:r>
      <w:bookmarkStart w:id="34" w:name="orc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wjschne/apaquarto/ORCID-iD_icon-vector.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4"/>
      <w:r>
        <w:t xml:space="preserve"> </w:t>
      </w:r>
      <w:hyperlink r:id="rId35">
        <w:r>
          <w:rPr>
            <w:rStyle w:val="Hyperlink"/>
          </w:rPr>
          <w:t xml:space="preserve">https://orcid.org/0000-0002-2275-209X</w:t>
        </w:r>
      </w:hyperlink>
    </w:p>
    <w:p>
      <w:pPr>
        <w:pStyle w:val="BodyText"/>
      </w:pPr>
      <w:r>
        <w:t xml:space="preserve">Jason Rothman</w:t>
      </w:r>
      <w:r>
        <w:t xml:space="preserve"> </w:t>
      </w:r>
      <w:bookmarkStart w:id="38" w:name="orcid"/>
      <w:r>
        <w:drawing>
          <wp:inline>
            <wp:extent cx="152279" cy="152279"/>
            <wp:effectExtent b="0" l="0" r="0" t="0"/>
            <wp:docPr descr="Orcid ID Logo: A green circle with white letters ID" title="" id="36" name="Picture"/>
            <a:graphic>
              <a:graphicData uri="http://schemas.openxmlformats.org/drawingml/2006/picture">
                <pic:pic>
                  <pic:nvPicPr>
                    <pic:cNvPr descr="_extensions/wjschne/apaquarto/ORCID-iD_icon-vector.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8"/>
      <w:r>
        <w:t xml:space="preserve"> </w:t>
      </w:r>
      <w:hyperlink r:id="rId39">
        <w:r>
          <w:rPr>
            <w:rStyle w:val="Hyperlink"/>
          </w:rPr>
          <w:t xml:space="preserve">https://orcid.org/0009-0003-3936-6384</w:t>
        </w:r>
      </w:hyperlink>
    </w:p>
    <w:p>
      <w:pPr>
        <w:pStyle w:val="BodyText"/>
      </w:pPr>
      <w:r>
        <w:t xml:space="preserve">Claudia Poch</w:t>
      </w:r>
      <w:r>
        <w:t xml:space="preserve"> </w:t>
      </w:r>
      <w:bookmarkStart w:id="42" w:name="orcid"/>
      <w:r>
        <w:drawing>
          <wp:inline>
            <wp:extent cx="152279" cy="152279"/>
            <wp:effectExtent b="0" l="0" r="0" t="0"/>
            <wp:docPr descr="Orcid ID Logo: A green circle with white letters ID" title="" id="40" name="Picture"/>
            <a:graphic>
              <a:graphicData uri="http://schemas.openxmlformats.org/drawingml/2006/picture">
                <pic:pic>
                  <pic:nvPicPr>
                    <pic:cNvPr descr="_extensions/wjschne/apaquarto/ORCID-iD_icon-vector.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2"/>
      <w:r>
        <w:t xml:space="preserve"> </w:t>
      </w:r>
      <w:hyperlink r:id="rId43">
        <w:r>
          <w:rPr>
            <w:rStyle w:val="Hyperlink"/>
          </w:rPr>
          <w:t xml:space="preserve">https://orcid.org/0000-0002-9357-4948</w:t>
        </w:r>
      </w:hyperlink>
    </w:p>
    <w:p>
      <w:pPr>
        <w:pStyle w:val="BodyText"/>
      </w:pPr>
      <w:r>
        <w:t xml:space="preserve">Jorge González Alonso</w:t>
      </w:r>
      <w:r>
        <w:t xml:space="preserve"> </w:t>
      </w:r>
      <w:bookmarkStart w:id="46" w:name="orcid"/>
      <w:r>
        <w:drawing>
          <wp:inline>
            <wp:extent cx="152279" cy="152279"/>
            <wp:effectExtent b="0" l="0" r="0" t="0"/>
            <wp:docPr descr="Orcid ID Logo: A green circle with white letters ID" title="" id="44" name="Picture"/>
            <a:graphic>
              <a:graphicData uri="http://schemas.openxmlformats.org/drawingml/2006/picture">
                <pic:pic>
                  <pic:nvPicPr>
                    <pic:cNvPr descr="_extensions/wjschne/apaquarto/ORCID-iD_icon-vector.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6"/>
      <w:r>
        <w:t xml:space="preserve"> </w:t>
      </w:r>
      <w:hyperlink r:id="rId47">
        <w:r>
          <w:rPr>
            <w:rStyle w:val="Hyperlink"/>
          </w:rPr>
          <w:t xml:space="preserve">https://orcid.org/0000-0001-5047-3226</w:t>
        </w:r>
      </w:hyperlink>
    </w:p>
    <w:p>
      <w:pPr>
        <w:pStyle w:val="BodyText"/>
      </w:pPr>
      <w:r>
        <w:t xml:space="preserve">Correspondence concerning this article should be addressed to Pablo Bernabeu, Department of Education, University of Oxford, 15 Norham Gardens, Oxford OX2 6PY, United Kingdom, Email: pcbernabeu@gmail.com; or Jorge González Alonso, Nebrija Research Center in Cognition (CINC), Nebrija University, Calle de Asura 90, 28043 Madrid, Spain, Email: jgonzalezal@nebrija.es.</w:t>
      </w:r>
    </w:p>
    <w:p>
      <w:r>
        <w:br w:type="page"/>
      </w:r>
    </w:p>
    <w:bookmarkEnd w:id="48"/>
    <w:bookmarkStart w:id="49" w:name="abstract"/>
    <w:p>
      <w:pPr>
        <w:pStyle w:val="Heading1"/>
      </w:pPr>
      <w:r>
        <w:t xml:space="preserve">Abstract</w:t>
      </w:r>
    </w:p>
    <w:p>
      <w:pPr>
        <w:pStyle w:val="FirstParagraph"/>
      </w:pPr>
      <w:r>
        <w:rPr>
          <w:i/>
          <w:iCs/>
        </w:rPr>
        <w:t xml:space="preserve">Keywords</w:t>
      </w:r>
      <w:r>
        <w:t xml:space="preserve">: L3 acquisition, morphosyntactic transfer, ERP, artificial language, Bayesian multilevel models, retention</w:t>
      </w:r>
    </w:p>
    <w:p>
      <w:r>
        <w:br w:type="page"/>
      </w:r>
    </w:p>
    <w:bookmarkEnd w:id="49"/>
    <w:bookmarkStart w:id="60" w:name="firstheader"/>
    <w:p>
      <w:pPr>
        <w:pStyle w:val="Heading1"/>
      </w:pPr>
      <w:r>
        <w:t xml:space="preserve">The Neurocognition of Longitudinal L3 Morphosyntactic Transfer: A Bayesian Single-Trial ERP Study of Three Grammatical Properties in Two Artificial Languages</w:t>
      </w:r>
    </w:p>
    <w:p>
      <w:pPr>
        <w:pStyle w:val="FirstParagraph"/>
      </w:pPr>
      <w:r>
        <w:t xml:space="preserve">When multilingual speakers add a third or later language (L3/Ln), the grammars they</w:t>
      </w:r>
      <w:r>
        <w:t xml:space="preserve"> </w:t>
      </w:r>
      <w:r>
        <w:t xml:space="preserve">already command shape how its morphosyntax is represented and processed. How that prior knowledge is</w:t>
      </w:r>
      <w:r>
        <w:t xml:space="preserve"> </w:t>
      </w:r>
      <w:r>
        <w:t xml:space="preserve">recruited is the central question dividing contemporary models of L3</w:t>
      </w:r>
      <w:r>
        <w:t xml:space="preserve"> </w:t>
      </w:r>
      <w:r>
        <w:t xml:space="preserve">morphosyntactic transfer. Wholesale-transfer accounts hold that a single</w:t>
      </w:r>
      <w:r>
        <w:t xml:space="preserve"> </w:t>
      </w:r>
      <w:r>
        <w:t xml:space="preserve">previously acquired grammar is selected as the basis for the initial L3 grammar,</w:t>
      </w:r>
      <w:r>
        <w:t xml:space="preserve"> </w:t>
      </w:r>
      <w:r>
        <w:t xml:space="preserve">whether on typological grounds</w:t>
      </w:r>
      <w:r>
        <w:t xml:space="preserve"> </w:t>
      </w:r>
      <w:r>
        <w:t xml:space="preserve">(the Typological Primacy Model:</w:t>
      </w:r>
      <w:r>
        <w:t xml:space="preserve"> </w:t>
      </w:r>
      <w:hyperlink w:anchor="ref-rothman2011">
        <w:r>
          <w:rPr>
            <w:rStyle w:val="Hyperlink"/>
          </w:rPr>
          <w:t xml:space="preserve">Rothman, 2011</w:t>
        </w:r>
      </w:hyperlink>
      <w:r>
        <w:t xml:space="preserve">,</w:t>
      </w:r>
      <w:r>
        <w:t xml:space="preserve"> </w:t>
      </w:r>
      <w:hyperlink w:anchor="ref-rothman2015">
        <w:r>
          <w:rPr>
            <w:rStyle w:val="Hyperlink"/>
          </w:rPr>
          <w:t xml:space="preserve">2015</w:t>
        </w:r>
      </w:hyperlink>
      <w:r>
        <w:t xml:space="preserve">)</w:t>
      </w:r>
      <w:r>
        <w:t xml:space="preserve"> </w:t>
      </w:r>
      <w:r>
        <w:t xml:space="preserve">or because the second language enjoys a privileged cognitive status</w:t>
      </w:r>
      <w:r>
        <w:t xml:space="preserve"> </w:t>
      </w:r>
      <w:r>
        <w:t xml:space="preserve">(the L2 Status Factor:</w:t>
      </w:r>
      <w:r>
        <w:t xml:space="preserve"> </w:t>
      </w:r>
      <w:hyperlink w:anchor="ref-bardel2007">
        <w:r>
          <w:rPr>
            <w:rStyle w:val="Hyperlink"/>
          </w:rPr>
          <w:t xml:space="preserve">Bardel &amp; Falk, 2007</w:t>
        </w:r>
      </w:hyperlink>
      <w:r>
        <w:t xml:space="preserve">;</w:t>
      </w:r>
      <w:r>
        <w:t xml:space="preserve"> </w:t>
      </w:r>
      <w:hyperlink w:anchor="ref-falk2011">
        <w:r>
          <w:rPr>
            <w:rStyle w:val="Hyperlink"/>
          </w:rPr>
          <w:t xml:space="preserve">Falk &amp; Bardel, 2011</w:t>
        </w:r>
      </w:hyperlink>
      <w:r>
        <w:t xml:space="preserve">)</w:t>
      </w:r>
      <w:r>
        <w:t xml:space="preserve">. Property-by-property accounts</w:t>
      </w:r>
      <w:r>
        <w:t xml:space="preserve"> </w:t>
      </w:r>
      <w:r>
        <w:t xml:space="preserve">predict instead that transfer is selective and incremental, with individual</w:t>
      </w:r>
      <w:r>
        <w:t xml:space="preserve"> </w:t>
      </w:r>
      <w:r>
        <w:t xml:space="preserve">structures transferred (and, where helpful,</w:t>
      </w:r>
      <w:r>
        <w:t xml:space="preserve"> </w:t>
      </w:r>
      <w:r>
        <w:t xml:space="preserve">“enhanced”</w:t>
      </w:r>
      <w:r>
        <w:t xml:space="preserve">) one at a time as the</w:t>
      </w:r>
      <w:r>
        <w:t xml:space="preserve"> </w:t>
      </w:r>
      <w:r>
        <w:t xml:space="preserve">learner detects structural similarity. The Linguistic Proximity Model</w:t>
      </w:r>
      <w:r>
        <w:t xml:space="preserve"> </w:t>
      </w:r>
      <w:r>
        <w:t xml:space="preserve">(</w:t>
      </w:r>
      <w:hyperlink w:anchor="ref-westergaard2017">
        <w:r>
          <w:rPr>
            <w:rStyle w:val="Hyperlink"/>
          </w:rPr>
          <w:t xml:space="preserve">Westergaard et al., 2017</w:t>
        </w:r>
      </w:hyperlink>
      <w:r>
        <w:t xml:space="preserve">,</w:t>
      </w:r>
      <w:r>
        <w:t xml:space="preserve"> </w:t>
      </w:r>
      <w:hyperlink w:anchor="ref-westergaard2023">
        <w:r>
          <w:rPr>
            <w:rStyle w:val="Hyperlink"/>
          </w:rPr>
          <w:t xml:space="preserve">2023</w:t>
        </w:r>
      </w:hyperlink>
      <w:r>
        <w:t xml:space="preserve">;</w:t>
      </w:r>
      <w:r>
        <w:t xml:space="preserve"> </w:t>
      </w:r>
      <w:hyperlink w:anchor="ref-westergaard2021">
        <w:r>
          <w:rPr>
            <w:rStyle w:val="Hyperlink"/>
          </w:rPr>
          <w:t xml:space="preserve">Westergaard, 2021</w:t>
        </w:r>
      </w:hyperlink>
      <w:r>
        <w:t xml:space="preserve">)</w:t>
      </w:r>
      <w:r>
        <w:t xml:space="preserve">, the Scalpel Model</w:t>
      </w:r>
      <w:r>
        <w:t xml:space="preserve"> </w:t>
      </w:r>
      <w:r>
        <w:t xml:space="preserve">(</w:t>
      </w:r>
      <w:hyperlink w:anchor="ref-slabakova2017">
        <w:r>
          <w:rPr>
            <w:rStyle w:val="Hyperlink"/>
          </w:rPr>
          <w:t xml:space="preserve">Slabakova, 2017</w:t>
        </w:r>
      </w:hyperlink>
      <w:r>
        <w:t xml:space="preserve">)</w:t>
      </w:r>
      <w:r>
        <w:t xml:space="preserve"> </w:t>
      </w:r>
      <w:r>
        <w:t xml:space="preserve">and the Cumulative-Enhancement Model</w:t>
      </w:r>
      <w:r>
        <w:t xml:space="preserve"> </w:t>
      </w:r>
      <w:r>
        <w:t xml:space="preserve">(</w:t>
      </w:r>
      <w:hyperlink w:anchor="ref-flynn2004">
        <w:r>
          <w:rPr>
            <w:rStyle w:val="Hyperlink"/>
          </w:rPr>
          <w:t xml:space="preserve">Flynn et al., 2004</w:t>
        </w:r>
      </w:hyperlink>
      <w:r>
        <w:t xml:space="preserve">)</w:t>
      </w:r>
      <w:r>
        <w:t xml:space="preserve"> </w:t>
      </w:r>
      <w:r>
        <w:t xml:space="preserve">all take that form.</w:t>
      </w:r>
      <w:r>
        <w:t xml:space="preserve"> </w:t>
      </w:r>
      <w:r>
        <w:t xml:space="preserve">The wholesale position has recent defenders who raise conceptual and empirical objections</w:t>
      </w:r>
      <w:r>
        <w:t xml:space="preserve"> </w:t>
      </w:r>
      <w:r>
        <w:t xml:space="preserve">to selective transfer</w:t>
      </w:r>
      <w:r>
        <w:t xml:space="preserve"> </w:t>
      </w:r>
      <w:r>
        <w:t xml:space="preserve">(</w:t>
      </w:r>
      <w:hyperlink w:anchor="ref-schwartzsprouse2021">
        <w:r>
          <w:rPr>
            <w:rStyle w:val="Hyperlink"/>
          </w:rPr>
          <w:t xml:space="preserve">Schwartz &amp; Sprouse, 2021</w:t>
        </w:r>
      </w:hyperlink>
      <w:r>
        <w:t xml:space="preserve">)</w:t>
      </w:r>
      <w:r>
        <w:t xml:space="preserve">, and initial-stage evidence from early</w:t>
      </w:r>
      <w:r>
        <w:t xml:space="preserve"> </w:t>
      </w:r>
      <w:r>
        <w:t xml:space="preserve">Catalan–Spanish bilinguals, whose performance on four properties was compatible with</w:t>
      </w:r>
      <w:r>
        <w:t xml:space="preserve"> </w:t>
      </w:r>
      <w:r>
        <w:t xml:space="preserve">Catalan as the single source of their initial English grammar, has been read as support</w:t>
      </w:r>
      <w:r>
        <w:t xml:space="preserve"> </w:t>
      </w:r>
      <w:r>
        <w:t xml:space="preserve">for it</w:t>
      </w:r>
      <w:r>
        <w:t xml:space="preserve"> </w:t>
      </w:r>
      <w:r>
        <w:t xml:space="preserve">(</w:t>
      </w:r>
      <w:hyperlink w:anchor="ref-gonzalezalonso2021">
        <w:r>
          <w:rPr>
            <w:rStyle w:val="Hyperlink"/>
          </w:rPr>
          <w:t xml:space="preserve">González Alonso et al., 2021</w:t>
        </w:r>
      </w:hyperlink>
      <w:r>
        <w:t xml:space="preserve">)</w:t>
      </w:r>
      <w:r>
        <w:t xml:space="preserve">. Any test that discriminates between them requires (a) multiple, independently</w:t>
      </w:r>
      <w:r>
        <w:t xml:space="preserve"> </w:t>
      </w:r>
      <w:r>
        <w:t xml:space="preserve">manipulable grammatical properties, (b) a source language whose relationship to each</w:t>
      </w:r>
      <w:r>
        <w:t xml:space="preserve"> </w:t>
      </w:r>
      <w:r>
        <w:t xml:space="preserve">property is controlled, and (c) a temporal window long enough to watch transfer emerge</w:t>
      </w:r>
      <w:r>
        <w:t xml:space="preserve"> </w:t>
      </w:r>
      <w:r>
        <w:t xml:space="preserve">and to test whether what transferred is retained.</w:t>
      </w:r>
    </w:p>
    <w:bookmarkStart w:id="54" w:name="X444feecdf020f8e7f76d34fa2f0fed412dea1f0"/>
    <w:p>
      <w:pPr>
        <w:pStyle w:val="Heading2"/>
      </w:pPr>
      <w:r>
        <w:t xml:space="preserve">Electrophysiology of morphosyntactic processing</w:t>
      </w:r>
    </w:p>
    <w:p>
      <w:pPr>
        <w:pStyle w:val="FirstParagraph"/>
      </w:pPr>
      <w:r>
        <w:t xml:space="preserve">Event-related potentials (ERPs) provide a millisecond-resolution index of how the</w:t>
      </w:r>
      <w:r>
        <w:t xml:space="preserve"> </w:t>
      </w:r>
      <w:r>
        <w:t xml:space="preserve">brain responds to grammatical violations and are therefore well suited to</w:t>
      </w:r>
      <w:r>
        <w:t xml:space="preserve"> </w:t>
      </w:r>
      <w:r>
        <w:t xml:space="preserve">revealing the representations that underlie transfer before they surface in overt</w:t>
      </w:r>
      <w:r>
        <w:t xml:space="preserve"> </w:t>
      </w:r>
      <w:r>
        <w:t xml:space="preserve">behaviour. Most evidence on L3 morphosyntactic transfer has come from offline, untimed</w:t>
      </w:r>
      <w:r>
        <w:t xml:space="preserve"> </w:t>
      </w:r>
      <w:r>
        <w:t xml:space="preserve">acceptability judgements</w:t>
      </w:r>
      <w:r>
        <w:t xml:space="preserve"> </w:t>
      </w:r>
      <w:r>
        <w:t xml:space="preserve">(</w:t>
      </w:r>
      <w:hyperlink w:anchor="ref-puigmayenco2020">
        <w:r>
          <w:rPr>
            <w:rStyle w:val="Hyperlink"/>
          </w:rPr>
          <w:t xml:space="preserve">Puig-Mayenco et al., 2020</w:t>
        </w:r>
      </w:hyperlink>
      <w:r>
        <w:t xml:space="preserve">;</w:t>
      </w:r>
      <w:r>
        <w:t xml:space="preserve"> </w:t>
      </w:r>
      <w:hyperlink w:anchor="ref-skalba2026">
        <w:r>
          <w:rPr>
            <w:rStyle w:val="Hyperlink"/>
          </w:rPr>
          <w:t xml:space="preserve">Skałba et al., 2026</w:t>
        </w:r>
      </w:hyperlink>
      <w:r>
        <w:t xml:space="preserve">)</w:t>
      </w:r>
      <w:r>
        <w:t xml:space="preserve">. These index the outcome of</w:t>
      </w:r>
      <w:r>
        <w:t xml:space="preserve"> </w:t>
      </w:r>
      <w:r>
        <w:t xml:space="preserve">learning. They leave untouched the moment-to-moment processing that ERPs expose</w:t>
      </w:r>
      <w:r>
        <w:t xml:space="preserve"> </w:t>
      </w:r>
      <w:r>
        <w:t xml:space="preserve">(</w:t>
      </w:r>
      <w:hyperlink w:anchor="ref-angelovska2023">
        <w:r>
          <w:rPr>
            <w:rStyle w:val="Hyperlink"/>
          </w:rPr>
          <w:t xml:space="preserve">Angelovska &amp; Roehm, 2023</w:t>
        </w:r>
      </w:hyperlink>
      <w:r>
        <w:t xml:space="preserve">;</w:t>
      </w:r>
      <w:r>
        <w:t xml:space="preserve"> </w:t>
      </w:r>
      <w:hyperlink w:anchor="ref-rothmanalemanbanon2015">
        <w:r>
          <w:rPr>
            <w:rStyle w:val="Hyperlink"/>
          </w:rPr>
          <w:t xml:space="preserve">Rothman et al., 2015</w:t>
        </w:r>
      </w:hyperlink>
      <w:r>
        <w:t xml:space="preserve">)</w:t>
      </w:r>
      <w:r>
        <w:t xml:space="preserve">. A single-trial ERP design therefore tests</w:t>
      </w:r>
      <w:r>
        <w:t xml:space="preserve"> </w:t>
      </w:r>
      <w:r>
        <w:t xml:space="preserve">directly whether source-language structure modulates online comprehension. Online</w:t>
      </w:r>
      <w:r>
        <w:t xml:space="preserve"> </w:t>
      </w:r>
      <w:r>
        <w:t xml:space="preserve">evidence has begun to appear. Eye-tracking in early learners of Norwegian shows</w:t>
      </w:r>
      <w:r>
        <w:t xml:space="preserve"> </w:t>
      </w:r>
      <w:r>
        <w:t xml:space="preserve">facilitative and non-facilitative influence from each prior language on different</w:t>
      </w:r>
      <w:r>
        <w:t xml:space="preserve"> </w:t>
      </w:r>
      <w:r>
        <w:t xml:space="preserve">properties</w:t>
      </w:r>
      <w:r>
        <w:t xml:space="preserve"> </w:t>
      </w:r>
      <w:r>
        <w:t xml:space="preserve">(</w:t>
      </w:r>
      <w:hyperlink w:anchor="ref-skalba2026">
        <w:r>
          <w:rPr>
            <w:rStyle w:val="Hyperlink"/>
          </w:rPr>
          <w:t xml:space="preserve">Skałba et al., 2026</w:t>
        </w:r>
      </w:hyperlink>
      <w:r>
        <w:t xml:space="preserve">)</w:t>
      </w:r>
      <w:r>
        <w:t xml:space="preserve">. The imbalance is visible in the literature itself</w:t>
      </w:r>
      <w:r>
        <w:t xml:space="preserve"> </w:t>
      </w:r>
      <w:r>
        <w:t xml:space="preserve">(</w:t>
      </w:r>
      <w:hyperlink w:anchor="fig-literature">
        <w:r>
          <w:rPr>
            <w:rStyle w:val="Hyperlink"/>
          </w:rPr>
          <w:t xml:space="preserve">Figure 1</w:t>
        </w:r>
      </w:hyperlink>
      <w:r>
        <w:t xml:space="preserve">). In all,</w:t>
      </w:r>
      <w:r>
        <w:t xml:space="preserve"> </w:t>
      </w:r>
      <w:r>
        <w:t xml:space="preserve">369 records on L3 transfer were indexed between</w:t>
      </w:r>
      <w:r>
        <w:t xml:space="preserve"> </w:t>
      </w:r>
      <w:r>
        <w:t xml:space="preserve">2005 and 2025. Of those, 50 used</w:t>
      </w:r>
      <w:r>
        <w:t xml:space="preserve"> </w:t>
      </w:r>
      <w:r>
        <w:t xml:space="preserve">acceptability or grammaticality judgements and 5</w:t>
      </w:r>
      <w:r>
        <w:t xml:space="preserve"> </w:t>
      </w:r>
      <w:r>
        <w:t xml:space="preserve">used electrophysiology, a ratio of roughly 10 to one. The field has grown steadily while its</w:t>
      </w:r>
      <w:r>
        <w:t xml:space="preserve"> </w:t>
      </w:r>
      <w:r>
        <w:t xml:space="preserve">electrophysiological base has not.</w:t>
      </w:r>
    </w:p>
    <w:bookmarkStart w:id="53" w:name="fig-literature"/>
    <w:p>
      <w:pPr>
        <w:pStyle w:val="FigureTitle"/>
      </w:pPr>
      <w:r>
        <w:t xml:space="preserve">Figure 1</w:t>
      </w:r>
    </w:p>
    <w:p>
      <w:pPr>
        <w:pStyle w:val="Caption"/>
      </w:pPr>
      <w:r>
        <w:t xml:space="preserve">Methodological Composition of the L3 Morphosyntactic-Transfer Literature Indexed in Scopus, by Publication Year</w:t>
      </w:r>
    </w:p>
    <w:p>
      <w:pPr>
        <w:pStyle w:val="FigureWithNote"/>
      </w:pPr>
      <w:r>
        <w:drawing>
          <wp:inline>
            <wp:extent cx="5943600" cy="2743199"/>
            <wp:effectExtent b="0" l="0" r="0" t="0"/>
            <wp:docPr descr="" title="" id="51" name="Picture"/>
            <a:graphic>
              <a:graphicData uri="http://schemas.openxmlformats.org/drawingml/2006/picture">
                <pic:pic>
                  <pic:nvPicPr>
                    <pic:cNvPr descr="paper_1_morphosyntax_files/figure-docx/fig-literature-1.png" id="52" name="Picture"/>
                    <pic:cNvPicPr>
                      <a:picLocks noChangeArrowheads="1" noChangeAspect="1"/>
                    </pic:cNvPicPr>
                  </pic:nvPicPr>
                  <pic:blipFill>
                    <a:blip r:embed="rId50"/>
                    <a:stretch>
                      <a:fillRect/>
                    </a:stretch>
                  </pic:blipFill>
                  <pic:spPr bwMode="auto">
                    <a:xfrm>
                      <a:off x="0" y="0"/>
                      <a:ext cx="5943600" cy="2743199"/>
                    </a:xfrm>
                    <a:prstGeom prst="rect">
                      <a:avLst/>
                    </a:prstGeom>
                    <a:noFill/>
                    <a:ln w="9525">
                      <a:noFill/>
                      <a:headEnd/>
                      <a:tailEnd/>
                    </a:ln>
                  </pic:spPr>
                </pic:pic>
              </a:graphicData>
            </a:graphic>
          </wp:inline>
        </w:drawing>
      </w:r>
    </w:p>
    <w:bookmarkEnd w:id="53"/>
    <w:p>
      <w:pPr>
        <w:pStyle w:val="FigureNote"/>
      </w:pPr>
      <w:r>
        <w:rPr>
          <w:i/>
          <w:iCs/>
        </w:rPr>
        <w:t xml:space="preserve">Note</w:t>
      </w:r>
      <w:r>
        <w:t xml:space="preserve">. The upper line is all L3-transfer research. The lower two are the subsets whose title, abstract or keywords mention acceptability or grammaticality judgements, and electrophysiology (ERP/EEG). The counts index relative composition and are not an exhaustive census: Scopus under-covers books and chapters, keyword matching errs in both directions, and records indexed late may still be added for the most recent years. The retrieval queries are recorded in the project repository.</w:t>
      </w:r>
    </w:p>
    <w:p>
      <w:pPr>
        <w:pStyle w:val="BodyText"/>
      </w:pPr>
      <w:r>
        <w:t xml:space="preserve">Three components are relevant here. The left-anterior negativity (LAN) is often linked to</w:t>
      </w:r>
      <w:r>
        <w:t xml:space="preserve"> </w:t>
      </w:r>
      <w:r>
        <w:t xml:space="preserve">automatic morphosyntactic agreement checking. The N400, a negativity sensitive to</w:t>
      </w:r>
      <w:r>
        <w:t xml:space="preserve"> </w:t>
      </w:r>
      <w:r>
        <w:t xml:space="preserve">lexical–semantic and thematic integration</w:t>
      </w:r>
      <w:r>
        <w:t xml:space="preserve"> </w:t>
      </w:r>
      <w:r>
        <w:t xml:space="preserve">(</w:t>
      </w:r>
      <w:hyperlink w:anchor="ref-frisch2001">
        <w:r>
          <w:rPr>
            <w:rStyle w:val="Hyperlink"/>
          </w:rPr>
          <w:t xml:space="preserve">Frisch &amp; Schlesewsky, 2001</w:t>
        </w:r>
      </w:hyperlink>
      <w:r>
        <w:t xml:space="preserve">;</w:t>
      </w:r>
      <w:r>
        <w:t xml:space="preserve"> </w:t>
      </w:r>
      <w:hyperlink w:anchor="ref-nieuwland2013">
        <w:r>
          <w:rPr>
            <w:rStyle w:val="Hyperlink"/>
          </w:rPr>
          <w:t xml:space="preserve">Nieuwland et al., 2013</w:t>
        </w:r>
      </w:hyperlink>
      <w:r>
        <w:t xml:space="preserve">)</w:t>
      </w:r>
      <w:r>
        <w:t xml:space="preserve">, also marks the</w:t>
      </w:r>
      <w:r>
        <w:t xml:space="preserve"> </w:t>
      </w:r>
      <w:r>
        <w:t xml:space="preserve">early stages of morphosyntactic learning, before a late positivity emerges with rising</w:t>
      </w:r>
      <w:r>
        <w:t xml:space="preserve"> </w:t>
      </w:r>
      <w:r>
        <w:t xml:space="preserve">proficiency</w:t>
      </w:r>
      <w:r>
        <w:t xml:space="preserve"> </w:t>
      </w:r>
      <w:r>
        <w:t xml:space="preserve">(</w:t>
      </w:r>
      <w:hyperlink w:anchor="ref-osterhout2006">
        <w:r>
          <w:rPr>
            <w:rStyle w:val="Hyperlink"/>
          </w:rPr>
          <w:t xml:space="preserve">Osterhout et al., 2006</w:t>
        </w:r>
      </w:hyperlink>
      <w:r>
        <w:t xml:space="preserve">)</w:t>
      </w:r>
      <w:r>
        <w:t xml:space="preserve">. That later positivity is the P600, first reported for words</w:t>
      </w:r>
      <w:r>
        <w:t xml:space="preserve"> </w:t>
      </w:r>
      <w:r>
        <w:t xml:space="preserve">inconsistent with the preferred syntactic analysis</w:t>
      </w:r>
      <w:r>
        <w:t xml:space="preserve"> </w:t>
      </w:r>
      <w:r>
        <w:t xml:space="preserve">(</w:t>
      </w:r>
      <w:hyperlink w:anchor="ref-osterhout1992">
        <w:r>
          <w:rPr>
            <w:rStyle w:val="Hyperlink"/>
          </w:rPr>
          <w:t xml:space="preserve">Osterhout &amp; Holcomb, 1992</w:t>
        </w:r>
      </w:hyperlink>
      <w:r>
        <w:t xml:space="preserve">)</w:t>
      </w:r>
      <w:r>
        <w:t xml:space="preserve">. Over</w:t>
      </w:r>
      <w:r>
        <w:t xml:space="preserve"> </w:t>
      </w:r>
      <w:r>
        <w:t xml:space="preserve">centro-posterior sites, it has since been associated with syntactic reanalysis and repair,</w:t>
      </w:r>
      <w:r>
        <w:t xml:space="preserve"> </w:t>
      </w:r>
      <w:r>
        <w:t xml:space="preserve">and with the late integration of syntactic and semantic information</w:t>
      </w:r>
      <w:r>
        <w:t xml:space="preserve"> </w:t>
      </w:r>
      <w:r>
        <w:t xml:space="preserve">(</w:t>
      </w:r>
      <w:hyperlink w:anchor="ref-friederici2002tics">
        <w:r>
          <w:rPr>
            <w:rStyle w:val="Hyperlink"/>
          </w:rPr>
          <w:t xml:space="preserve">Friederici, 2002</w:t>
        </w:r>
      </w:hyperlink>
      <w:r>
        <w:t xml:space="preserve">;</w:t>
      </w:r>
      <w:r>
        <w:t xml:space="preserve"> </w:t>
      </w:r>
      <w:hyperlink w:anchor="ref-friederici2002pnas">
        <w:r>
          <w:rPr>
            <w:rStyle w:val="Hyperlink"/>
          </w:rPr>
          <w:t xml:space="preserve">Friederici et al., 2002</w:t>
        </w:r>
      </w:hyperlink>
      <w:r>
        <w:t xml:space="preserve">)</w:t>
      </w:r>
      <w:r>
        <w:t xml:space="preserve">. These map onto the three latency windows</w:t>
      </w:r>
      <w:r>
        <w:t xml:space="preserve"> </w:t>
      </w:r>
      <w:r>
        <w:t xml:space="preserve">analysed here (200–500, 300–600 and 400–900 ms). Training studies show that the brain’s response to</w:t>
      </w:r>
      <w:r>
        <w:t xml:space="preserve"> </w:t>
      </w:r>
      <w:r>
        <w:t xml:space="preserve">second-language violations becomes more native-like as proficiency increases</w:t>
      </w:r>
      <w:r>
        <w:t xml:space="preserve"> </w:t>
      </w:r>
      <w:r>
        <w:t xml:space="preserve">(</w:t>
      </w:r>
      <w:hyperlink w:anchor="ref-morganshort2012">
        <w:r>
          <w:rPr>
            <w:rStyle w:val="Hyperlink"/>
          </w:rPr>
          <w:t xml:space="preserve">Morgan-Short, Steinhauer, et al., 2012</w:t>
        </w:r>
      </w:hyperlink>
      <w:r>
        <w:t xml:space="preserve">)</w:t>
      </w:r>
      <w:r>
        <w:t xml:space="preserve">, and again across a consolidation</w:t>
      </w:r>
      <w:r>
        <w:t xml:space="preserve"> </w:t>
      </w:r>
      <w:r>
        <w:t xml:space="preserve">interval containing no further exposure</w:t>
      </w:r>
      <w:r>
        <w:t xml:space="preserve"> </w:t>
      </w:r>
      <w:r>
        <w:t xml:space="preserve">(</w:t>
      </w:r>
      <w:hyperlink w:anchor="ref-morganshort2012plos">
        <w:r>
          <w:rPr>
            <w:rStyle w:val="Hyperlink"/>
          </w:rPr>
          <w:t xml:space="preserve">Morgan-Short, Finger, et al., 2012</w:t>
        </w:r>
      </w:hyperlink>
      <w:r>
        <w:t xml:space="preserve">)</w:t>
      </w:r>
      <w:r>
        <w:t xml:space="preserve">, with negativities and</w:t>
      </w:r>
      <w:r>
        <w:t xml:space="preserve"> </w:t>
      </w:r>
      <w:r>
        <w:t xml:space="preserve">P600s emerging or shifting over time. Native speakers</w:t>
      </w:r>
      <w:r>
        <w:t xml:space="preserve"> </w:t>
      </w:r>
      <w:r>
        <w:t xml:space="preserve">(</w:t>
      </w:r>
      <w:hyperlink w:anchor="ref-tanner2014">
        <w:r>
          <w:rPr>
            <w:rStyle w:val="Hyperlink"/>
          </w:rPr>
          <w:t xml:space="preserve">Tanner &amp; Van Hell, 2014</w:t>
        </w:r>
      </w:hyperlink>
      <w:r>
        <w:t xml:space="preserve">)</w:t>
      </w:r>
      <w:r>
        <w:t xml:space="preserve"> </w:t>
      </w:r>
      <w:r>
        <w:t xml:space="preserve">and learners</w:t>
      </w:r>
      <w:r>
        <w:t xml:space="preserve"> </w:t>
      </w:r>
      <w:r>
        <w:t xml:space="preserve">(</w:t>
      </w:r>
      <w:hyperlink w:anchor="ref-tanner2013">
        <w:r>
          <w:rPr>
            <w:rStyle w:val="Hyperlink"/>
          </w:rPr>
          <w:t xml:space="preserve">Tanner et al., 2013</w:t>
        </w:r>
      </w:hyperlink>
      <w:r>
        <w:t xml:space="preserve">)</w:t>
      </w:r>
      <w:r>
        <w:t xml:space="preserve"> </w:t>
      </w:r>
      <w:r>
        <w:t xml:space="preserve">also differ systematically from one another in whether they recruit a more</w:t>
      </w:r>
      <w:r>
        <w:t xml:space="preserve"> </w:t>
      </w:r>
      <w:r>
        <w:t xml:space="preserve">negativity-dominated or a more P600-dominated response. Artificial-language paradigms, in</w:t>
      </w:r>
      <w:r>
        <w:t xml:space="preserve"> </w:t>
      </w:r>
      <w:r>
        <w:t xml:space="preserve">which the input is fully controlled, have been particularly valuable for isolating</w:t>
      </w:r>
      <w:r>
        <w:t xml:space="preserve"> </w:t>
      </w:r>
      <w:r>
        <w:t xml:space="preserve">these dynamics from the confounds of natural-language exposure</w:t>
      </w:r>
      <w:r>
        <w:t xml:space="preserve"> </w:t>
      </w:r>
      <w:r>
        <w:t xml:space="preserve">(</w:t>
      </w:r>
      <w:hyperlink w:anchor="ref-friederici2002pnas">
        <w:r>
          <w:rPr>
            <w:rStyle w:val="Hyperlink"/>
          </w:rPr>
          <w:t xml:space="preserve">Friederici et al., 2002</w:t>
        </w:r>
      </w:hyperlink>
      <w:r>
        <w:t xml:space="preserve">;</w:t>
      </w:r>
      <w:r>
        <w:t xml:space="preserve"> </w:t>
      </w:r>
      <w:hyperlink w:anchor="ref-gonzalezalonso2020">
        <w:r>
          <w:rPr>
            <w:rStyle w:val="Hyperlink"/>
          </w:rPr>
          <w:t xml:space="preserve">González Alonso et al., 2020</w:t>
        </w:r>
      </w:hyperlink>
      <w:r>
        <w:t xml:space="preserve">)</w:t>
      </w:r>
      <w:r>
        <w:t xml:space="preserve">. Bilinguals learning such a language show a</w:t>
      </w:r>
      <w:r>
        <w:t xml:space="preserve"> </w:t>
      </w:r>
      <w:r>
        <w:t xml:space="preserve">P600 to syntactic violations at a lower proficiency than monolinguals do</w:t>
      </w:r>
      <w:r>
        <w:t xml:space="preserve"> </w:t>
      </w:r>
      <w:r>
        <w:t xml:space="preserve">(</w:t>
      </w:r>
      <w:hyperlink w:anchor="ref-grey2018">
        <w:r>
          <w:rPr>
            <w:rStyle w:val="Hyperlink"/>
          </w:rPr>
          <w:t xml:space="preserve">Grey et al., 2018</w:t>
        </w:r>
      </w:hyperlink>
      <w:r>
        <w:t xml:space="preserve">)</w:t>
      </w:r>
      <w:r>
        <w:t xml:space="preserve">.</w:t>
      </w:r>
    </w:p>
    <w:p>
      <w:pPr>
        <w:pStyle w:val="BodyText"/>
      </w:pPr>
      <w:r>
        <w:t xml:space="preserve">The closest antecedent to the present design is the artificial-language L3 ERP work of</w:t>
      </w:r>
      <w:r>
        <w:t xml:space="preserve"> </w:t>
      </w:r>
      <w:r>
        <w:t xml:space="preserve">González Alonso et al. (</w:t>
      </w:r>
      <w:hyperlink w:anchor="ref-gonzalezalonso2020">
        <w:r>
          <w:rPr>
            <w:rStyle w:val="Hyperlink"/>
          </w:rPr>
          <w:t xml:space="preserve">2020</w:t>
        </w:r>
      </w:hyperlink>
      <w:r>
        <w:t xml:space="preserve">)</w:t>
      </w:r>
      <w:r>
        <w:t xml:space="preserve">. Its findings shape both our predictions and our reading of the</w:t>
      </w:r>
      <w:r>
        <w:t xml:space="preserve"> </w:t>
      </w:r>
      <w:r>
        <w:t xml:space="preserve">results, so we set them out in full. Fifty first-language-Spanish, second-language-English</w:t>
      </w:r>
      <w:r>
        <w:t xml:space="preserve"> </w:t>
      </w:r>
      <w:r>
        <w:t xml:space="preserve">bilinguals were given implicit training on one of two miniature languages, built on</w:t>
      </w:r>
      <w:r>
        <w:t xml:space="preserve"> </w:t>
      </w:r>
      <w:r>
        <w:t xml:space="preserve">English and Spanish lexicons, and their ERPs to gender-agreement violations were recorded</w:t>
      </w:r>
      <w:r>
        <w:t xml:space="preserve"> </w:t>
      </w:r>
      <w:r>
        <w:t xml:space="preserve">at first exposure. They named their two languages after those lexicons, and we refer to</w:t>
      </w:r>
      <w:r>
        <w:t xml:space="preserve"> </w:t>
      </w:r>
      <w:r>
        <w:t xml:space="preserve">their groups by lexicon throughout, so that neither is confused with our own Mini-English</w:t>
      </w:r>
      <w:r>
        <w:t xml:space="preserve"> </w:t>
      </w:r>
      <w:r>
        <w:t xml:space="preserve">and Mini-Norwegian conditions. The two groups responded differently. In their</w:t>
      </w:r>
      <w:r>
        <w:t xml:space="preserve"> </w:t>
      </w:r>
      <w:r>
        <w:t xml:space="preserve">English-lexicon language, violations elicited an early (200–500 ms) fronto-lateral</w:t>
      </w:r>
      <w:r>
        <w:t xml:space="preserve"> </w:t>
      </w:r>
      <w:r>
        <w:t xml:space="preserve">negativity, confined to electrodes in the right-anterior region and followed by nothing in</w:t>
      </w:r>
      <w:r>
        <w:t xml:space="preserve"> </w:t>
      </w:r>
      <w:r>
        <w:t xml:space="preserve">later windows. In their Spanish-lexicon language, they elicited a broadly distributed</w:t>
      </w:r>
      <w:r>
        <w:t xml:space="preserve"> </w:t>
      </w:r>
      <w:r>
        <w:t xml:space="preserve">positivity at 300–600 ms. Neither group produced a P600 or</w:t>
      </w:r>
      <w:r>
        <w:t xml:space="preserve"> </w:t>
      </w:r>
      <w:r>
        <w:t xml:space="preserve">any other canonical index of grammatical processing. The authors read the between-group</w:t>
      </w:r>
      <w:r>
        <w:t xml:space="preserve"> </w:t>
      </w:r>
      <w:r>
        <w:t xml:space="preserve">difference as differential allocation of attention, driven by each miniature language’s</w:t>
      </w:r>
      <w:r>
        <w:t xml:space="preserve"> </w:t>
      </w:r>
      <w:r>
        <w:t xml:space="preserve">lexical similarity to a prior grammar, and therefore as a precursor of source selection,</w:t>
      </w:r>
      <w:r>
        <w:t xml:space="preserve"> </w:t>
      </w:r>
      <w:r>
        <w:t xml:space="preserve">not as grammatical processing itself. The present study extends that logic in</w:t>
      </w:r>
      <w:r>
        <w:t xml:space="preserve"> </w:t>
      </w:r>
      <w:r>
        <w:t xml:space="preserve">three ways. It goes beyond first exposure, tracking each property across up to four</w:t>
      </w:r>
      <w:r>
        <w:t xml:space="preserve"> </w:t>
      </w:r>
      <w:r>
        <w:t xml:space="preserve">sessions, and it manipulates three properties whose relation to the prior grammars</w:t>
      </w:r>
      <w:r>
        <w:t xml:space="preserve"> </w:t>
      </w:r>
      <w:r>
        <w:t xml:space="preserve">differs within the same learners. It also closes with an unrehearsed retention test</w:t>
      </w:r>
      <w:r>
        <w:t xml:space="preserve"> </w:t>
      </w:r>
      <w:r>
        <w:t xml:space="preserve">after months without exposure, so the durability of what transferred can be measured.</w:t>
      </w:r>
      <w:r>
        <w:t xml:space="preserve"> </w:t>
      </w:r>
      <w:r>
        <w:t xml:space="preserve">Whether the initial-exposure pattern of</w:t>
      </w:r>
      <w:r>
        <w:t xml:space="preserve"> </w:t>
      </w:r>
      <w:r>
        <w:t xml:space="preserve">González Alonso et al. (</w:t>
      </w:r>
      <w:hyperlink w:anchor="ref-gonzalezalonso2020">
        <w:r>
          <w:rPr>
            <w:rStyle w:val="Hyperlink"/>
          </w:rPr>
          <w:t xml:space="preserve">2020</w:t>
        </w:r>
      </w:hyperlink>
      <w:r>
        <w:t xml:space="preserve">)</w:t>
      </w:r>
      <w:r>
        <w:t xml:space="preserve"> </w:t>
      </w:r>
      <w:r>
        <w:t xml:space="preserve">reappears under these</w:t>
      </w:r>
      <w:r>
        <w:t xml:space="preserve"> </w:t>
      </w:r>
      <w:r>
        <w:t xml:space="preserve">conditions is itself an empirical question, taken up in the Discussion.</w:t>
      </w:r>
    </w:p>
    <w:p>
      <w:pPr>
        <w:pStyle w:val="BodyText"/>
      </w:pPr>
      <w:r>
        <w:t xml:space="preserve">Two behavioural studies share more of the present materials. Each trained speakers on a</w:t>
      </w:r>
      <w:r>
        <w:t xml:space="preserve"> </w:t>
      </w:r>
      <w:r>
        <w:t xml:space="preserve">miniature language with a Norwegian lexicon and a case system, a property Norwegian</w:t>
      </w:r>
      <w:r>
        <w:t xml:space="preserve"> </w:t>
      </w:r>
      <w:r>
        <w:t xml:space="preserve">lacks. Prior knowledge of a case language eased acquisition even though the lexicon</w:t>
      </w:r>
      <w:r>
        <w:t xml:space="preserve"> </w:t>
      </w:r>
      <w:r>
        <w:t xml:space="preserve">pointed to Norwegian, but only where that language and the miniature language marked case</w:t>
      </w:r>
      <w:r>
        <w:t xml:space="preserve"> </w:t>
      </w:r>
      <w:r>
        <w:t xml:space="preserve">in the same overt form, on the noun</w:t>
      </w:r>
      <w:r>
        <w:t xml:space="preserve"> </w:t>
      </w:r>
      <w:r>
        <w:t xml:space="preserve">(</w:t>
      </w:r>
      <w:hyperlink w:anchor="ref-castle2026">
        <w:r>
          <w:rPr>
            <w:rStyle w:val="Hyperlink"/>
          </w:rPr>
          <w:t xml:space="preserve">Castle et al., 2026</w:t>
        </w:r>
      </w:hyperlink>
      <w:r>
        <w:t xml:space="preserve">;</w:t>
      </w:r>
      <w:r>
        <w:t xml:space="preserve"> </w:t>
      </w:r>
      <w:hyperlink w:anchor="ref-mitrofanova2023">
        <w:r>
          <w:rPr>
            <w:rStyle w:val="Hyperlink"/>
          </w:rPr>
          <w:t xml:space="preserve">Mitrofanova et al., 2023</w:t>
        </w:r>
      </w:hyperlink>
      <w:r>
        <w:t xml:space="preserve">)</w:t>
      </w:r>
      <w:r>
        <w:t xml:space="preserve">. Greek, which marks</w:t>
      </w:r>
      <w:r>
        <w:t xml:space="preserve"> </w:t>
      </w:r>
      <w:r>
        <w:t xml:space="preserve">case on the determiner, gave no such advantage in the first study, and the second found</w:t>
      </w:r>
      <w:r>
        <w:t xml:space="preserve"> </w:t>
      </w:r>
      <w:r>
        <w:t xml:space="preserve">the advantage subject to word-order bias and proficiency. The overt realisation of a</w:t>
      </w:r>
      <w:r>
        <w:t xml:space="preserve"> </w:t>
      </w:r>
      <w:r>
        <w:t xml:space="preserve">property conditioned its transfer, and the present gender manipulation varies exactly</w:t>
      </w:r>
      <w:r>
        <w:t xml:space="preserve"> </w:t>
      </w:r>
      <w:r>
        <w:t xml:space="preserve">that realisation between the two miniature languages. Recent syntheses of the transfer</w:t>
      </w:r>
      <w:r>
        <w:t xml:space="preserve"> </w:t>
      </w:r>
      <w:r>
        <w:t xml:space="preserve">literature draw attention to the methodological choices that constrain what its findings</w:t>
      </w:r>
      <w:r>
        <w:t xml:space="preserve"> </w:t>
      </w:r>
      <w:r>
        <w:t xml:space="preserve">can show</w:t>
      </w:r>
      <w:r>
        <w:t xml:space="preserve"> </w:t>
      </w:r>
      <w:r>
        <w:t xml:space="preserve">(</w:t>
      </w:r>
      <w:hyperlink w:anchor="ref-gonzalezalonso2026">
        <w:r>
          <w:rPr>
            <w:rStyle w:val="Hyperlink"/>
          </w:rPr>
          <w:t xml:space="preserve">Alonso et al., 2026</w:t>
        </w:r>
      </w:hyperlink>
      <w:r>
        <w:t xml:space="preserve">;</w:t>
      </w:r>
      <w:r>
        <w:t xml:space="preserve"> </w:t>
      </w:r>
      <w:hyperlink w:anchor="ref-puigmayenco2020">
        <w:r>
          <w:rPr>
            <w:rStyle w:val="Hyperlink"/>
          </w:rPr>
          <w:t xml:space="preserve">Puig-Mayenco et al., 2020</w:t>
        </w:r>
      </w:hyperlink>
      <w:r>
        <w:t xml:space="preserve">;</w:t>
      </w:r>
      <w:r>
        <w:t xml:space="preserve"> </w:t>
      </w:r>
      <w:hyperlink w:anchor="ref-rothman2019">
        <w:r>
          <w:rPr>
            <w:rStyle w:val="Hyperlink"/>
          </w:rPr>
          <w:t xml:space="preserve">Rothman et al., 2019</w:t>
        </w:r>
      </w:hyperlink>
      <w:r>
        <w:t xml:space="preserve">)</w:t>
      </w:r>
      <w:r>
        <w:t xml:space="preserve">, and longitudinal and</w:t>
      </w:r>
      <w:r>
        <w:t xml:space="preserve"> </w:t>
      </w:r>
      <w:r>
        <w:t xml:space="preserve">electrophysiological evidence remains among its scarcest. An ERP successor to</w:t>
      </w:r>
      <w:r>
        <w:t xml:space="preserve"> </w:t>
      </w:r>
      <w:r>
        <w:t xml:space="preserve">González Alonso et al. (</w:t>
      </w:r>
      <w:hyperlink w:anchor="ref-gonzalezalonso2020">
        <w:r>
          <w:rPr>
            <w:rStyle w:val="Hyperlink"/>
          </w:rPr>
          <w:t xml:space="preserve">2020</w:t>
        </w:r>
      </w:hyperlink>
      <w:r>
        <w:t xml:space="preserve">)</w:t>
      </w:r>
      <w:r>
        <w:t xml:space="preserve"> </w:t>
      </w:r>
      <w:r>
        <w:t xml:space="preserve">trained heritage and second-language bilinguals on a Latin</w:t>
      </w:r>
      <w:r>
        <w:t xml:space="preserve"> </w:t>
      </w:r>
      <w:r>
        <w:t xml:space="preserve">mini-grammar and found violation responses that no current model had predicted, an</w:t>
      </w:r>
      <w:r>
        <w:t xml:space="preserve"> </w:t>
      </w:r>
      <w:r>
        <w:t xml:space="preserve">outcome its authors took as a question about the paradigm itself</w:t>
      </w:r>
      <w:r>
        <w:t xml:space="preserve"> </w:t>
      </w:r>
      <w:r>
        <w:t xml:space="preserve">(</w:t>
      </w:r>
      <w:hyperlink w:anchor="ref-pereirasoares2022">
        <w:r>
          <w:rPr>
            <w:rStyle w:val="Hyperlink"/>
          </w:rPr>
          <w:t xml:space="preserve">Pereira Soares et al., 2022</w:t>
        </w:r>
      </w:hyperlink>
      <w:r>
        <w:t xml:space="preserve">)</w:t>
      </w:r>
      <w:r>
        <w:t xml:space="preserve">.</w:t>
      </w:r>
      <w:r>
        <w:t xml:space="preserve"> </w:t>
      </w:r>
      <w:r>
        <w:t xml:space="preserve">The recurring objection to miniature languages is that a</w:t>
      </w:r>
      <w:r>
        <w:t xml:space="preserve"> </w:t>
      </w:r>
      <w:r>
        <w:t xml:space="preserve">grammar acquired in hours may not engage the mechanisms of natural morphosyntax. This</w:t>
      </w:r>
      <w:r>
        <w:t xml:space="preserve"> </w:t>
      </w:r>
      <w:r>
        <w:t xml:space="preserve">literature answers it with the finding that artificial-language learners, once</w:t>
      </w:r>
      <w:r>
        <w:t xml:space="preserve"> </w:t>
      </w:r>
      <w:r>
        <w:t xml:space="preserve">sufficiently proficient, show qualitatively native-like violation responses</w:t>
      </w:r>
      <w:r>
        <w:t xml:space="preserve"> </w:t>
      </w:r>
      <w:r>
        <w:t xml:space="preserve">(</w:t>
      </w:r>
      <w:hyperlink w:anchor="ref-friederici2002pnas">
        <w:r>
          <w:rPr>
            <w:rStyle w:val="Hyperlink"/>
          </w:rPr>
          <w:t xml:space="preserve">Friederici et al., 2002</w:t>
        </w:r>
      </w:hyperlink>
      <w:r>
        <w:t xml:space="preserve">;</w:t>
      </w:r>
      <w:r>
        <w:t xml:space="preserve"> </w:t>
      </w:r>
      <w:hyperlink w:anchor="ref-morganshort2012">
        <w:r>
          <w:rPr>
            <w:rStyle w:val="Hyperlink"/>
          </w:rPr>
          <w:t xml:space="preserve">Morgan-Short, Steinhauer, et al., 2012</w:t>
        </w:r>
      </w:hyperlink>
      <w:r>
        <w:t xml:space="preserve">)</w:t>
      </w:r>
      <w:r>
        <w:t xml:space="preserve">. What the design buys in exchange is exact</w:t>
      </w:r>
      <w:r>
        <w:t xml:space="preserve"> </w:t>
      </w:r>
      <w:r>
        <w:t xml:space="preserve">control over every learner’s input history, which no natural-language design can offer.</w:t>
      </w:r>
    </w:p>
    <w:bookmarkEnd w:id="54"/>
    <w:bookmarkStart w:id="59" w:name="the-present-study"/>
    <w:p>
      <w:pPr>
        <w:pStyle w:val="Heading2"/>
      </w:pPr>
      <w:r>
        <w:t xml:space="preserve">The present study</w:t>
      </w:r>
    </w:p>
    <w:p>
      <w:pPr>
        <w:pStyle w:val="FirstParagraph"/>
      </w:pPr>
      <w:r>
        <w:t xml:space="preserve">We exploit a controlled artificial-language design to test predictions that separate</w:t>
      </w:r>
      <w:r>
        <w:t xml:space="preserve"> </w:t>
      </w:r>
      <w:r>
        <w:t xml:space="preserve">wholesale from property-by-property transfer, and to characterise the time course</w:t>
      </w:r>
      <w:r>
        <w:t xml:space="preserve"> </w:t>
      </w:r>
      <w:r>
        <w:t xml:space="preserve">of transfer from the first post-training session through post-training retention.</w:t>
      </w:r>
      <w:r>
        <w:t xml:space="preserve"> </w:t>
      </w:r>
      <w:r>
        <w:t xml:space="preserve">Norwegian–English bilinguals (first language Norwegian, second language English) acquired</w:t>
      </w:r>
      <w:r>
        <w:t xml:space="preserve"> </w:t>
      </w:r>
      <w:r>
        <w:t xml:space="preserve">one of two miniature languages, Mini-English or Mini-Norwegian. Within each language, we</w:t>
      </w:r>
      <w:r>
        <w:t xml:space="preserve"> </w:t>
      </w:r>
      <w:r>
        <w:t xml:space="preserve">manipulated three morphosyntactic properties that vary in their relationship to the</w:t>
      </w:r>
      <w:r>
        <w:t xml:space="preserve"> </w:t>
      </w:r>
      <w:r>
        <w:t xml:space="preserve">learners’ existing grammars: subject–verb gender agreement, differential object marking</w:t>
      </w:r>
      <w:r>
        <w:t xml:space="preserve"> </w:t>
      </w:r>
      <w:r>
        <w:t xml:space="preserve">and verb–object number agreement. The two languages share their morphemes but differ in</w:t>
      </w:r>
      <w:r>
        <w:t xml:space="preserve"> </w:t>
      </w:r>
      <w:r>
        <w:t xml:space="preserve">how they realise each property. Mini-Norwegian expresses gender agreement</w:t>
      </w:r>
      <w:r>
        <w:t xml:space="preserve"> </w:t>
      </w:r>
      <w:r>
        <w:t xml:space="preserve">through a suffixed determiner, as Norwegian does, whereas Mini-English uses an English-like</w:t>
      </w:r>
      <w:r>
        <w:t xml:space="preserve"> </w:t>
      </w:r>
      <w:r>
        <w:t xml:space="preserve">free determiner. The same property therefore aligns with the first language for one</w:t>
      </w:r>
      <w:r>
        <w:t xml:space="preserve"> </w:t>
      </w:r>
      <w:r>
        <w:t xml:space="preserve">group only (see Method).</w:t>
      </w:r>
    </w:p>
    <w:p>
      <w:pPr>
        <w:pStyle w:val="BodyText"/>
      </w:pPr>
      <w:r>
        <w:t xml:space="preserve">Single-trial ERPs and grammaticality judgements were collected across four</w:t>
      </w:r>
      <w:r>
        <w:t xml:space="preserve"> </w:t>
      </w:r>
      <w:r>
        <w:t xml:space="preserve">laboratory sessions (Sessions 2, 3, 4 and 6) that trace the learning trajectory</w:t>
      </w:r>
      <w:r>
        <w:t xml:space="preserve"> </w:t>
      </w:r>
      <w:r>
        <w:t xml:space="preserve">from the first post-training session to a post-consolidation retention test. The properties</w:t>
      </w:r>
      <w:r>
        <w:t xml:space="preserve"> </w:t>
      </w:r>
      <w:r>
        <w:t xml:space="preserve">enter the design at different points (gender agreement from Session 2,</w:t>
      </w:r>
      <w:r>
        <w:t xml:space="preserve"> </w:t>
      </w:r>
      <w:r>
        <w:t xml:space="preserve">differential object marking from Session 3 and verb–object number agreement from</w:t>
      </w:r>
      <w:r>
        <w:t xml:space="preserve"> </w:t>
      </w:r>
      <w:r>
        <w:t xml:space="preserve">Session 4), yielding a cumulative, property-by-property exposure schedule (</w:t>
      </w:r>
      <w:hyperlink w:anchor="fig-design">
        <w:r>
          <w:rPr>
            <w:rStyle w:val="Hyperlink"/>
          </w:rPr>
          <w:t xml:space="preserve">Figure 2</w:t>
        </w:r>
      </w:hyperlink>
      <w:r>
        <w:t xml:space="preserve">).</w:t>
      </w:r>
    </w:p>
    <w:bookmarkStart w:id="58" w:name="fig-design"/>
    <w:p>
      <w:pPr>
        <w:pStyle w:val="FigureTitle"/>
      </w:pPr>
      <w:r>
        <w:t xml:space="preserve">Figure 2</w:t>
      </w:r>
    </w:p>
    <w:p>
      <w:pPr>
        <w:pStyle w:val="Caption"/>
      </w:pPr>
      <w:r>
        <w:t xml:space="preserve">Exposure and Measurement Schedule</w:t>
      </w:r>
    </w:p>
    <w:p>
      <w:pPr>
        <w:pStyle w:val="FigureWithNote"/>
      </w:pPr>
      <w:r>
        <w:drawing>
          <wp:inline>
            <wp:extent cx="5943600" cy="2651759"/>
            <wp:effectExtent b="0" l="0" r="0" t="0"/>
            <wp:docPr descr="" title="" id="56" name="Picture"/>
            <a:graphic>
              <a:graphicData uri="http://schemas.openxmlformats.org/drawingml/2006/picture">
                <pic:pic>
                  <pic:nvPicPr>
                    <pic:cNvPr descr="paper_1_morphosyntax_files/figure-docx/fig-design-1.png" id="57" name="Picture"/>
                    <pic:cNvPicPr>
                      <a:picLocks noChangeArrowheads="1" noChangeAspect="1"/>
                    </pic:cNvPicPr>
                  </pic:nvPicPr>
                  <pic:blipFill>
                    <a:blip r:embed="rId55"/>
                    <a:stretch>
                      <a:fillRect/>
                    </a:stretch>
                  </pic:blipFill>
                  <pic:spPr bwMode="auto">
                    <a:xfrm>
                      <a:off x="0" y="0"/>
                      <a:ext cx="5943600" cy="2651759"/>
                    </a:xfrm>
                    <a:prstGeom prst="rect">
                      <a:avLst/>
                    </a:prstGeom>
                    <a:noFill/>
                    <a:ln w="9525">
                      <a:noFill/>
                      <a:headEnd/>
                      <a:tailEnd/>
                    </a:ln>
                  </pic:spPr>
                </pic:pic>
              </a:graphicData>
            </a:graphic>
          </wp:inline>
        </w:drawing>
      </w:r>
    </w:p>
    <w:bookmarkEnd w:id="58"/>
    <w:p>
      <w:pPr>
        <w:pStyle w:val="FigureNote"/>
      </w:pPr>
      <w:r>
        <w:rPr>
          <w:i/>
          <w:iCs/>
        </w:rPr>
        <w:t xml:space="preserve">Note</w:t>
      </w:r>
      <w:r>
        <w:t xml:space="preserve">. Each grammatical property enters at a different session and recurs thereafter, and the four ERP/behavioural sessions are 2, 3, 4 and 6. Gender agreement therefore has four sessions of coverage, differential object marking three, and verb–object number agreement two. The session axis is ordinal, so equal spacing does not imply equal elapsed time. Sessions 2 to 4 are one week apart, whereas Session 6, the unrehearsed retention test, follows Session 4 after about four months without exposure. The intervals are therefore annotated numerically.</w:t>
      </w:r>
    </w:p>
    <w:p>
      <w:pPr>
        <w:pStyle w:val="BodyText"/>
      </w:pPr>
      <w:r>
        <w:t xml:space="preserve">Three quantities operationalise our hypotheses. The grammaticality effect</w:t>
      </w:r>
      <w:r>
        <w:t xml:space="preserve"> </w:t>
      </w:r>
      <w:r>
        <w:t xml:space="preserve">(the amplitude or accuracy difference between ungrammatical and grammatical trials)</w:t>
      </w:r>
      <w:r>
        <w:t xml:space="preserve"> </w:t>
      </w:r>
      <w:r>
        <w:t xml:space="preserve">indexes whether a property is processed grammatically at all. The</w:t>
      </w:r>
      <w:r>
        <w:t xml:space="preserve"> </w:t>
      </w:r>
      <w:r>
        <w:t xml:space="preserve">grammaticality</w:t>
      </w:r>
      <w:r>
        <w:t xml:space="preserve"> </w:t>
      </w:r>
      <m:oMath>
        <m:r>
          <m:rPr>
            <m:sty m:val="p"/>
          </m:rPr>
          <m:t>×</m:t>
        </m:r>
      </m:oMath>
      <w:r>
        <w:t xml:space="preserve"> </w:t>
      </w:r>
      <w:r>
        <w:t xml:space="preserve">session interaction indexes</w:t>
      </w:r>
      <w:r>
        <w:t xml:space="preserve"> </w:t>
      </w:r>
      <w:r>
        <w:rPr>
          <w:i/>
          <w:iCs/>
        </w:rPr>
        <w:t xml:space="preserve">learning</w:t>
      </w:r>
      <w:r>
        <w:t xml:space="preserve">: the sharpening of</w:t>
      </w:r>
      <w:r>
        <w:t xml:space="preserve"> </w:t>
      </w:r>
      <w:r>
        <w:t xml:space="preserve">that effect with exposure. Its modulation by language,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term, indexes</w:t>
      </w:r>
      <w:r>
        <w:t xml:space="preserve"> </w:t>
      </w:r>
      <w:r>
        <w:rPr>
          <w:i/>
          <w:iCs/>
        </w:rPr>
        <w:t xml:space="preserve">source-language transfer</w:t>
      </w:r>
      <w:r>
        <w:t xml:space="preserve">, whether learning is</w:t>
      </w:r>
      <w:r>
        <w:t xml:space="preserve"> </w:t>
      </w:r>
      <w:r>
        <w:t xml:space="preserve">faster or stronger for the language whose prior structures align with the target</w:t>
      </w:r>
      <w:r>
        <w:t xml:space="preserve"> </w:t>
      </w:r>
      <w:r>
        <w:t xml:space="preserve">property. A derived Session 4</w:t>
      </w:r>
      <w:r>
        <w:t xml:space="preserve"> </w:t>
      </w:r>
      <m:oMath>
        <m:r>
          <m:rPr>
            <m:sty m:val="p"/>
          </m:rPr>
          <m:t>→</m:t>
        </m:r>
      </m:oMath>
      <w:r>
        <w:t xml:space="preserve"> </w:t>
      </w:r>
      <w:r>
        <w:t xml:space="preserve">Session 6 contrast then indexes how the</w:t>
      </w:r>
      <w:r>
        <w:t xml:space="preserve"> </w:t>
      </w:r>
      <w:r>
        <w:t xml:space="preserve">grammaticality effect changes across the consolidation interval. The language advantage</w:t>
      </w:r>
      <w:r>
        <w:t xml:space="preserve"> </w:t>
      </w:r>
      <w:r>
        <w:t xml:space="preserve">evaluated at a property’s first session, derived from the same draws, indexes whether</w:t>
      </w:r>
      <w:r>
        <w:t xml:space="preserve"> </w:t>
      </w:r>
      <w:r>
        <w:t xml:space="preserve">that advantage was in place when the property was first probed.</w:t>
      </w:r>
    </w:p>
    <w:p>
      <w:pPr>
        <w:pStyle w:val="BodyText"/>
      </w:pPr>
      <w:r>
        <w:t xml:space="preserve">The transfer accounts make no prediction about the retention interval, since they</w:t>
      </w:r>
      <w:r>
        <w:t xml:space="preserve"> </w:t>
      </w:r>
      <w:r>
        <w:t xml:space="preserve">concern the initial state and the course of acquisition. The expectation for that</w:t>
      </w:r>
      <w:r>
        <w:t xml:space="preserve"> </w:t>
      </w:r>
      <w:r>
        <w:t xml:space="preserve">interval comes from the training literature cited above, in which a grammaticality</w:t>
      </w:r>
      <w:r>
        <w:t xml:space="preserve"> </w:t>
      </w:r>
      <w:r>
        <w:t xml:space="preserve">response that has emerged during training holds or grows across months without exposure</w:t>
      </w:r>
      <w:r>
        <w:t xml:space="preserve"> </w:t>
      </w:r>
      <w:r>
        <w:t xml:space="preserve">(</w:t>
      </w:r>
      <w:hyperlink w:anchor="ref-morganshort2012plos">
        <w:r>
          <w:rPr>
            <w:rStyle w:val="Hyperlink"/>
          </w:rPr>
          <w:t xml:space="preserve">Morgan-Short, Finger, et al., 2012</w:t>
        </w:r>
      </w:hyperlink>
      <w:r>
        <w:t xml:space="preserve">)</w:t>
      </w:r>
      <w:r>
        <w:t xml:space="preserve">. If transfer is property-specific, that profile may differ</w:t>
      </w:r>
      <w:r>
        <w:t xml:space="preserve"> </w:t>
      </w:r>
      <w:r>
        <w:t xml:space="preserve">between the property with a first-language analogue and the two without. The retention</w:t>
      </w:r>
      <w:r>
        <w:t xml:space="preserve"> </w:t>
      </w:r>
      <w:r>
        <w:t xml:space="preserve">contrasts therefore characterise the trajectory. They do not test between the accounts.</w:t>
      </w:r>
    </w:p>
    <w:p>
      <w:pPr>
        <w:pStyle w:val="BodyText"/>
      </w:pPr>
      <w:r>
        <w:t xml:space="preserve">The two families of account are separated here by which prior grammar each engages and</w:t>
      </w:r>
      <w:r>
        <w:t xml:space="preserve"> </w:t>
      </w:r>
      <w:r>
        <w:t xml:space="preserve">by when its influence should appear. Gender agreement is the only property with a</w:t>
      </w:r>
      <w:r>
        <w:t xml:space="preserve"> </w:t>
      </w:r>
      <w:r>
        <w:t xml:space="preserve">first-language analogue, and so the only one on which the two miniature languages stand</w:t>
      </w:r>
      <w:r>
        <w:t xml:space="preserve"> </w:t>
      </w:r>
      <w:r>
        <w:t xml:space="preserve">in different relations to a prior grammar. Differential object marking and verb–object</w:t>
      </w:r>
      <w:r>
        <w:t xml:space="preserve"> </w:t>
      </w:r>
      <w:r>
        <w:t xml:space="preserve">number agreement are novel to Norwegian and English alike and are realised identically in</w:t>
      </w:r>
      <w:r>
        <w:t xml:space="preserve"> </w:t>
      </w:r>
      <w:r>
        <w:t xml:space="preserve">the two miniature languages. Property-level congruence therefore predicts no group</w:t>
      </w:r>
      <w:r>
        <w:t xml:space="preserve"> </w:t>
      </w:r>
      <w:r>
        <w:t xml:space="preserve">difference on them under either family, and they serve as controls. A wholesale account,</w:t>
      </w:r>
      <w:r>
        <w:t xml:space="preserve"> </w:t>
      </w:r>
      <w:r>
        <w:t xml:space="preserve">on which one prior grammar supplies the initial state for the L3 grammar as a whole, must</w:t>
      </w:r>
      <w:r>
        <w:t xml:space="preserve"> </w:t>
      </w:r>
      <w:r>
        <w:t xml:space="preserve">also say which</w:t>
      </w:r>
      <w:r>
        <w:t xml:space="preserve"> </w:t>
      </w:r>
      <w:r>
        <w:t xml:space="preserve">grammar is selected. The Typological Primacy Model selects the source from a rapid</w:t>
      </w:r>
      <w:r>
        <w:t xml:space="preserve"> </w:t>
      </w:r>
      <w:r>
        <w:t xml:space="preserve">typological assessment led by lexical similarity, and the design speaks to that cue</w:t>
      </w:r>
      <w:r>
        <w:t xml:space="preserve"> </w:t>
      </w:r>
      <w:r>
        <w:t xml:space="preserve">directly. Each miniature language draws its content words from one of the prior</w:t>
      </w:r>
      <w:r>
        <w:t xml:space="preserve"> </w:t>
      </w:r>
      <w:r>
        <w:t xml:space="preserve">languages, so lexically led selection points each group to the language its miniature</w:t>
      </w:r>
      <w:r>
        <w:t xml:space="preserve"> </w:t>
      </w:r>
      <w:r>
        <w:t xml:space="preserve">language is built on, English for Mini-English and Norwegian for Mini-Norwegian. On that</w:t>
      </w:r>
      <w:r>
        <w:t xml:space="preserve"> </w:t>
      </w:r>
      <w:r>
        <w:t xml:space="preserve">selection, a wholesale account predicts a Mini-Norwegian advantage on gender agreement,</w:t>
      </w:r>
      <w:r>
        <w:t xml:space="preserve"> </w:t>
      </w:r>
      <w:r>
        <w:t xml:space="preserve">present from that property’s first session, because the projected Norwegian grammar</w:t>
      </w:r>
      <w:r>
        <w:t xml:space="preserve"> </w:t>
      </w:r>
      <w:r>
        <w:t xml:space="preserve">supplies both the gender system and its suffixal format. It predicts no group</w:t>
      </w:r>
      <w:r>
        <w:t xml:space="preserve"> </w:t>
      </w:r>
      <w:r>
        <w:t xml:space="preserve">difference on the control properties, which neither projected grammar encodes. A</w:t>
      </w:r>
      <w:r>
        <w:t xml:space="preserve"> </w:t>
      </w:r>
      <w:r>
        <w:t xml:space="preserve">property-by-property account predicts the same confinement of the advantage to gender</w:t>
      </w:r>
      <w:r>
        <w:t xml:space="preserve"> </w:t>
      </w:r>
      <w:r>
        <w:t xml:space="preserve">agreement but a different onset, with the advantage emerging only as the learner detects</w:t>
      </w:r>
      <w:r>
        <w:t xml:space="preserve"> </w:t>
      </w:r>
      <w:r>
        <w:t xml:space="preserve">the structural match. Under the source selection</w:t>
      </w:r>
      <w:r>
        <w:t xml:space="preserve"> </w:t>
      </w:r>
      <w:r>
        <w:t xml:space="preserve">this design supports, then, the two families agree on where the gender-agreement</w:t>
      </w:r>
      <w:r>
        <w:t xml:space="preserve"> </w:t>
      </w:r>
      <w:r>
        <w:t xml:space="preserve">advantage should appear and differ only on when. The diagnostic quantity is therefore</w:t>
      </w:r>
      <w:r>
        <w:t xml:space="preserve"> </w:t>
      </w:r>
      <w:r>
        <w:t xml:space="preserve">the advantage at the property’s first session, which wholesale projection predicts to</w:t>
      </w:r>
      <w:r>
        <w:t xml:space="preserve"> </w:t>
      </w:r>
      <w:r>
        <w:t xml:space="preserve">be present and a property-by-property account predicts to be absent or small. Growth of</w:t>
      </w:r>
      <w:r>
        <w:t xml:space="preserve"> </w:t>
      </w:r>
      <w:r>
        <w:t xml:space="preserve">the advantage across sessions is predicted by the property-by-property account and</w:t>
      </w:r>
      <w:r>
        <w:t xml:space="preserve"> </w:t>
      </w:r>
      <w:r>
        <w:t xml:space="preserve">permitted by wholesale projection, which constrains the initial state and says nothing</w:t>
      </w:r>
      <w:r>
        <w:t xml:space="preserve"> </w:t>
      </w:r>
      <w:r>
        <w:t xml:space="preserve">about subsequent learning</w:t>
      </w:r>
      <w:r>
        <w:t xml:space="preserve"> </w:t>
      </w:r>
      <w:r>
        <w:t xml:space="preserve">(</w:t>
      </w:r>
      <w:hyperlink w:anchor="ref-gonzalezalonso2017">
        <w:r>
          <w:rPr>
            <w:rStyle w:val="Hyperlink"/>
          </w:rPr>
          <w:t xml:space="preserve">Alonso &amp; Rothman, 2017</w:t>
        </w:r>
      </w:hyperlink>
      <w:r>
        <w:t xml:space="preserve">)</w:t>
      </w:r>
      <w:r>
        <w:t xml:space="preserve">, so growth alone favours the former</w:t>
      </w:r>
      <w:r>
        <w:t xml:space="preserve"> </w:t>
      </w:r>
      <w:r>
        <w:t xml:space="preserve">without excluding the latter.</w:t>
      </w:r>
    </w:p>
    <w:p>
      <w:pPr>
        <w:pStyle w:val="BodyText"/>
      </w:pPr>
      <w:r>
        <w:t xml:space="preserve">The L2 Status Factor makes a further prediction of its own. If the second language is the</w:t>
      </w:r>
      <w:r>
        <w:t xml:space="preserve"> </w:t>
      </w:r>
      <w:r>
        <w:t xml:space="preserve">default source, both groups project English, which encodes none of the three properties,</w:t>
      </w:r>
      <w:r>
        <w:t xml:space="preserve"> </w:t>
      </w:r>
      <w:r>
        <w:t xml:space="preserve">so property-level congruence predicts no group difference anywhere. If projecting a</w:t>
      </w:r>
      <w:r>
        <w:t xml:space="preserve"> </w:t>
      </w:r>
      <w:r>
        <w:t xml:space="preserve">source whose morphological format matches the input eases processing of that input at</w:t>
      </w:r>
      <w:r>
        <w:t xml:space="preserve"> </w:t>
      </w:r>
      <w:r>
        <w:t xml:space="preserve">all, the beneficiary under an English default is the Mini-English group, whose miniature</w:t>
      </w:r>
      <w:r>
        <w:t xml:space="preserve"> </w:t>
      </w:r>
      <w:r>
        <w:t xml:space="preserve">language is built on English-like free morphology. In no derivation does an L2 default predict a</w:t>
      </w:r>
      <w:r>
        <w:t xml:space="preserve"> </w:t>
      </w:r>
      <w:r>
        <w:t xml:space="preserve">Mini-Norwegian advantage. This design discriminates the two families less sharply than a</w:t>
      </w:r>
      <w:r>
        <w:t xml:space="preserve"> </w:t>
      </w:r>
      <w:r>
        <w:t xml:space="preserve">design contrasting two candidate source grammars would, and we return to the point in the</w:t>
      </w:r>
      <w:r>
        <w:t xml:space="preserve"> </w:t>
      </w:r>
      <w:r>
        <w:t xml:space="preserve">Limitations.</w:t>
      </w:r>
    </w:p>
    <w:p>
      <w:pPr>
        <w:pStyle w:val="BodyText"/>
      </w:pPr>
      <w:r>
        <w:t xml:space="preserve">Alongside the region-averaged models, we ask whether grammaticality is decodable from the</w:t>
      </w:r>
      <w:r>
        <w:t xml:space="preserve"> </w:t>
      </w:r>
      <w:r>
        <w:t xml:space="preserve">whole-scalp voltage pattern at each moment. A multivariate decoder can detect a</w:t>
      </w:r>
      <w:r>
        <w:t xml:space="preserve"> </w:t>
      </w:r>
      <w:r>
        <w:t xml:space="preserve">distributed violation response too weak to move any single region’s mean. Its</w:t>
      </w:r>
      <w:r>
        <w:t xml:space="preserve"> </w:t>
      </w:r>
      <w:r>
        <w:t xml:space="preserve">cross-language generalisation asks whether the pattern that separates the conditions in</w:t>
      </w:r>
      <w:r>
        <w:t xml:space="preserve"> </w:t>
      </w:r>
      <w:r>
        <w:t xml:space="preserve">one mini-language also separates them in the other. Its cross-property generalisation</w:t>
      </w:r>
      <w:r>
        <w:t xml:space="preserve"> </w:t>
      </w:r>
      <w:r>
        <w:t xml:space="preserve">tests a further prediction. If the grammaticality response were largely a domain-general</w:t>
      </w:r>
      <w:r>
        <w:t xml:space="preserve"> </w:t>
      </w:r>
      <w:r>
        <w:t xml:space="preserve">salience or integration signal</w:t>
      </w:r>
      <w:r>
        <w:t xml:space="preserve"> </w:t>
      </w:r>
      <w:r>
        <w:t xml:space="preserve">(</w:t>
      </w:r>
      <w:hyperlink w:anchor="ref-aurnhammer2023">
        <w:r>
          <w:rPr>
            <w:rStyle w:val="Hyperlink"/>
          </w:rPr>
          <w:t xml:space="preserve">Aurnhammer et al., 2023</w:t>
        </w:r>
      </w:hyperlink>
      <w:r>
        <w:t xml:space="preserve">;</w:t>
      </w:r>
      <w:r>
        <w:t xml:space="preserve"> </w:t>
      </w:r>
      <w:hyperlink w:anchor="ref-sassenhagen2019">
        <w:r>
          <w:rPr>
            <w:rStyle w:val="Hyperlink"/>
          </w:rPr>
          <w:t xml:space="preserve">Sassenhagen &amp; Fiebach, 2019</w:t>
        </w:r>
      </w:hyperlink>
      <w:r>
        <w:t xml:space="preserve">)</w:t>
      </w:r>
      <w:r>
        <w:t xml:space="preserve">, a decoder trained on</w:t>
      </w:r>
      <w:r>
        <w:t xml:space="preserve"> </w:t>
      </w:r>
      <w:r>
        <w:t xml:space="preserve">one property should transfer to the others. If each property recruits its own code, as</w:t>
      </w:r>
      <w:r>
        <w:t xml:space="preserve"> </w:t>
      </w:r>
      <w:r>
        <w:t xml:space="preserve">the fractionation of the late positivity</w:t>
      </w:r>
      <w:r>
        <w:t xml:space="preserve"> </w:t>
      </w:r>
      <w:r>
        <w:t xml:space="preserve">(</w:t>
      </w:r>
      <w:hyperlink w:anchor="ref-kaan2003">
        <w:r>
          <w:rPr>
            <w:rStyle w:val="Hyperlink"/>
          </w:rPr>
          <w:t xml:space="preserve">Kaan &amp; Swaab, 2003</w:t>
        </w:r>
      </w:hyperlink>
      <w:r>
        <w:t xml:space="preserve">)</w:t>
      </w:r>
      <w:r>
        <w:t xml:space="preserve"> </w:t>
      </w:r>
      <w:r>
        <w:t xml:space="preserve">and the separable developmental</w:t>
      </w:r>
      <w:r>
        <w:t xml:space="preserve"> </w:t>
      </w:r>
      <w:r>
        <w:t xml:space="preserve">courses of agreement features</w:t>
      </w:r>
      <w:r>
        <w:t xml:space="preserve"> </w:t>
      </w:r>
      <w:r>
        <w:t xml:space="preserve">(</w:t>
      </w:r>
      <w:hyperlink w:anchor="ref-alemanbanon2018">
        <w:r>
          <w:rPr>
            <w:rStyle w:val="Hyperlink"/>
          </w:rPr>
          <w:t xml:space="preserve">Alemán Bañón et al., 2018</w:t>
        </w:r>
      </w:hyperlink>
      <w:r>
        <w:t xml:space="preserve">)</w:t>
      </w:r>
      <w:r>
        <w:t xml:space="preserve"> </w:t>
      </w:r>
      <w:r>
        <w:t xml:space="preserve">suggest, it should not. No null</w:t>
      </w:r>
      <w:r>
        <w:t xml:space="preserve"> </w:t>
      </w:r>
      <w:r>
        <w:t xml:space="preserve">distribution was computed for either generalisation analysis, so both are reported as</w:t>
      </w:r>
      <w:r>
        <w:t xml:space="preserve"> </w:t>
      </w:r>
      <w:r>
        <w:t xml:space="preserve">descriptive probes.</w:t>
      </w:r>
    </w:p>
    <w:bookmarkEnd w:id="59"/>
    <w:bookmarkEnd w:id="60"/>
    <w:bookmarkStart w:id="93" w:name="method"/>
    <w:p>
      <w:pPr>
        <w:pStyle w:val="Heading1"/>
      </w:pPr>
      <w:r>
        <w:t xml:space="preserve">Method</w:t>
      </w:r>
    </w:p>
    <w:bookmarkStart w:id="65" w:name="participants"/>
    <w:p>
      <w:pPr>
        <w:pStyle w:val="Heading2"/>
      </w:pPr>
      <w:r>
        <w:t xml:space="preserve">Participants</w:t>
      </w:r>
    </w:p>
    <w:p>
      <w:pPr>
        <w:pStyle w:val="FirstParagraph"/>
      </w:pPr>
      <w:r>
        <w:t xml:space="preserve">In total, 65 Norwegian–English bilinguals (first</w:t>
      </w:r>
      <w:r>
        <w:t xml:space="preserve"> </w:t>
      </w:r>
      <w:r>
        <w:t xml:space="preserve">language Norwegian, second language English) took part, each assigned to learn one</w:t>
      </w:r>
      <w:r>
        <w:t xml:space="preserve"> </w:t>
      </w:r>
      <w:r>
        <w:t xml:space="preserve">of the two miniature languages. Assignment followed a fixed rule on the participant</w:t>
      </w:r>
      <w:r>
        <w:t xml:space="preserve"> </w:t>
      </w:r>
      <w:r>
        <w:t xml:space="preserve">identifier, giving 33 Mini-English and</w:t>
      </w:r>
      <w:r>
        <w:t xml:space="preserve"> </w:t>
      </w:r>
      <w:r>
        <w:t xml:space="preserve">32 Mini-Norwegian learners, so language is a</w:t>
      </w:r>
      <w:r>
        <w:t xml:space="preserve"> </w:t>
      </w:r>
      <w:r>
        <w:t xml:space="preserve">between-participants factor. Of the 64 participants</w:t>
      </w:r>
      <w:r>
        <w:t xml:space="preserve"> </w:t>
      </w:r>
      <w:r>
        <w:t xml:space="preserve">with a Language History Questionnaire record</w:t>
      </w:r>
      <w:r>
        <w:t xml:space="preserve"> </w:t>
      </w:r>
      <w:r>
        <w:t xml:space="preserve">(LHQ3:</w:t>
      </w:r>
      <w:r>
        <w:t xml:space="preserve"> </w:t>
      </w:r>
      <w:hyperlink w:anchor="ref-lhq3">
        <w:r>
          <w:rPr>
            <w:rStyle w:val="Hyperlink"/>
          </w:rPr>
          <w:t xml:space="preserve">Li et al., 2020</w:t>
        </w:r>
      </w:hyperlink>
      <w:r>
        <w:t xml:space="preserve">)</w:t>
      </w:r>
      <w:r>
        <w:t xml:space="preserve">, the mean age was</w:t>
      </w:r>
      <w:r>
        <w:t xml:space="preserve"> </w:t>
      </w:r>
      <w:r>
        <w:t xml:space="preserve">25.7 years (</w:t>
      </w:r>
      <m:oMath>
        <m:r>
          <m:t>S</m:t>
        </m:r>
        <m:r>
          <m:t>D</m:t>
        </m:r>
        <m:r>
          <m:rPr>
            <m:sty m:val="p"/>
          </m:rPr>
          <m:t>=</m:t>
        </m:r>
        <m:r>
          <m:t>7.4</m:t>
        </m:r>
      </m:oMath>
      <w:r>
        <w:t xml:space="preserve">, range</w:t>
      </w:r>
      <w:r>
        <w:t xml:space="preserve"> </w:t>
      </w:r>
      <w:r>
        <w:t xml:space="preserve">16–54). The youngest participant was under 18 at the time of the questionnaire. All others were adults.</w:t>
      </w:r>
      <w:r>
        <w:t xml:space="preserve"> </w:t>
      </w:r>
      <w:r>
        <w:t xml:space="preserve">Of the same record, 40 identified as female,</w:t>
      </w:r>
      <w:r>
        <w:t xml:space="preserve"> </w:t>
      </w:r>
      <w:r>
        <w:t xml:space="preserve">21 as male and 1</w:t>
      </w:r>
      <w:r>
        <w:t xml:space="preserve"> </w:t>
      </w:r>
      <w:r>
        <w:t xml:space="preserve">as non-binary (2 did not disclose). Among the</w:t>
      </w:r>
      <w:r>
        <w:t xml:space="preserve"> </w:t>
      </w:r>
      <w:r>
        <w:t xml:space="preserve">63 who reported handedness,</w:t>
      </w:r>
      <w:r>
        <w:t xml:space="preserve"> </w:t>
      </w:r>
      <w:r>
        <w:t xml:space="preserve">60 were right-handed and</w:t>
      </w:r>
      <w:r>
        <w:t xml:space="preserve"> </w:t>
      </w:r>
      <w:r>
        <w:t xml:space="preserve">3 left-handed. English had been</w:t>
      </w:r>
      <w:r>
        <w:t xml:space="preserve"> </w:t>
      </w:r>
      <w:r>
        <w:t xml:space="preserve">acquired early (age of first exposure</w:t>
      </w:r>
      <w:r>
        <w:t xml:space="preserve"> </w:t>
      </w:r>
      <m:oMath>
        <m:r>
          <m:t>M</m:t>
        </m:r>
        <m:r>
          <m:rPr>
            <m:sty m:val="p"/>
          </m:rPr>
          <m:t>=</m:t>
        </m:r>
        <m:r>
          <m:t>6.8</m:t>
        </m:r>
      </m:oMath>
      <w:r>
        <w:t xml:space="preserve"> </w:t>
      </w:r>
      <w:r>
        <w:t xml:space="preserve">years,</w:t>
      </w:r>
      <w:r>
        <w:t xml:space="preserve"> </w:t>
      </w:r>
      <m:oMath>
        <m:r>
          <m:t>S</m:t>
        </m:r>
        <m:r>
          <m:t>D</m:t>
        </m:r>
        <m:r>
          <m:rPr>
            <m:sty m:val="p"/>
          </m:rPr>
          <m:t>=</m:t>
        </m:r>
        <m:r>
          <m:t>4.0</m:t>
        </m:r>
      </m:oMath>
      <w:r>
        <w:t xml:space="preserve">) and used for many years</w:t>
      </w:r>
      <w:r>
        <w:t xml:space="preserve"> </w:t>
      </w:r>
      <w:r>
        <w:t xml:space="preserve">(</w:t>
      </w:r>
      <m:oMath>
        <m:r>
          <m:t>M</m:t>
        </m:r>
        <m:r>
          <m:rPr>
            <m:sty m:val="p"/>
          </m:rPr>
          <m:t>=</m:t>
        </m:r>
        <m:r>
          <m:t>18.2</m:t>
        </m:r>
      </m:oMath>
      <w:r>
        <w:t xml:space="preserve">,</w:t>
      </w:r>
      <w:r>
        <w:t xml:space="preserve"> </w:t>
      </w:r>
      <m:oMath>
        <m:r>
          <m:t>S</m:t>
        </m:r>
        <m:r>
          <m:t>D</m:t>
        </m:r>
        <m:r>
          <m:rPr>
            <m:sty m:val="p"/>
          </m:rPr>
          <m:t>=</m:t>
        </m:r>
        <m:r>
          <m:t>7.5</m:t>
        </m:r>
      </m:oMath>
      <w:r>
        <w:t xml:space="preserve">), with high</w:t>
      </w:r>
      <w:r>
        <w:t xml:space="preserve"> </w:t>
      </w:r>
      <w:r>
        <w:t xml:space="preserve">self-rated proficiency (</w:t>
      </w:r>
      <m:oMath>
        <m:r>
          <m:t>M</m:t>
        </m:r>
        <m:r>
          <m:rPr>
            <m:sty m:val="p"/>
          </m:rPr>
          <m:t>=</m:t>
        </m:r>
        <m:r>
          <m:t>0.82</m:t>
        </m:r>
      </m:oMath>
      <w:r>
        <w:t xml:space="preserve"> </w:t>
      </w:r>
      <w:r>
        <w:t xml:space="preserve">of 1,</w:t>
      </w:r>
      <w:r>
        <w:t xml:space="preserve"> </w:t>
      </w:r>
      <m:oMath>
        <m:r>
          <m:t>S</m:t>
        </m:r>
        <m:r>
          <m:t>D</m:t>
        </m:r>
        <m:r>
          <m:rPr>
            <m:sty m:val="p"/>
          </m:rPr>
          <m:t>=</m:t>
        </m:r>
        <m:r>
          <m:t>0.16</m:t>
        </m:r>
      </m:oMath>
      <w:r>
        <w:t xml:space="preserve">). 48 of the 64 also reported knowledge of at least one further language, most often German or Spanish. Several of the languages named mark grammatical gender or case, and the design did not screen them out (see Limitations).</w:t>
      </w:r>
    </w:p>
    <w:p>
      <w:pPr>
        <w:pStyle w:val="BodyText"/>
      </w:pPr>
      <w:r>
        <w:t xml:space="preserve">Attrition increased across the training: of the 65 who began,</w:t>
      </w:r>
      <w:r>
        <w:t xml:space="preserve"> </w:t>
      </w:r>
      <w:r>
        <w:t xml:space="preserve">57 remained at Session 3, 56 at</w:t>
      </w:r>
      <w:r>
        <w:t xml:space="preserve"> </w:t>
      </w:r>
      <w:r>
        <w:t xml:space="preserve">Session 4, and 36 completed the Session 6 retention test.</w:t>
      </w:r>
      <w:r>
        <w:t xml:space="preserve"> </w:t>
      </w:r>
      <w:r>
        <w:t xml:space="preserve">The ERP analyses draw on the 63 participants with usable</w:t>
      </w:r>
      <w:r>
        <w:t xml:space="preserve"> </w:t>
      </w:r>
      <w:r>
        <w:t xml:space="preserve">single-trial EEG (33 Mini-English,</w:t>
      </w:r>
      <w:r>
        <w:t xml:space="preserve"> </w:t>
      </w:r>
      <w:r>
        <w:t xml:space="preserve">30 Mini-Norwegian). The fitted ERP models</w:t>
      </w:r>
      <w:r>
        <w:t xml:space="preserve"> </w:t>
      </w:r>
      <w:r>
        <w:t xml:space="preserve">also require the L1-dominance covariate described under</w:t>
      </w:r>
      <w:r>
        <w:t xml:space="preserve"> </w:t>
      </w:r>
      <w:r>
        <w:rPr>
          <w:i/>
          <w:iCs/>
        </w:rPr>
        <w:t xml:space="preserve">Data analysis</w:t>
      </w:r>
      <w:r>
        <w:t xml:space="preserve">, and the trials</w:t>
      </w:r>
      <w:r>
        <w:t xml:space="preserve"> </w:t>
      </w:r>
      <w:r>
        <w:t xml:space="preserve">of a participant without that score are dropped by listwise deletion, so the</w:t>
      </w:r>
      <w:r>
        <w:t xml:space="preserve"> </w:t>
      </w:r>
      <w:r>
        <w:t xml:space="preserve">gender-agreement models were fitted to 62</w:t>
      </w:r>
      <w:r>
        <w:t xml:space="preserve"> </w:t>
      </w:r>
      <w:r>
        <w:t xml:space="preserve">participants, the differential-object-marking models to</w:t>
      </w:r>
      <w:r>
        <w:t xml:space="preserve"> </w:t>
      </w:r>
      <w:r>
        <w:t xml:space="preserve">56 and the verb–object number-agreement</w:t>
      </w:r>
      <w:r>
        <w:t xml:space="preserve"> </w:t>
      </w:r>
      <w:r>
        <w:t xml:space="preserve">models to 55. The</w:t>
      </w:r>
      <w:r>
        <w:t xml:space="preserve"> </w:t>
      </w:r>
      <w:r>
        <w:t xml:space="preserve">grammaticality-judgement analyses draw on 64 participants</w:t>
      </w:r>
      <w:r>
        <w:t xml:space="preserve"> </w:t>
      </w:r>
      <w:r>
        <w:t xml:space="preserve">(</w:t>
      </w:r>
      <w:hyperlink w:anchor="fig-flow">
        <w:r>
          <w:rPr>
            <w:rStyle w:val="Hyperlink"/>
          </w:rPr>
          <w:t xml:space="preserve">Figure 3</w:t>
        </w:r>
      </w:hyperlink>
      <w:r>
        <w:t xml:space="preserve">). The project was registered with the Norwegian Agency for Shared Services in</w:t>
      </w:r>
      <w:r>
        <w:t xml:space="preserve"> </w:t>
      </w:r>
      <w:r>
        <w:t xml:space="preserve">Education and Research (Sikt; project 2559611). All procedures complied</w:t>
      </w:r>
      <w:r>
        <w:t xml:space="preserve"> </w:t>
      </w:r>
      <w:r>
        <w:t xml:space="preserve">with the relevant laws and institutional guidelines, the privacy rights of the participants</w:t>
      </w:r>
      <w:r>
        <w:t xml:space="preserve"> </w:t>
      </w:r>
      <w:r>
        <w:t xml:space="preserve">were observed, and every participant gave written informed consent.</w:t>
      </w:r>
    </w:p>
    <w:bookmarkStart w:id="64" w:name="fig-flow"/>
    <w:p>
      <w:pPr>
        <w:pStyle w:val="FigureTitle"/>
      </w:pPr>
      <w:r>
        <w:t xml:space="preserve">Figure 3</w:t>
      </w:r>
    </w:p>
    <w:p>
      <w:pPr>
        <w:pStyle w:val="Caption"/>
      </w:pPr>
      <w:r>
        <w:t xml:space="preserve">Participant Flow</w:t>
      </w:r>
    </w:p>
    <w:p>
      <w:pPr>
        <w:pStyle w:val="FigureWithNote"/>
      </w:pPr>
      <w:r>
        <w:drawing>
          <wp:inline>
            <wp:extent cx="5943600" cy="4023359"/>
            <wp:effectExtent b="0" l="0" r="0" t="0"/>
            <wp:docPr descr="" title="" id="62" name="Picture"/>
            <a:graphic>
              <a:graphicData uri="http://schemas.openxmlformats.org/drawingml/2006/picture">
                <pic:pic>
                  <pic:nvPicPr>
                    <pic:cNvPr descr="paper_1_morphosyntax_files/figure-docx/fig-flow-1.png" id="63" name="Picture"/>
                    <pic:cNvPicPr>
                      <a:picLocks noChangeArrowheads="1" noChangeAspect="1"/>
                    </pic:cNvPicPr>
                  </pic:nvPicPr>
                  <pic:blipFill>
                    <a:blip r:embed="rId61"/>
                    <a:stretch>
                      <a:fillRect/>
                    </a:stretch>
                  </pic:blipFill>
                  <pic:spPr bwMode="auto">
                    <a:xfrm>
                      <a:off x="0" y="0"/>
                      <a:ext cx="5943600" cy="4023359"/>
                    </a:xfrm>
                    <a:prstGeom prst="rect">
                      <a:avLst/>
                    </a:prstGeom>
                    <a:noFill/>
                    <a:ln w="9525">
                      <a:noFill/>
                      <a:headEnd/>
                      <a:tailEnd/>
                    </a:ln>
                  </pic:spPr>
                </pic:pic>
              </a:graphicData>
            </a:graphic>
          </wp:inline>
        </w:drawing>
      </w:r>
    </w:p>
    <w:bookmarkEnd w:id="64"/>
    <w:p>
      <w:pPr>
        <w:pStyle w:val="FigureNote"/>
      </w:pPr>
      <w:r>
        <w:rPr>
          <w:i/>
          <w:iCs/>
        </w:rPr>
        <w:t xml:space="preserve">Note</w:t>
      </w:r>
      <w:r>
        <w:t xml:space="preserve">. Each stage spans the full enrolled cohort: the solid block is the participants still present, split by mini-language, and the faint block completing the bar is those no longer present, so cumulative attrition is visible as the unfilled area. Tapering bands connect consecutive stages, and each transition is annotated with the number lost and the percentage retained. The upper tier tracks enrolment and attendance at the four sessions this paper analyses. Sessions 1 and 5 are online cognitive sessions belonging to the companion paper and are omitted. The lower tier holds the analysis samples, which draw on the whole cohort pooled across sessions and not on Session 6, so bands are drawn only within a tier, where the subset relation holds. Two features of the cohort prevent a strictly nested reading: one participant missed Session 5 and returned for Session 6, and one contributes usable grammaticality judgements but no usable ERP.</w:t>
      </w:r>
    </w:p>
    <w:bookmarkEnd w:id="65"/>
    <w:bookmarkStart w:id="66" w:name="design-and-materials"/>
    <w:p>
      <w:pPr>
        <w:pStyle w:val="Heading2"/>
      </w:pPr>
      <w:r>
        <w:t xml:space="preserve">Design and materials</w:t>
      </w:r>
    </w:p>
    <w:p>
      <w:pPr>
        <w:pStyle w:val="FirstParagraph"/>
      </w:pPr>
      <w:r>
        <w:t xml:space="preserve">The longitudinal artificial-language paradigm implemented here is that of the wider</w:t>
      </w:r>
      <w:r>
        <w:t xml:space="preserve"> </w:t>
      </w:r>
      <w:r>
        <w:t xml:space="preserve">project reported by</w:t>
      </w:r>
      <w:r>
        <w:t xml:space="preserve"> </w:t>
      </w:r>
      <w:r>
        <w:t xml:space="preserve">González Alonso et al. (</w:t>
      </w:r>
      <w:hyperlink w:anchor="ref-gonzalezalonso2025">
        <w:r>
          <w:rPr>
            <w:rStyle w:val="Hyperlink"/>
          </w:rPr>
          <w:t xml:space="preserve">2025</w:t>
        </w:r>
      </w:hyperlink>
      <w:r>
        <w:t xml:space="preserve">)</w:t>
      </w:r>
      <w:r>
        <w:t xml:space="preserve">. Within each language, the design crosses</w:t>
      </w:r>
      <w:r>
        <w:t xml:space="preserve"> </w:t>
      </w:r>
      <w:r>
        <w:t xml:space="preserve">grammaticality (contrast coded</w:t>
      </w:r>
      <w:r>
        <w:t xml:space="preserve"> </w:t>
      </w:r>
      <w:r>
        <w:t xml:space="preserve">grammatical</w:t>
      </w:r>
      <w:r>
        <w:t xml:space="preserve"> </w:t>
      </w:r>
      <m:oMath>
        <m:r>
          <m:rPr>
            <m:sty m:val="p"/>
          </m:rPr>
          <m:t>=</m:t>
        </m:r>
        <m:r>
          <m:rPr>
            <m:sty m:val="p"/>
          </m:rPr>
          <m:t>+</m:t>
        </m:r>
        <m:r>
          <m:t>0.5</m:t>
        </m:r>
      </m:oMath>
      <w:r>
        <w:t xml:space="preserve">, ungrammatical</w:t>
      </w:r>
      <w:r>
        <w:t xml:space="preserve"> </w:t>
      </w:r>
      <m:oMath>
        <m:r>
          <m:rPr>
            <m:sty m:val="p"/>
          </m:rPr>
          <m:t>=</m:t>
        </m:r>
        <m:r>
          <m:rPr>
            <m:sty m:val="p"/>
          </m:rPr>
          <m:t>−</m:t>
        </m:r>
        <m:r>
          <m:t>0.5</m:t>
        </m:r>
      </m:oMath>
      <w:r>
        <w:t xml:space="preserve">) with session (the cumulative exposure</w:t>
      </w:r>
      <w:r>
        <w:t xml:space="preserve"> </w:t>
      </w:r>
      <w:r>
        <w:t xml:space="preserve">schedule above) within participants, and language between participants</w:t>
      </w:r>
      <w:r>
        <w:t xml:space="preserve"> </w:t>
      </w:r>
      <w:r>
        <w:t xml:space="preserve">(Mini-Norwegian</w:t>
      </w:r>
      <w:r>
        <w:t xml:space="preserve"> </w:t>
      </w:r>
      <m:oMath>
        <m:r>
          <m:rPr>
            <m:sty m:val="p"/>
          </m:rPr>
          <m:t>=</m:t>
        </m:r>
        <m:r>
          <m:rPr>
            <m:sty m:val="p"/>
          </m:rPr>
          <m:t>+</m:t>
        </m:r>
        <m:r>
          <m:t>0.5</m:t>
        </m:r>
      </m:oMath>
      <w:r>
        <w:t xml:space="preserve">, Mini-English</w:t>
      </w:r>
      <w:r>
        <w:t xml:space="preserve"> </w:t>
      </w:r>
      <m:oMath>
        <m:r>
          <m:rPr>
            <m:sty m:val="p"/>
          </m:rPr>
          <m:t>=</m:t>
        </m:r>
        <m:r>
          <m:rPr>
            <m:sty m:val="p"/>
          </m:rPr>
          <m:t>−</m:t>
        </m:r>
        <m:r>
          <m:t>0.5</m:t>
        </m:r>
      </m:oMath>
      <w:r>
        <w:t xml:space="preserve">), so a positive language-bearing</w:t>
      </w:r>
      <w:r>
        <w:t xml:space="preserve"> </w:t>
      </w:r>
      <w:r>
        <w:t xml:space="preserve">coefficient indicates a larger value for the Mini-Norwegian group. The three</w:t>
      </w:r>
      <w:r>
        <w:t xml:space="preserve"> </w:t>
      </w:r>
      <w:r>
        <w:t xml:space="preserve">properties were analysed separately. Each was probed with 48 grammatical and 48</w:t>
      </w:r>
      <w:r>
        <w:t xml:space="preserve"> </w:t>
      </w:r>
      <w:r>
        <w:t xml:space="preserve">ungrammatical sentences per session, built from a closed lexicon of twelve nouns, twelve</w:t>
      </w:r>
      <w:r>
        <w:t xml:space="preserve"> </w:t>
      </w:r>
      <w:r>
        <w:t xml:space="preserve">adjectives, twelve transitive verbs and twelve proper names per language. A third,</w:t>
      </w:r>
      <w:r>
        <w:t xml:space="preserve"> </w:t>
      </w:r>
      <w:r>
        <w:t xml:space="preserve">ancillary violation type was recorded but is not analysed here. Each sentence frame was</w:t>
      </w:r>
      <w:r>
        <w:t xml:space="preserve"> </w:t>
      </w:r>
      <w:r>
        <w:t xml:space="preserve">presented in both a grammatical and an ungrammatical version. The two miniature</w:t>
      </w:r>
      <w:r>
        <w:t xml:space="preserve"> </w:t>
      </w:r>
      <w:r>
        <w:t xml:space="preserve">languages draw on separate content lexicons, Mini-English building its nouns,</w:t>
      </w:r>
      <w:r>
        <w:t xml:space="preserve"> </w:t>
      </w:r>
      <w:r>
        <w:t xml:space="preserve">adjectives, verbs and names on English stems and Mini-Norwegian on</w:t>
      </w:r>
      <w:r>
        <w:t xml:space="preserve"> </w:t>
      </w:r>
      <w:r>
        <w:t xml:space="preserve">Norwegian stems. The critical word</w:t>
      </w:r>
      <w:r>
        <w:t xml:space="preserve"> </w:t>
      </w:r>
      <w:r>
        <w:t xml:space="preserve">carried the EEG trigger that defined the single-trial time-lock.</w:t>
      </w:r>
    </w:p>
    <w:p>
      <w:pPr>
        <w:pStyle w:val="BodyText"/>
      </w:pPr>
      <w:r>
        <w:t xml:space="preserve">The two miniature languages share the same invented grammatical morphemes (the</w:t>
      </w:r>
      <w:r>
        <w:t xml:space="preserve"> </w:t>
      </w:r>
      <w:r>
        <w:t xml:space="preserve">determiners</w:t>
      </w:r>
      <w:r>
        <w:t xml:space="preserve"> </w:t>
      </w:r>
      <w:r>
        <w:rPr>
          <w:i/>
          <w:iCs/>
        </w:rPr>
        <w:t xml:space="preserve">je</w:t>
      </w:r>
      <w:r>
        <w:t xml:space="preserve">/</w:t>
      </w:r>
      <w:r>
        <w:rPr>
          <w:i/>
          <w:iCs/>
        </w:rPr>
        <w:t xml:space="preserve">ze</w:t>
      </w:r>
      <w:r>
        <w:t xml:space="preserve">/</w:t>
      </w:r>
      <w:r>
        <w:rPr>
          <w:i/>
          <w:iCs/>
        </w:rPr>
        <w:t xml:space="preserve">jer</w:t>
      </w:r>
      <w:r>
        <w:t xml:space="preserve">/</w:t>
      </w:r>
      <w:r>
        <w:rPr>
          <w:i/>
          <w:iCs/>
        </w:rPr>
        <w:t xml:space="preserve">zer</w:t>
      </w:r>
      <w:r>
        <w:t xml:space="preserve">, the object marker</w:t>
      </w:r>
      <w:r>
        <w:t xml:space="preserve"> </w:t>
      </w:r>
      <w:r>
        <w:rPr>
          <w:i/>
          <w:iCs/>
        </w:rPr>
        <w:t xml:space="preserve">fi</w:t>
      </w:r>
      <w:r>
        <w:t xml:space="preserve">, the verbal suffix</w:t>
      </w:r>
      <w:r>
        <w:t xml:space="preserve"> </w:t>
      </w:r>
      <w:r>
        <w:rPr>
          <w:i/>
          <w:iCs/>
        </w:rPr>
        <w:t xml:space="preserve">-evo</w:t>
      </w:r>
      <w:r>
        <w:t xml:space="preserve"> </w:t>
      </w:r>
      <w:r>
        <w:t xml:space="preserve">and the adjectival agreement suffixes). They differ in one structural dimension,</w:t>
      </w:r>
      <w:r>
        <w:t xml:space="preserve"> </w:t>
      </w:r>
      <w:r>
        <w:t xml:space="preserve">determiner position, and that difference is the pivot of the transfer contrast.</w:t>
      </w:r>
      <w:r>
        <w:t xml:space="preserve"> </w:t>
      </w:r>
      <w:r>
        <w:t xml:space="preserve">Subject–verb gender agreement is built on a two-way common/neuter distinction, as</w:t>
      </w:r>
      <w:r>
        <w:t xml:space="preserve"> </w:t>
      </w:r>
      <w:r>
        <w:t xml:space="preserve">in real Norwegian. In Mini-English, the determiner is a free prenominal word that</w:t>
      </w:r>
      <w:r>
        <w:t xml:space="preserve"> </w:t>
      </w:r>
      <w:r>
        <w:t xml:space="preserve">marks gender and number (</w:t>
      </w:r>
      <w:r>
        <w:rPr>
          <w:i/>
          <w:iCs/>
        </w:rPr>
        <w:t xml:space="preserve">je</w:t>
      </w:r>
      <w:r>
        <w:t xml:space="preserve">/</w:t>
      </w:r>
      <w:r>
        <w:rPr>
          <w:i/>
          <w:iCs/>
        </w:rPr>
        <w:t xml:space="preserve">ze</w:t>
      </w:r>
      <w:r>
        <w:t xml:space="preserve"> </w:t>
      </w:r>
      <w:r>
        <w:t xml:space="preserve">for common/neuter singular,</w:t>
      </w:r>
      <w:r>
        <w:t xml:space="preserve"> </w:t>
      </w:r>
      <w:r>
        <w:rPr>
          <w:i/>
          <w:iCs/>
        </w:rPr>
        <w:t xml:space="preserve">jer</w:t>
      </w:r>
      <w:r>
        <w:t xml:space="preserve">/</w:t>
      </w:r>
      <w:r>
        <w:rPr>
          <w:i/>
          <w:iCs/>
        </w:rPr>
        <w:t xml:space="preserve">zer</w:t>
      </w:r>
      <w:r>
        <w:t xml:space="preserve"> </w:t>
      </w:r>
      <w:r>
        <w:t xml:space="preserve">for</w:t>
      </w:r>
      <w:r>
        <w:t xml:space="preserve"> </w:t>
      </w:r>
      <w:r>
        <w:t xml:space="preserve">the plural), as English articles are free-standing. In Mini-Norwegian, the same</w:t>
      </w:r>
      <w:r>
        <w:t xml:space="preserve"> </w:t>
      </w:r>
      <w:r>
        <w:t xml:space="preserve">gender–number determiner is a bound suffix on the noun (e.g. </w:t>
      </w:r>
      <w:r>
        <w:rPr>
          <w:i/>
          <w:iCs/>
        </w:rPr>
        <w:t xml:space="preserve">gateje</w:t>
      </w:r>
      <w:r>
        <w:t xml:space="preserve">/</w:t>
      </w:r>
      <w:r>
        <w:rPr>
          <w:i/>
          <w:iCs/>
        </w:rPr>
        <w:t xml:space="preserve">gatejer</w:t>
      </w:r>
      <w:r>
        <w:t xml:space="preserve">),</w:t>
      </w:r>
      <w:r>
        <w:t xml:space="preserve"> </w:t>
      </w:r>
      <w:r>
        <w:t xml:space="preserve">as the Norwegian definite article is suffixal. In both languages, the predicate</w:t>
      </w:r>
      <w:r>
        <w:t xml:space="preserve"> </w:t>
      </w:r>
      <w:r>
        <w:t xml:space="preserve">adjective carries a matching agreement suffix, on which the gender-agreement</w:t>
      </w:r>
      <w:r>
        <w:t xml:space="preserve"> </w:t>
      </w:r>
      <w:r>
        <w:t xml:space="preserve">violation is realised. Differential object marking is a free particle</w:t>
      </w:r>
      <w:r>
        <w:t xml:space="preserve"> </w:t>
      </w:r>
      <w:r>
        <w:rPr>
          <w:i/>
          <w:iCs/>
        </w:rPr>
        <w:t xml:space="preserve">fi</w:t>
      </w:r>
      <w:r>
        <w:t xml:space="preserve"> </w:t>
      </w:r>
      <w:r>
        <w:t xml:space="preserve">placed</w:t>
      </w:r>
      <w:r>
        <w:t xml:space="preserve"> </w:t>
      </w:r>
      <w:r>
        <w:t xml:space="preserve">before the object noun phrase, identical in the two languages, with the violation</w:t>
      </w:r>
      <w:r>
        <w:t xml:space="preserve"> </w:t>
      </w:r>
      <w:r>
        <w:t xml:space="preserve">omitting it. Verb–object number agreement is a verbal suffix</w:t>
      </w:r>
      <w:r>
        <w:t xml:space="preserve"> </w:t>
      </w:r>
      <w:r>
        <w:rPr>
          <w:i/>
          <w:iCs/>
        </w:rPr>
        <w:t xml:space="preserve">-evo</w:t>
      </w:r>
      <w:r>
        <w:t xml:space="preserve"> </w:t>
      </w:r>
      <w:r>
        <w:t xml:space="preserve">that marks the</w:t>
      </w:r>
      <w:r>
        <w:t xml:space="preserve"> </w:t>
      </w:r>
      <w:r>
        <w:t xml:space="preserve">verb to agree with a plural object, again identical across languages, with the</w:t>
      </w:r>
      <w:r>
        <w:t xml:space="preserve"> </w:t>
      </w:r>
      <w:r>
        <w:t xml:space="preserve">violation a number mismatch between verb and object.</w:t>
      </w:r>
    </w:p>
    <w:p>
      <w:pPr>
        <w:pStyle w:val="BodyText"/>
      </w:pPr>
      <w:r>
        <w:t xml:space="preserve">These three properties map onto the learners’ existing grammars differently, which</w:t>
      </w:r>
      <w:r>
        <w:t xml:space="preserve"> </w:t>
      </w:r>
      <w:r>
        <w:t xml:space="preserve">is what the language factor exploits. Grammatical gender expressed through a</w:t>
      </w:r>
      <w:r>
        <w:t xml:space="preserve"> </w:t>
      </w:r>
      <w:r>
        <w:t xml:space="preserve">suffixed determiner is a property of the learners’ first language, Norwegian, but</w:t>
      </w:r>
      <w:r>
        <w:t xml:space="preserve"> </w:t>
      </w:r>
      <w:r>
        <w:t xml:space="preserve">not of their second language, English. The Mini-Norwegian realisation therefore</w:t>
      </w:r>
      <w:r>
        <w:t xml:space="preserve"> </w:t>
      </w:r>
      <w:r>
        <w:t xml:space="preserve">aligns closely with the first-language grammar, whereas the Mini-English realisation expresses</w:t>
      </w:r>
      <w:r>
        <w:t xml:space="preserve"> </w:t>
      </w:r>
      <w:r>
        <w:t xml:space="preserve">a feature that English does not encode (gender) through an English-like free</w:t>
      </w:r>
      <w:r>
        <w:t xml:space="preserve"> </w:t>
      </w:r>
      <w:r>
        <w:t xml:space="preserve">determiner. Differential object marking and verb–object number agreement, by</w:t>
      </w:r>
      <w:r>
        <w:t xml:space="preserve"> </w:t>
      </w:r>
      <w:r>
        <w:t xml:space="preserve">contrast, are absent from both Norwegian and English, so neither is supported by a</w:t>
      </w:r>
      <w:r>
        <w:t xml:space="preserve"> </w:t>
      </w:r>
      <w:r>
        <w:t xml:space="preserve">prior grammar in either group.</w:t>
      </w:r>
    </w:p>
    <w:bookmarkEnd w:id="66"/>
    <w:bookmarkStart w:id="67" w:name="procedure"/>
    <w:p>
      <w:pPr>
        <w:pStyle w:val="Heading2"/>
      </w:pPr>
      <w:r>
        <w:t xml:space="preserve">Procedure</w:t>
      </w:r>
    </w:p>
    <w:p>
      <w:pPr>
        <w:pStyle w:val="FirstParagraph"/>
      </w:pPr>
      <w:r>
        <w:t xml:space="preserve">Sentences were presented one word at a time in the centre of the screen (rapid serial</w:t>
      </w:r>
      <w:r>
        <w:t xml:space="preserve"> </w:t>
      </w:r>
      <w:r>
        <w:t xml:space="preserve">visual presentation, RSVP) using OpenSesame 3.3.14. Word duration was a deterministic</w:t>
      </w:r>
      <w:r>
        <w:t xml:space="preserve"> </w:t>
      </w:r>
      <w:r>
        <w:t xml:space="preserve">function of word length. A non-critical word was shown for</w:t>
      </w:r>
      <w:r>
        <w:t xml:space="preserve"> </w:t>
      </w:r>
      <m:oMath>
        <m:r>
          <m:t>250</m:t>
        </m:r>
        <m:r>
          <m:rPr>
            <m:sty m:val="p"/>
          </m:rPr>
          <m:t>+</m:t>
        </m:r>
        <m:r>
          <m:t>35</m:t>
        </m:r>
        <m:r>
          <m:rPr>
            <m:sty m:val="p"/>
          </m:rPr>
          <m:t>×</m:t>
        </m:r>
        <m:r>
          <m:rPr>
            <m:sty m:val="p"/>
          </m:rPr>
          <m:t>(</m:t>
        </m:r>
        <m:r>
          <m:rPr>
            <m:nor/>
            <m:sty m:val="p"/>
          </m:rPr>
          <m:t>characters</m:t>
        </m:r>
        <m:r>
          <m:rPr>
            <m:sty m:val="p"/>
          </m:rPr>
          <m:t>−</m:t>
        </m:r>
        <m:r>
          <m:t>3</m:t>
        </m:r>
        <m:r>
          <m:rPr>
            <m:sty m:val="p"/>
          </m:rPr>
          <m:t>)</m:t>
        </m:r>
      </m:oMath>
      <w:r>
        <w:t xml:space="preserve"> </w:t>
      </w:r>
      <w:r>
        <w:t xml:space="preserve">ms, floored at 250 ms, giving durations of</w:t>
      </w:r>
      <w:r>
        <w:t xml:space="preserve"> </w:t>
      </w:r>
      <w:r>
        <w:t xml:space="preserve">250–600 ms. The critical word was shown for 40 ms less than a non-critical word of the</w:t>
      </w:r>
      <w:r>
        <w:t xml:space="preserve"> </w:t>
      </w:r>
      <w:r>
        <w:t xml:space="preserve">same length (210–560 ms). Non-critical words followed one another at a stimulus-onset</w:t>
      </w:r>
      <w:r>
        <w:t xml:space="preserve"> </w:t>
      </w:r>
      <w:r>
        <w:t xml:space="preserve">asynchrony of approximately 505 ms. At the critical word, the script held the asynchrony</w:t>
      </w:r>
      <w:r>
        <w:t xml:space="preserve"> </w:t>
      </w:r>
      <w:r>
        <w:t xml:space="preserve">fixed at approximately 750 ms, lengthening the following blank interval to compensate for</w:t>
      </w:r>
      <w:r>
        <w:t xml:space="preserve"> </w:t>
      </w:r>
      <w:r>
        <w:t xml:space="preserve">the varying word duration. The timing of the post-critical region therefore did not depend</w:t>
      </w:r>
      <w:r>
        <w:t xml:space="preserve"> </w:t>
      </w:r>
      <w:r>
        <w:t xml:space="preserve">on the length of the critical word. The critical word occupied the third or fourth position and</w:t>
      </w:r>
      <w:r>
        <w:t xml:space="preserve"> </w:t>
      </w:r>
      <w:r>
        <w:t xml:space="preserve">was followed by three to six further words. Presentation was entirely</w:t>
      </w:r>
      <w:r>
        <w:t xml:space="preserve"> </w:t>
      </w:r>
      <w:r>
        <w:t xml:space="preserve">experimenter-paced. Nothing in the sentence stream depended on the participant, so a</w:t>
      </w:r>
      <w:r>
        <w:t xml:space="preserve"> </w:t>
      </w:r>
      <w:r>
        <w:t xml:space="preserve">condition difference in reading speed cannot shift the epoch. The grammaticality judgement</w:t>
      </w:r>
      <w:r>
        <w:t xml:space="preserve"> </w:t>
      </w:r>
      <w:r>
        <w:t xml:space="preserve">was requested only after the final word of the sentence, never during it, and was made with</w:t>
      </w:r>
      <w:r>
        <w:t xml:space="preserve"> </w:t>
      </w:r>
      <w:r>
        <w:t xml:space="preserve">a two-button response (left = grammatical, right = violation). No motor response therefore</w:t>
      </w:r>
      <w:r>
        <w:t xml:space="preserve"> </w:t>
      </w:r>
      <w:r>
        <w:t xml:space="preserve">fell inside the analysed epoch. Participants were instructed to minimise movement and</w:t>
      </w:r>
      <w:r>
        <w:t xml:space="preserve"> </w:t>
      </w:r>
      <w:r>
        <w:t xml:space="preserve">blinking, especially during the presentation of words. During pauses in these long</w:t>
      </w:r>
      <w:r>
        <w:t xml:space="preserve"> </w:t>
      </w:r>
      <w:r>
        <w:t xml:space="preserve">sessions, experimenters monitored the signal and intervened when necessary to maintain</w:t>
      </w:r>
      <w:r>
        <w:t xml:space="preserve"> </w:t>
      </w:r>
      <w:r>
        <w:t xml:space="preserve">low electrode impedance and acceptable signal quality.</w:t>
      </w:r>
    </w:p>
    <w:p>
      <w:pPr>
        <w:pStyle w:val="BodyText"/>
      </w:pPr>
      <w:r>
        <w:t xml:space="preserve">This timing has one consequence for the late window. The raw presentation logs record</w:t>
      </w:r>
      <w:r>
        <w:t xml:space="preserve"> </w:t>
      </w:r>
      <w:r>
        <w:t xml:space="preserve">all 64,907 critical-word trials, a census taken before any</w:t>
      </w:r>
      <w:r>
        <w:t xml:space="preserve"> </w:t>
      </w:r>
      <w:r>
        <w:t xml:space="preserve">EEG-side exclusion, so its count exceeds the modelled trial numbers. In that census,</w:t>
      </w:r>
      <w:r>
        <w:t xml:space="preserve"> </w:t>
      </w:r>
      <w:r>
        <w:t xml:space="preserve">exactly one subsequent word onset falls within 900 ms</w:t>
      </w:r>
      <w:r>
        <w:t xml:space="preserve"> </w:t>
      </w:r>
      <w:r>
        <w:t xml:space="preserve">of the critical word (the per-trial maximum is</w:t>
      </w:r>
      <w:r>
        <w:t xml:space="preserve"> </w:t>
      </w:r>
      <w:r>
        <w:t xml:space="preserve">1), at 743–864 ms</w:t>
      </w:r>
      <w:r>
        <w:t xml:space="preserve"> </w:t>
      </w:r>
      <w:r>
        <w:t xml:space="preserve">(median 747 ms). The final roughly 150 ms of the</w:t>
      </w:r>
      <w:r>
        <w:t xml:space="preserve"> </w:t>
      </w:r>
      <w:r>
        <w:t xml:space="preserve">400–900 ms measurement window therefore contains the beginning of the response to the</w:t>
      </w:r>
      <w:r>
        <w:t xml:space="preserve"> </w:t>
      </w:r>
      <w:r>
        <w:t xml:space="preserve">following word. This is unavoidable in connected-sentence RSVP at this rate, and it is</w:t>
      </w:r>
      <w:r>
        <w:t xml:space="preserve"> </w:t>
      </w:r>
      <w:r>
        <w:t xml:space="preserve">constant across conditions because the post-critical asynchrony is held fixed, so it cannot</w:t>
      </w:r>
      <w:r>
        <w:t xml:space="preserve"> </w:t>
      </w:r>
      <w:r>
        <w:t xml:space="preserve">manufacture a grammaticality effect. Late-window amplitudes should nonetheless be read as</w:t>
      </w:r>
      <w:r>
        <w:t xml:space="preserve"> </w:t>
      </w:r>
      <w:r>
        <w:t xml:space="preserve">containing that overlap. They are not a pure response to the critical word.</w:t>
      </w:r>
    </w:p>
    <w:bookmarkEnd w:id="67"/>
    <w:bookmarkStart w:id="78" w:name="X0ccf509cef4fa979be3aa2297c27549cad40b40"/>
    <w:p>
      <w:pPr>
        <w:pStyle w:val="Heading2"/>
      </w:pPr>
      <w:r>
        <w:t xml:space="preserve">EEG acquisition and single-trial ERP quantification</w:t>
      </w:r>
    </w:p>
    <w:p>
      <w:pPr>
        <w:pStyle w:val="FirstParagraph"/>
      </w:pPr>
      <w:r>
        <w:t xml:space="preserve">Continuous EEG was recorded with a 32-channel Brain Products LiveAmp system, using active</w:t>
      </w:r>
      <w:r>
        <w:t xml:space="preserve"> </w:t>
      </w:r>
      <w:r>
        <w:t xml:space="preserve">electrodes in an extended 10–20 layout with the CACS-32 cap montage recorded in the data</w:t>
      </w:r>
      <w:r>
        <w:t xml:space="preserve"> </w:t>
      </w:r>
      <w:r>
        <w:t xml:space="preserve">headers. The sampling rate was 500 Hz and the online passband DC–131 Hz, with no online</w:t>
      </w:r>
      <w:r>
        <w:t xml:space="preserve"> </w:t>
      </w:r>
      <w:r>
        <w:t xml:space="preserve">notch filter. The 131 Hz anti-aliasing low-pass is a causal acquisition filter, so it</w:t>
      </w:r>
      <w:r>
        <w:t xml:space="preserve"> </w:t>
      </w:r>
      <w:r>
        <w:t xml:space="preserve">imposes no phase distortion of the kind that motivates the offline filter choices set out</w:t>
      </w:r>
      <w:r>
        <w:t xml:space="preserve"> </w:t>
      </w:r>
      <w:r>
        <w:t xml:space="preserve">below.</w:t>
      </w:r>
    </w:p>
    <w:p>
      <w:pPr>
        <w:pStyle w:val="BodyText"/>
      </w:pPr>
      <w:r>
        <w:t xml:space="preserve">Three channel counts appear in what follows, and they refer to different things, so we</w:t>
      </w:r>
      <w:r>
        <w:t xml:space="preserve"> </w:t>
      </w:r>
      <w:r>
        <w:t xml:space="preserve">set them out once. Thirty-two electrodes were recorded. Two of them, TP9 and TP10, become</w:t>
      </w:r>
      <w:r>
        <w:t xml:space="preserve"> </w:t>
      </w:r>
      <w:r>
        <w:t xml:space="preserve">the offline linked-mastoid reference and are therefore not analysed as signals. FCz served</w:t>
      </w:r>
      <w:r>
        <w:t xml:space="preserve"> </w:t>
      </w:r>
      <w:r>
        <w:t xml:space="preserve">as the online reference and is recovered as a channel when the data are re-referenced. The</w:t>
      </w:r>
      <w:r>
        <w:t xml:space="preserve"> </w:t>
      </w:r>
      <w:r>
        <w:t xml:space="preserve">remaining 30 electrodes are the ones assigned to the nine analysis regions, so they are</w:t>
      </w:r>
      <w:r>
        <w:t xml:space="preserve"> </w:t>
      </w:r>
      <w:r>
        <w:t xml:space="preserve">what the region-averaged amplitude models use and what the scalp maps interpolate across.</w:t>
      </w:r>
      <w:r>
        <w:t xml:space="preserve"> </w:t>
      </w:r>
      <w:r>
        <w:t xml:space="preserve">The decoder ignores the region map and takes every EEG channel available in</w:t>
      </w:r>
      <w:r>
        <w:t xml:space="preserve"> </w:t>
      </w:r>
      <w:r>
        <w:t xml:space="preserve">all contributing sessions, which is those 30 plus the recovered FCz, giving 31 features.</w:t>
      </w:r>
      <w:r>
        <w:t xml:space="preserve"> </w:t>
      </w:r>
      <w:r>
        <w:t xml:space="preserve">The LiveAmp’s three accelerometer traces (</w:t>
      </w:r>
      <w:r>
        <w:rPr>
          <w:rStyle w:val="VerbatimChar"/>
        </w:rPr>
        <w:t xml:space="preserve">x_dir</w:t>
      </w:r>
      <w:r>
        <w:t xml:space="preserve">,</w:t>
      </w:r>
      <w:r>
        <w:t xml:space="preserve"> </w:t>
      </w:r>
      <w:r>
        <w:rPr>
          <w:rStyle w:val="VerbatimChar"/>
        </w:rPr>
        <w:t xml:space="preserve">y_dir</w:t>
      </w:r>
      <w:r>
        <w:t xml:space="preserve">,</w:t>
      </w:r>
      <w:r>
        <w:t xml:space="preserve"> </w:t>
      </w:r>
      <w:r>
        <w:rPr>
          <w:rStyle w:val="VerbatimChar"/>
        </w:rPr>
        <w:t xml:space="preserve">z_dir</w:t>
      </w:r>
      <w:r>
        <w:t xml:space="preserve">) are movement signals,</w:t>
      </w:r>
      <w:r>
        <w:t xml:space="preserve"> </w:t>
      </w:r>
      <w:r>
        <w:t xml:space="preserve">not brain signals, and are excluded throughout. The Session 2 exports additionally retain</w:t>
      </w:r>
      <w:r>
        <w:t xml:space="preserve"> </w:t>
      </w:r>
      <w:r>
        <w:t xml:space="preserve">TP9, TP10 and the accelerometer channels, whereas the Session 3, 4 and 6 exports do not,</w:t>
      </w:r>
      <w:r>
        <w:t xml:space="preserve"> </w:t>
      </w:r>
      <w:r>
        <w:t xml:space="preserve">which is why the decoder uses only the channels common to every session. Offline, in</w:t>
      </w:r>
      <w:r>
        <w:t xml:space="preserve"> </w:t>
      </w:r>
      <w:r>
        <w:t xml:space="preserve">BrainVision Analyzer, the data were re-referenced to</w:t>
      </w:r>
      <w:r>
        <w:t xml:space="preserve"> </w:t>
      </w:r>
      <w:r>
        <w:t xml:space="preserve">the mastoids and then band-pass filtered with zero-phase-shift (forward and reverse)</w:t>
      </w:r>
      <w:r>
        <w:t xml:space="preserve"> </w:t>
      </w:r>
      <w:r>
        <w:t xml:space="preserve">Butterworth IIR filters, high-pass 0.1 Hz and low-pass 30 Hz, each specified in Analyzer as</w:t>
      </w:r>
      <w:r>
        <w:t xml:space="preserve"> </w:t>
      </w:r>
      <w:r>
        <w:t xml:space="preserve">fourth order (24 dB per octave). Because the filters are applied in both directions, the</w:t>
      </w:r>
      <w:r>
        <w:t xml:space="preserve"> </w:t>
      </w:r>
      <w:r>
        <w:t xml:space="preserve">effective roll-off is approximately double that figure. No notch filter was applied</w:t>
      </w:r>
      <w:r>
        <w:t xml:space="preserve"> </w:t>
      </w:r>
      <w:r>
        <w:t xml:space="preserve">offline. Filtering preceded ocular correction, so the independent component analysis was</w:t>
      </w:r>
      <w:r>
        <w:t xml:space="preserve"> </w:t>
      </w:r>
      <w:r>
        <w:t xml:space="preserve">trained on the same 0.1 Hz high-passed data that the analyses themselves use. Owing to a</w:t>
      </w:r>
      <w:r>
        <w:t xml:space="preserve"> </w:t>
      </w:r>
      <w:r>
        <w:t xml:space="preserve">processing oversight, the Session 3 recordings of four</w:t>
      </w:r>
      <w:r>
        <w:t xml:space="preserve"> </w:t>
      </w:r>
      <w:r>
        <w:t xml:space="preserve">participants (lab IDs 7, 8, 9 and 16) were high-pass filtered at 1 Hz rather than 0.1 Hz.</w:t>
      </w:r>
      <w:r>
        <w:t xml:space="preserve"> </w:t>
      </w:r>
      <w:r>
        <w:t xml:space="preserve">These four participant-sessions are excluded from every fitted ERP model and from the</w:t>
      </w:r>
      <w:r>
        <w:t xml:space="preserve"> </w:t>
      </w:r>
      <w:r>
        <w:t xml:space="preserve">decoding. They are retained in two places, both flagged where they</w:t>
      </w:r>
      <w:r>
        <w:t xml:space="preserve"> </w:t>
      </w:r>
      <w:r>
        <w:t xml:space="preserve">occur. The accuracy models draw on the behavioural record, which the filter setting does</w:t>
      </w:r>
      <w:r>
        <w:t xml:space="preserve"> </w:t>
      </w:r>
      <w:r>
        <w:t xml:space="preserve">not touch. The descriptive grand-average waveforms, difference waves and topographies</w:t>
      </w:r>
      <w:r>
        <w:t xml:space="preserve"> </w:t>
      </w:r>
      <w:r>
        <w:t xml:space="preserve">shown in the Results are extracted on the full sample, and their captions say so. The</w:t>
      </w:r>
      <w:r>
        <w:t xml:space="preserve"> </w:t>
      </w:r>
      <w:r>
        <w:t xml:space="preserve">exclusion rests on the filter setting itself, a documented generator of artefacts in this</w:t>
      </w:r>
      <w:r>
        <w:t xml:space="preserve"> </w:t>
      </w:r>
      <w:r>
        <w:t xml:space="preserve">kind of paradigm</w:t>
      </w:r>
      <w:r>
        <w:t xml:space="preserve"> </w:t>
      </w:r>
      <w:r>
        <w:t xml:space="preserve">(</w:t>
      </w:r>
      <w:hyperlink w:anchor="ref-tanner2015">
        <w:r>
          <w:rPr>
            <w:rStyle w:val="Hyperlink"/>
          </w:rPr>
          <w:t xml:space="preserve">Tanner et al., 2015</w:t>
        </w:r>
      </w:hyperlink>
      <w:r>
        <w:t xml:space="preserve">;</w:t>
      </w:r>
      <w:r>
        <w:t xml:space="preserve"> </w:t>
      </w:r>
      <w:hyperlink w:anchor="ref-widmann2015">
        <w:r>
          <w:rPr>
            <w:rStyle w:val="Hyperlink"/>
          </w:rPr>
          <w:t xml:space="preserve">Widmann et al., 2015</w:t>
        </w:r>
      </w:hyperlink>
      <w:r>
        <w:t xml:space="preserve">)</w:t>
      </w:r>
      <w:r>
        <w:t xml:space="preserve">, and on nothing observed in these</w:t>
      </w:r>
      <w:r>
        <w:t xml:space="preserve"> </w:t>
      </w:r>
      <w:r>
        <w:t xml:space="preserve">participants’ data, so the choice is not results-contingent. The argument is set out in</w:t>
      </w:r>
      <w:r>
        <w:t xml:space="preserve"> </w:t>
      </w:r>
      <w:hyperlink w:anchor="apx-analytic-decisions-in-detail">
        <w:r>
          <w:rPr>
            <w:rStyle w:val="Hyperlink"/>
          </w:rPr>
          <w:t xml:space="preserve">Appendix A</w:t>
        </w:r>
      </w:hyperlink>
      <w:r>
        <w:t xml:space="preserve">. The excluded datasets hold 6.2% for gender agreement and 6.2% for differential object marking of the retained Session 3 trials.</w:t>
      </w:r>
      <w:r>
        <w:t xml:space="preserve"> </w:t>
      </w:r>
      <w:r>
        <w:t xml:space="preserve">The pipeline can be re-run with them retained.</w:t>
      </w:r>
      <w:r>
        <w:rPr>
          <w:rStyle w:val="FootnoteReference"/>
        </w:rPr>
        <w:footnoteReference w:id="68"/>
      </w:r>
      <w:r>
        <w:t xml:space="preserve"> </w:t>
      </w:r>
      <w:r>
        <w:t xml:space="preserve">Ocular artefacts were then corrected by independent component</w:t>
      </w:r>
      <w:r>
        <w:t xml:space="preserve"> </w:t>
      </w:r>
      <w:r>
        <w:t xml:space="preserve">analysis, and the record was segmented into epochs from</w:t>
      </w:r>
      <w:r>
        <w:t xml:space="preserve"> </w:t>
      </w:r>
      <m:oMath>
        <m:r>
          <m:rPr>
            <m:sty m:val="p"/>
          </m:rPr>
          <m:t>−</m:t>
        </m:r>
        <m:r>
          <m:t>100</m:t>
        </m:r>
      </m:oMath>
      <w:r>
        <w:t xml:space="preserve"> </w:t>
      </w:r>
      <w:r>
        <w:t xml:space="preserve">to</w:t>
      </w:r>
      <w:r>
        <w:t xml:space="preserve"> </w:t>
      </w:r>
      <m:oMath>
        <m:r>
          <m:t>1098</m:t>
        </m:r>
      </m:oMath>
      <w:r>
        <w:t xml:space="preserve"> </w:t>
      </w:r>
      <w:r>
        <w:t xml:space="preserve">ms relative to the</w:t>
      </w:r>
      <w:r>
        <w:t xml:space="preserve"> </w:t>
      </w:r>
      <w:r>
        <w:t xml:space="preserve">onset of the critical word. Trial-by-trial artefact rejection followed, retaining on</w:t>
      </w:r>
      <w:r>
        <w:t xml:space="preserve"> </w:t>
      </w:r>
      <w:r>
        <w:t xml:space="preserve">average 31.4 of the 48 presented trials per modelled cell</w:t>
      </w:r>
      <w:r>
        <w:t xml:space="preserve"> </w:t>
      </w:r>
      <w:r>
        <w:t xml:space="preserve">(</w:t>
      </w:r>
      <m:oMath>
        <m:r>
          <m:t>S</m:t>
        </m:r>
        <m:r>
          <m:t>D</m:t>
        </m:r>
        <m:r>
          <m:rPr>
            <m:sty m:val="p"/>
          </m:rPr>
          <m:t>=</m:t>
        </m:r>
        <m:r>
          <m:t>5.8</m:t>
        </m:r>
      </m:oMath>
      <w:r>
        <w:t xml:space="preserve">), a mean rejection rate of 34.5%.</w:t>
      </w:r>
      <w:r>
        <w:t xml:space="preserve"> </w:t>
      </w:r>
      <w:r>
        <w:t xml:space="preserve">These retention figures are computed on the full sample, as the grand averages are, so</w:t>
      </w:r>
      <w:r>
        <w:t xml:space="preserve"> </w:t>
      </w:r>
      <w:r>
        <w:t xml:space="preserve">the four mis-filtered Session 3 datasets contribute to the Session 3 means.</w:t>
      </w:r>
      <w:r>
        <w:t xml:space="preserve"> </w:t>
      </w:r>
      <w:hyperlink w:anchor="tbl-retention-trials">
        <w:r>
          <w:rPr>
            <w:rStyle w:val="Hyperlink"/>
          </w:rPr>
          <w:t xml:space="preserve">Table 1</w:t>
        </w:r>
      </w:hyperlink>
      <w:r>
        <w:t xml:space="preserve"> </w:t>
      </w:r>
      <w:r>
        <w:t xml:space="preserve">gives the full per-condition breakdown. Differential trial</w:t>
      </w:r>
      <w:r>
        <w:t xml:space="preserve"> </w:t>
      </w:r>
      <w:r>
        <w:t xml:space="preserve">loss between the compared conditions would make a grammaticality effect partly a difference</w:t>
      </w:r>
      <w:r>
        <w:t xml:space="preserve"> </w:t>
      </w:r>
      <w:r>
        <w:t xml:space="preserve">in measurement precision and only partly one in brain response, so retention is reported per</w:t>
      </w:r>
      <w:r>
        <w:t xml:space="preserve"> </w:t>
      </w:r>
      <w:r>
        <w:t xml:space="preserve">condition, and the two prove effectively equal.</w:t>
      </w:r>
    </w:p>
    <w:p>
      <w:pPr>
        <w:pStyle w:val="BodyText"/>
      </w:pPr>
      <w:r>
        <w:t xml:space="preserve">The observed elapsed duration of each home task and of each phase of the laboratory</w:t>
      </w:r>
      <w:r>
        <w:t xml:space="preserve"> </w:t>
      </w:r>
      <w:r>
        <w:t xml:space="preserve">sessions is shown in</w:t>
      </w:r>
      <w:r>
        <w:t xml:space="preserve"> </w:t>
      </w:r>
      <w:hyperlink w:anchor="fig-home-task-duration">
        <w:r>
          <w:rPr>
            <w:rStyle w:val="Hyperlink"/>
          </w:rPr>
          <w:t xml:space="preserve">Figure 4</w:t>
        </w:r>
      </w:hyperlink>
      <w:r>
        <w:t xml:space="preserve"> </w:t>
      </w:r>
      <w:r>
        <w:t xml:space="preserve">and</w:t>
      </w:r>
      <w:r>
        <w:t xml:space="preserve"> </w:t>
      </w:r>
      <w:hyperlink w:anchor="fig-lab-phase-duration">
        <w:r>
          <w:rPr>
            <w:rStyle w:val="Hyperlink"/>
          </w:rPr>
          <w:t xml:space="preserve">Figure 5</w:t>
        </w:r>
      </w:hyperlink>
      <w:r>
        <w:t xml:space="preserve">. These are</w:t>
      </w:r>
      <w:r>
        <w:t xml:space="preserve"> </w:t>
      </w:r>
      <w:r>
        <w:t xml:space="preserve">descriptive timing checks, not additional outcomes: home-task duration runs from the</w:t>
      </w:r>
      <w:r>
        <w:t xml:space="preserve"> </w:t>
      </w:r>
      <w:r>
        <w:t xml:space="preserve">first to the last Gorilla event for each participant and task, whereas lab-phase duration</w:t>
      </w:r>
      <w:r>
        <w:t xml:space="preserve"> </w:t>
      </w:r>
      <w:r>
        <w:t xml:space="preserve">uses the OpenSesame phase markers and the final event in a phase when the next phase was</w:t>
      </w:r>
      <w:r>
        <w:t xml:space="preserve"> </w:t>
      </w:r>
      <w:r>
        <w:t xml:space="preserve">recorded in a separate export.</w:t>
      </w:r>
      <w:r>
        <w:t xml:space="preserve"> </w:t>
      </w:r>
      <w:r>
        <w:t xml:space="preserve">The median home-task durations were 4.45 min for Stroop, 11.98 min for digit span and 36.94 min for ASRT in Session 1, and 3.71, 11.32 and 35.61 min, respectively, in Session 5. Median laboratory-phase durations (pretraining, training, test and experiment) were 4.21, 16.14, 9.93 and 47.49 min in Session 2; 1.57, 18.97, 7.18 and 52.54 min in Session 3; 16.73, 20.08 and 78.37 min for training, test and experiment in Session 4, where pretraining was not recorded; and 73.42 min for the experiment in Session 6, where the other phases were not recorded.</w:t>
      </w:r>
    </w:p>
    <w:bookmarkStart w:id="72" w:name="fig-home-task-duration"/>
    <w:p>
      <w:pPr>
        <w:pStyle w:val="FigureTitle"/>
      </w:pPr>
      <w:r>
        <w:t xml:space="preserve">Figure 4</w:t>
      </w:r>
    </w:p>
    <w:p>
      <w:pPr>
        <w:pStyle w:val="Caption"/>
      </w:pPr>
      <w:r>
        <w:t xml:space="preserve">Duration of the Home Cognitive Tasks by Session</w:t>
      </w:r>
    </w:p>
    <w:p>
      <w:pPr>
        <w:pStyle w:val="FigureWithNote"/>
      </w:pPr>
      <w:r>
        <w:drawing>
          <wp:inline>
            <wp:extent cx="5943600" cy="2651759"/>
            <wp:effectExtent b="0" l="0" r="0" t="0"/>
            <wp:docPr descr="" title="" id="70" name="Picture"/>
            <a:graphic>
              <a:graphicData uri="http://schemas.openxmlformats.org/drawingml/2006/picture">
                <pic:pic>
                  <pic:nvPicPr>
                    <pic:cNvPr descr="paper_1_morphosyntax_files/figure-docx/fig-home-task-duration-1.png" id="71" name="Picture"/>
                    <pic:cNvPicPr>
                      <a:picLocks noChangeArrowheads="1" noChangeAspect="1"/>
                    </pic:cNvPicPr>
                  </pic:nvPicPr>
                  <pic:blipFill>
                    <a:blip r:embed="rId69"/>
                    <a:stretch>
                      <a:fillRect/>
                    </a:stretch>
                  </pic:blipFill>
                  <pic:spPr bwMode="auto">
                    <a:xfrm>
                      <a:off x="0" y="0"/>
                      <a:ext cx="5943600" cy="2651759"/>
                    </a:xfrm>
                    <a:prstGeom prst="rect">
                      <a:avLst/>
                    </a:prstGeom>
                    <a:noFill/>
                    <a:ln w="9525">
                      <a:noFill/>
                      <a:headEnd/>
                      <a:tailEnd/>
                    </a:ln>
                  </pic:spPr>
                </pic:pic>
              </a:graphicData>
            </a:graphic>
          </wp:inline>
        </w:drawing>
      </w:r>
    </w:p>
    <w:bookmarkEnd w:id="72"/>
    <w:p>
      <w:pPr>
        <w:pStyle w:val="FigureNote"/>
      </w:pPr>
      <w:r>
        <w:rPr>
          <w:i/>
          <w:iCs/>
        </w:rPr>
        <w:t xml:space="preserve">Note</w:t>
      </w:r>
      <w:r>
        <w:t xml:space="preserve">. Each box summarises the distribution across participants of elapsed time from the first to the last raw Gorilla event for one task and session; the centre line is the median, the box spans the interquartile range, and whiskers extend to 1.5 times the interquartile range. Sessions 1 and 5 are baseline and post-training, respectively. Durations therefore include instructions, practice and test material when those events are present in the export. The ordinate is logarithmic because five exports contain multi-hour idle gaps; those observations remain as outliers. Participants without a linked enrolled-participant key are excluded.</w:t>
      </w:r>
    </w:p>
    <w:bookmarkStart w:id="76" w:name="fig-lab-phase-duration"/>
    <w:p>
      <w:pPr>
        <w:pStyle w:val="FigureTitle"/>
      </w:pPr>
      <w:r>
        <w:t xml:space="preserve">Figure 5</w:t>
      </w:r>
    </w:p>
    <w:p>
      <w:pPr>
        <w:pStyle w:val="Caption"/>
      </w:pPr>
      <w:r>
        <w:t xml:space="preserve">Duration of the Laboratory-Session Phases</w:t>
      </w:r>
    </w:p>
    <w:p>
      <w:pPr>
        <w:pStyle w:val="FigureWithNote"/>
      </w:pPr>
      <w:r>
        <w:drawing>
          <wp:inline>
            <wp:extent cx="5943600" cy="2743199"/>
            <wp:effectExtent b="0" l="0" r="0" t="0"/>
            <wp:docPr descr="" title="" id="74" name="Picture"/>
            <a:graphic>
              <a:graphicData uri="http://schemas.openxmlformats.org/drawingml/2006/picture">
                <pic:pic>
                  <pic:nvPicPr>
                    <pic:cNvPr descr="paper_1_morphosyntax_files/figure-docx/fig-lab-phase-duration-1.png" id="75" name="Picture"/>
                    <pic:cNvPicPr>
                      <a:picLocks noChangeArrowheads="1" noChangeAspect="1"/>
                    </pic:cNvPicPr>
                  </pic:nvPicPr>
                  <pic:blipFill>
                    <a:blip r:embed="rId73"/>
                    <a:stretch>
                      <a:fillRect/>
                    </a:stretch>
                  </pic:blipFill>
                  <pic:spPr bwMode="auto">
                    <a:xfrm>
                      <a:off x="0" y="0"/>
                      <a:ext cx="5943600" cy="2743199"/>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Each box summarises the distribution across participants of elapsed time in one laboratory-session phase and session; the centre line is the median, the box spans the interquartile range, and whiskers extend to 1.5 times the interquartile range. Phase duration is measured between the recorded phase-start markers, or from a phase start to the last phase-specific event when the next phase was exported separately. Sessions 2, 3 and 4 are training sessions and Session 6 is the retention session.</w:t>
      </w:r>
    </w:p>
    <w:p>
      <w:pPr>
        <w:pStyle w:val="BodyText"/>
      </w:pPr>
      <w:r>
        <w:t xml:space="preserve">Averaged over properties and sessions, 31.4 trials were retained</w:t>
      </w:r>
      <w:r>
        <w:t xml:space="preserve"> </w:t>
      </w:r>
      <w:r>
        <w:t xml:space="preserve">on grammatical trials and</w:t>
      </w:r>
      <w:r>
        <w:t xml:space="preserve"> </w:t>
      </w:r>
      <w:r>
        <w:t xml:space="preserve">31.4 on ungrammatical trials, a difference of</w:t>
      </w:r>
      <w:r>
        <w:t xml:space="preserve"> </w:t>
      </w:r>
      <w:r>
        <w:t xml:space="preserve">0.02 trials.</w:t>
      </w:r>
    </w:p>
    <w:p>
      <w:pPr>
        <w:pStyle w:val="BodyText"/>
      </w:pPr>
      <w:r>
        <w:t xml:space="preserve">For each retained trial, we computed the mean amplitude in three theoretically</w:t>
      </w:r>
      <w:r>
        <w:t xml:space="preserve"> </w:t>
      </w:r>
      <w:r>
        <w:t xml:space="preserve">motivated latency windows, 200–500 ms (the LAN/early-negativity range),</w:t>
      </w:r>
      <w:r>
        <w:t xml:space="preserve"> </w:t>
      </w:r>
      <w:r>
        <w:t xml:space="preserve">300–600 ms (the N400 range) and 400–900 ms (the P600 range), at lateral and</w:t>
      </w:r>
      <w:r>
        <w:t xml:space="preserve"> </w:t>
      </w:r>
      <w:r>
        <w:t xml:space="preserve">midline electrode macroregions. The windows are named by their nominal bounds</w:t>
      </w:r>
      <w:r>
        <w:t xml:space="preserve"> </w:t>
      </w:r>
      <w:r>
        <w:t xml:space="preserve">throughout. On the 2 ms acquisition grid, each is inclusive of samples up to</w:t>
      </w:r>
      <w:r>
        <w:t xml:space="preserve"> </w:t>
      </w:r>
      <w:r>
        <w:t xml:space="preserve">498, 598 and 898 ms respectively. That convention is inherited from the validated importer</w:t>
      </w:r>
      <w:r>
        <w:t xml:space="preserve"> </w:t>
      </w:r>
      <w:r>
        <w:t xml:space="preserve">and is noted here so that the figures and the code can be read against the prose. The lateral</w:t>
      </w:r>
      <w:r>
        <w:t xml:space="preserve"> </w:t>
      </w:r>
      <w:r>
        <w:t xml:space="preserve">region comprises left- and</w:t>
      </w:r>
      <w:r>
        <w:t xml:space="preserve"> </w:t>
      </w:r>
      <w:r>
        <w:t xml:space="preserve">right-hemisphere anterior, medial and posterior clusters and so carries both the</w:t>
      </w:r>
      <w:r>
        <w:t xml:space="preserve"> </w:t>
      </w:r>
      <w:r>
        <w:t xml:space="preserve">hemisphere and the caudality contrasts. The midline region comprises three clusters</w:t>
      </w:r>
      <w:r>
        <w:t xml:space="preserve"> </w:t>
      </w:r>
      <w:r>
        <w:t xml:space="preserve">centred on the midline and supports the caudality contrast alone. Those clusters are parasagittal, so they are</w:t>
      </w:r>
      <w:r>
        <w:t xml:space="preserve"> </w:t>
      </w:r>
      <w:r>
        <w:t xml:space="preserve">not strictly midline. Besides Fz, Cz, Pz and Oz they include the pairs</w:t>
      </w:r>
      <w:r>
        <w:t xml:space="preserve"> </w:t>
      </w:r>
      <w:r>
        <w:t xml:space="preserve">FC1/FC2 and CP1/CP2, which the cap places about a quarter of the head radius either</w:t>
      </w:r>
      <w:r>
        <w:t xml:space="preserve"> </w:t>
      </w:r>
      <w:r>
        <w:t xml:space="preserve">side of it. Because each pair is exactly symmetric, however, the cluster mean remains</w:t>
      </w:r>
      <w:r>
        <w:t xml:space="preserve"> </w:t>
      </w:r>
      <w:r>
        <w:t xml:space="preserve">centred on the midline and has no net hemispheric bias, which is why no hemisphere</w:t>
      </w:r>
      <w:r>
        <w:t xml:space="preserve"> </w:t>
      </w:r>
      <w:r>
        <w:t xml:space="preserve">term is estimated there. Two further choices, the within-participant</w:t>
      </w:r>
      <w:r>
        <w:t xml:space="preserve"> </w:t>
      </w:r>
      <m:oMath>
        <m:r>
          <m:t>z</m:t>
        </m:r>
      </m:oMath>
      <w:r>
        <w:t xml:space="preserve">-scoring of</w:t>
      </w:r>
      <w:r>
        <w:t xml:space="preserve"> </w:t>
      </w:r>
      <w:r>
        <w:t xml:space="preserve">single-trial amplitudes and the treatment of each trial’s pre-stimulus mean amplitude</w:t>
      </w:r>
      <w:r>
        <w:t xml:space="preserve"> </w:t>
      </w:r>
      <w:r>
        <w:t xml:space="preserve">(</w:t>
      </w:r>
      <m:oMath>
        <m:r>
          <m:rPr>
            <m:sty m:val="p"/>
          </m:rPr>
          <m:t>−</m:t>
        </m:r>
        <m:r>
          <m:t>100</m:t>
        </m:r>
      </m:oMath>
      <w:r>
        <w:t xml:space="preserve"> </w:t>
      </w:r>
      <w:r>
        <w:t xml:space="preserve">to</w:t>
      </w:r>
      <w:r>
        <w:t xml:space="preserve"> </w:t>
      </w:r>
      <m:oMath>
        <m:r>
          <m:t>0</m:t>
        </m:r>
      </m:oMath>
      <w:r>
        <w:t xml:space="preserve"> </w:t>
      </w:r>
      <w:r>
        <w:t xml:space="preserve">ms) as a covariate instead of a subtracted baseline, are modelling</w:t>
      </w:r>
      <w:r>
        <w:t xml:space="preserve"> </w:t>
      </w:r>
      <w:r>
        <w:t xml:space="preserve">decisions and are set out under</w:t>
      </w:r>
      <w:r>
        <w:t xml:space="preserve"> </w:t>
      </w:r>
      <w:r>
        <w:rPr>
          <w:i/>
          <w:iCs/>
        </w:rPr>
        <w:t xml:space="preserve">Data analysis</w:t>
      </w:r>
      <w:r>
        <w:t xml:space="preserve">.</w:t>
      </w:r>
    </w:p>
    <w:bookmarkStart w:id="77" w:name="tbl-retention-trials"/>
    <w:p>
      <w:pPr>
        <w:pStyle w:val="FigureTitle"/>
      </w:pPr>
      <w:r>
        <w:t xml:space="preserve">Table 1</w:t>
      </w:r>
    </w:p>
    <w:p>
      <w:pPr>
        <w:pStyle w:val="Caption"/>
      </w:pPr>
      <w:r>
        <w:t xml:space="preserve">Retained Single-Trial EEG per Modelled Cell, by Grammatical Property and Session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Property</w:t>
            </w:r>
          </w:p>
        </w:tc>
        <w:tc>
          <w:tcPr/>
          <w:p>
            <w:pPr>
              <w:pStyle w:val="Compact"/>
              <w:jc w:val="left"/>
            </w:pPr>
            <w:r>
              <w:t xml:space="preserve">Condition</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S4</w:t>
            </w:r>
          </w:p>
        </w:tc>
        <w:tc>
          <w:tcPr/>
          <w:p>
            <w:pPr>
              <w:pStyle w:val="Compact"/>
              <w:jc w:val="right"/>
            </w:pPr>
            <w:r>
              <w:t xml:space="preserve">S6</w:t>
            </w:r>
          </w:p>
        </w:tc>
      </w:tr>
      <w:tr>
        <w:tc>
          <w:tcPr/>
          <w:p>
            <w:pPr>
              <w:pStyle w:val="Compact"/>
              <w:jc w:val="left"/>
            </w:pPr>
            <w:r>
              <w:t xml:space="preserve">Gender agreement</w:t>
            </w:r>
          </w:p>
        </w:tc>
        <w:tc>
          <w:tcPr/>
          <w:p>
            <w:pPr>
              <w:pStyle w:val="Compact"/>
              <w:jc w:val="left"/>
            </w:pPr>
            <w:r>
              <w:t xml:space="preserve">Grammatical</w:t>
            </w:r>
          </w:p>
        </w:tc>
        <w:tc>
          <w:tcPr/>
          <w:p>
            <w:pPr>
              <w:pStyle w:val="Compact"/>
              <w:jc w:val="right"/>
            </w:pPr>
            <w:r>
              <w:t xml:space="preserve">31.5</w:t>
            </w:r>
          </w:p>
        </w:tc>
        <w:tc>
          <w:tcPr/>
          <w:p>
            <w:pPr>
              <w:pStyle w:val="Compact"/>
              <w:jc w:val="right"/>
            </w:pPr>
            <w:r>
              <w:t xml:space="preserve">32.1</w:t>
            </w:r>
          </w:p>
        </w:tc>
        <w:tc>
          <w:tcPr/>
          <w:p>
            <w:pPr>
              <w:pStyle w:val="Compact"/>
              <w:jc w:val="right"/>
            </w:pPr>
            <w:r>
              <w:t xml:space="preserve">32.2</w:t>
            </w:r>
          </w:p>
        </w:tc>
        <w:tc>
          <w:tcPr/>
          <w:p>
            <w:pPr>
              <w:pStyle w:val="Compact"/>
              <w:jc w:val="right"/>
            </w:pPr>
            <w:r>
              <w:t xml:space="preserve">30.2</w:t>
            </w:r>
          </w:p>
        </w:tc>
      </w:tr>
      <w:tr>
        <w:tc>
          <w:tcPr/>
          <w:p>
            <w:pPr>
              <w:pStyle w:val="Compact"/>
              <w:jc w:val="left"/>
            </w:pPr>
            <w:r>
              <w:t xml:space="preserve">Gender agreement</w:t>
            </w:r>
          </w:p>
        </w:tc>
        <w:tc>
          <w:tcPr/>
          <w:p>
            <w:pPr>
              <w:pStyle w:val="Compact"/>
              <w:jc w:val="left"/>
            </w:pPr>
            <w:r>
              <w:t xml:space="preserve">Ungrammatical</w:t>
            </w:r>
          </w:p>
        </w:tc>
        <w:tc>
          <w:tcPr/>
          <w:p>
            <w:pPr>
              <w:pStyle w:val="Compact"/>
              <w:jc w:val="right"/>
            </w:pPr>
            <w:r>
              <w:t xml:space="preserve">30.6</w:t>
            </w:r>
          </w:p>
        </w:tc>
        <w:tc>
          <w:tcPr/>
          <w:p>
            <w:pPr>
              <w:pStyle w:val="Compact"/>
              <w:jc w:val="right"/>
            </w:pPr>
            <w:r>
              <w:t xml:space="preserve">32.0</w:t>
            </w:r>
          </w:p>
        </w:tc>
        <w:tc>
          <w:tcPr/>
          <w:p>
            <w:pPr>
              <w:pStyle w:val="Compact"/>
              <w:jc w:val="right"/>
            </w:pPr>
            <w:r>
              <w:t xml:space="preserve">31.4</w:t>
            </w:r>
          </w:p>
        </w:tc>
        <w:tc>
          <w:tcPr/>
          <w:p>
            <w:pPr>
              <w:pStyle w:val="Compact"/>
              <w:jc w:val="right"/>
            </w:pPr>
            <w:r>
              <w:t xml:space="preserve">30.6</w:t>
            </w:r>
          </w:p>
        </w:tc>
      </w:tr>
      <w:tr>
        <w:tc>
          <w:tcPr/>
          <w:p>
            <w:pPr>
              <w:pStyle w:val="Compact"/>
              <w:jc w:val="left"/>
            </w:pPr>
            <w:r>
              <w:t xml:space="preserve">Differential object marking</w:t>
            </w:r>
          </w:p>
        </w:tc>
        <w:tc>
          <w:tcPr/>
          <w:p>
            <w:pPr>
              <w:pStyle w:val="Compact"/>
              <w:jc w:val="left"/>
            </w:pPr>
            <w:r>
              <w:t xml:space="preserve">Grammatical</w:t>
            </w:r>
          </w:p>
        </w:tc>
        <w:tc>
          <w:tcPr/>
          <w:p>
            <w:pPr>
              <w:pStyle w:val="Compact"/>
              <w:jc w:val="right"/>
            </w:pPr>
            <w:r>
              <w:t xml:space="preserve">n/a</w:t>
            </w:r>
          </w:p>
        </w:tc>
        <w:tc>
          <w:tcPr/>
          <w:p>
            <w:pPr>
              <w:pStyle w:val="Compact"/>
              <w:jc w:val="right"/>
            </w:pPr>
            <w:r>
              <w:t xml:space="preserve">32.0</w:t>
            </w:r>
          </w:p>
        </w:tc>
        <w:tc>
          <w:tcPr/>
          <w:p>
            <w:pPr>
              <w:pStyle w:val="Compact"/>
              <w:jc w:val="right"/>
            </w:pPr>
            <w:r>
              <w:t xml:space="preserve">31.7</w:t>
            </w:r>
          </w:p>
        </w:tc>
        <w:tc>
          <w:tcPr/>
          <w:p>
            <w:pPr>
              <w:pStyle w:val="Compact"/>
              <w:jc w:val="right"/>
            </w:pPr>
            <w:r>
              <w:t xml:space="preserve">30.5</w:t>
            </w:r>
          </w:p>
        </w:tc>
      </w:tr>
      <w:tr>
        <w:tc>
          <w:tcPr/>
          <w:p>
            <w:pPr>
              <w:pStyle w:val="Compact"/>
              <w:jc w:val="left"/>
            </w:pPr>
            <w:r>
              <w:t xml:space="preserve">Differential object marking</w:t>
            </w:r>
          </w:p>
        </w:tc>
        <w:tc>
          <w:tcPr/>
          <w:p>
            <w:pPr>
              <w:pStyle w:val="Compact"/>
              <w:jc w:val="left"/>
            </w:pPr>
            <w:r>
              <w:t xml:space="preserve">Ungrammatical</w:t>
            </w:r>
          </w:p>
        </w:tc>
        <w:tc>
          <w:tcPr/>
          <w:p>
            <w:pPr>
              <w:pStyle w:val="Compact"/>
              <w:jc w:val="right"/>
            </w:pPr>
            <w:r>
              <w:t xml:space="preserve">n/a</w:t>
            </w:r>
          </w:p>
        </w:tc>
        <w:tc>
          <w:tcPr/>
          <w:p>
            <w:pPr>
              <w:pStyle w:val="Compact"/>
              <w:jc w:val="right"/>
            </w:pPr>
            <w:r>
              <w:t xml:space="preserve">30.8</w:t>
            </w:r>
          </w:p>
        </w:tc>
        <w:tc>
          <w:tcPr/>
          <w:p>
            <w:pPr>
              <w:pStyle w:val="Compact"/>
              <w:jc w:val="right"/>
            </w:pPr>
            <w:r>
              <w:t xml:space="preserve">31.6</w:t>
            </w:r>
          </w:p>
        </w:tc>
        <w:tc>
          <w:tcPr/>
          <w:p>
            <w:pPr>
              <w:pStyle w:val="Compact"/>
              <w:jc w:val="right"/>
            </w:pPr>
            <w:r>
              <w:t xml:space="preserve">31.5</w:t>
            </w:r>
          </w:p>
        </w:tc>
      </w:tr>
      <w:tr>
        <w:tc>
          <w:tcPr/>
          <w:p>
            <w:pPr>
              <w:pStyle w:val="Compact"/>
              <w:jc w:val="left"/>
            </w:pPr>
            <w:r>
              <w:t xml:space="preserve">Verb–object number agreement</w:t>
            </w:r>
          </w:p>
        </w:tc>
        <w:tc>
          <w:tcPr/>
          <w:p>
            <w:pPr>
              <w:pStyle w:val="Compact"/>
              <w:jc w:val="left"/>
            </w:pPr>
            <w:r>
              <w:t xml:space="preserve">Grammatical</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31.5</w:t>
            </w:r>
          </w:p>
        </w:tc>
        <w:tc>
          <w:tcPr/>
          <w:p>
            <w:pPr>
              <w:pStyle w:val="Compact"/>
              <w:jc w:val="right"/>
            </w:pPr>
            <w:r>
              <w:t xml:space="preserve">30.6</w:t>
            </w:r>
          </w:p>
        </w:tc>
      </w:tr>
      <w:tr>
        <w:tc>
          <w:tcPr/>
          <w:p>
            <w:pPr>
              <w:pStyle w:val="Compact"/>
              <w:jc w:val="left"/>
            </w:pPr>
            <w:r>
              <w:t xml:space="preserve">Verb–object number agreement</w:t>
            </w:r>
          </w:p>
        </w:tc>
        <w:tc>
          <w:tcPr/>
          <w:p>
            <w:pPr>
              <w:pStyle w:val="Compact"/>
              <w:jc w:val="left"/>
            </w:pPr>
            <w:r>
              <w:t xml:space="preserve">Ungrammatical</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32.1</w:t>
            </w:r>
          </w:p>
        </w:tc>
        <w:tc>
          <w:tcPr/>
          <w:p>
            <w:pPr>
              <w:pStyle w:val="Compact"/>
              <w:jc w:val="right"/>
            </w:pPr>
            <w:r>
              <w:t xml:space="preserve">31.8</w:t>
            </w:r>
          </w:p>
        </w:tc>
      </w:tr>
    </w:tbl>
    <w:bookmarkEnd w:id="77"/>
    <w:p>
      <w:pPr>
        <w:pStyle w:val="FigureNote"/>
      </w:pPr>
      <w:r>
        <w:rPr>
          <w:i/>
          <w:iCs/>
        </w:rPr>
        <w:t xml:space="preserve">Note</w:t>
      </w:r>
      <w:r>
        <w:t xml:space="preserve">. Values are mean trials retained of the 48 presented, averaged over language. Rows are split by grammaticality because differential trial loss across the compared conditions can bias both amplitude and decodability. The two conditions are retained almost equally here (see text). An n/a entry marks a session at which the property had not yet been introduced. Like the grand averages, the table is computed on the full sample, including the four mis-filtered Session 3 datasets that the models exclude.</w:t>
      </w:r>
    </w:p>
    <w:bookmarkEnd w:id="78"/>
    <w:bookmarkStart w:id="79" w:name="grammaticality-judgement-task"/>
    <w:p>
      <w:pPr>
        <w:pStyle w:val="Heading2"/>
      </w:pPr>
      <w:r>
        <w:t xml:space="preserve">Grammaticality-judgement task</w:t>
      </w:r>
    </w:p>
    <w:p>
      <w:pPr>
        <w:pStyle w:val="FirstParagraph"/>
      </w:pPr>
      <w:r>
        <w:t xml:space="preserve">The grammaticality judgement was collected concurrently with the ERP recording. On</w:t>
      </w:r>
      <w:r>
        <w:t xml:space="preserve"> </w:t>
      </w:r>
      <w:r>
        <w:t xml:space="preserve">each experimental trial, participants judged whether the sentence was grammatical for</w:t>
      </w:r>
      <w:r>
        <w:t xml:space="preserve"> </w:t>
      </w:r>
      <w:r>
        <w:t xml:space="preserve">the property under test, so the trial-level accuracy (correct/incorrect) and the</w:t>
      </w:r>
      <w:r>
        <w:t xml:space="preserve"> </w:t>
      </w:r>
      <w:r>
        <w:t xml:space="preserve">single-trial ERP are two measures of one and the same event, recorded within a single</w:t>
      </w:r>
      <w:r>
        <w:t xml:space="preserve"> </w:t>
      </w:r>
      <w:r>
        <w:t xml:space="preserve">task. Accuracy is the sole behavioural dependent measure. Response times</w:t>
      </w:r>
      <w:r>
        <w:t xml:space="preserve"> </w:t>
      </w:r>
      <w:r>
        <w:t xml:space="preserve">served only to screen trials.</w:t>
      </w:r>
      <w:r>
        <w:t xml:space="preserve"> </w:t>
      </w:r>
      <w:r>
        <w:t xml:space="preserve">Judgements of 200 ms or less, or of 4,000</w:t>
      </w:r>
      <w:r>
        <w:t xml:space="preserve"> </w:t>
      </w:r>
      <w:r>
        <w:t xml:space="preserve">ms or more, were discarded as implausible, which removed</w:t>
      </w:r>
      <w:r>
        <w:t xml:space="preserve"> </w:t>
      </w:r>
      <w:r>
        <w:t xml:space="preserve">8,504 of the 42,116 otherwise valid</w:t>
      </w:r>
      <w:r>
        <w:t xml:space="preserve"> </w:t>
      </w:r>
      <w:r>
        <w:t xml:space="preserve">judgement trials (20.2%), leaving</w:t>
      </w:r>
      <w:r>
        <w:t xml:space="preserve"> </w:t>
      </w:r>
      <w:r>
        <w:t xml:space="preserve">33,612 trials for analysis. The bounds were carried over from the</w:t>
      </w:r>
      <w:r>
        <w:t xml:space="preserve"> </w:t>
      </w:r>
      <w:r>
        <w:t xml:space="preserve">legacy preprocessing pipeline, which recorded no rationale for them, so we disclose</w:t>
      </w:r>
      <w:r>
        <w:t xml:space="preserve"> </w:t>
      </w:r>
      <w:r>
        <w:t xml:space="preserve">the screen and its cost without defending the cutoffs. Two features of the Session 4 logs removed further judgements before that screen. The runs of two participants were exported in two files whose names the extraction’s file pattern does not match, and the logs of two participants were exported with a semicolon delimiter that the comma-delimited reader cannot parse. Those participants contribute no Session 4 judgements and enter the models through their other sessions only. Rows</w:t>
      </w:r>
      <w:r>
        <w:t xml:space="preserve"> </w:t>
      </w:r>
      <w:r>
        <w:t xml:space="preserve">that the presentation software logged twice under one trial number were reduced to one</w:t>
      </w:r>
      <w:r>
        <w:t xml:space="preserve"> </w:t>
      </w:r>
      <w:r>
        <w:t xml:space="preserve">per participant, session, property and trial, and the unlabelled filler sentences shown</w:t>
      </w:r>
      <w:r>
        <w:t xml:space="preserve"> </w:t>
      </w:r>
      <w:r>
        <w:t xml:space="preserve">at Session 2 carry no property and fall outside the modelled contrast. The judgement</w:t>
      </w:r>
      <w:r>
        <w:t xml:space="preserve"> </w:t>
      </w:r>
      <w:r>
        <w:t xml:space="preserve">sentences were generated combinatorially, which has a consequence for the accuracy</w:t>
      </w:r>
      <w:r>
        <w:t xml:space="preserve"> </w:t>
      </w:r>
      <w:r>
        <w:t xml:space="preserve">models’ random-effect structure (see</w:t>
      </w:r>
      <w:r>
        <w:t xml:space="preserve"> </w:t>
      </w:r>
      <w:r>
        <w:rPr>
          <w:i/>
          <w:iCs/>
        </w:rPr>
        <w:t xml:space="preserve">Data analysis</w:t>
      </w:r>
      <w:r>
        <w:t xml:space="preserve">).</w:t>
      </w:r>
    </w:p>
    <w:bookmarkEnd w:id="79"/>
    <w:bookmarkStart w:id="90" w:name="data-analysis"/>
    <w:p>
      <w:pPr>
        <w:pStyle w:val="Heading2"/>
      </w:pPr>
      <w:r>
        <w:t xml:space="preserve">Data analysis</w:t>
      </w:r>
    </w:p>
    <w:p>
      <w:pPr>
        <w:pStyle w:val="FirstParagraph"/>
      </w:pPr>
      <w:r>
        <w:t xml:space="preserve">All models were fitted in a fully Bayesian framework with</w:t>
      </w:r>
      <w:r>
        <w:t xml:space="preserve"> </w:t>
      </w:r>
      <w:r>
        <w:rPr>
          <w:rStyle w:val="VerbatimChar"/>
        </w:rPr>
        <w:t xml:space="preserve">brms</w:t>
      </w:r>
      <w:r>
        <w:t xml:space="preserve"> </w:t>
      </w:r>
      <w:r>
        <w:t xml:space="preserve">(</w:t>
      </w:r>
      <w:hyperlink w:anchor="ref-burkner2017">
        <w:r>
          <w:rPr>
            <w:rStyle w:val="Hyperlink"/>
          </w:rPr>
          <w:t xml:space="preserve">Bürkner, 2017</w:t>
        </w:r>
      </w:hyperlink>
      <w:r>
        <w:t xml:space="preserve">,</w:t>
      </w:r>
      <w:r>
        <w:t xml:space="preserve"> </w:t>
      </w:r>
      <w:hyperlink w:anchor="ref-burkner2018">
        <w:r>
          <w:rPr>
            <w:rStyle w:val="Hyperlink"/>
          </w:rPr>
          <w:t xml:space="preserve">2018</w:t>
        </w:r>
      </w:hyperlink>
      <w:r>
        <w:t xml:space="preserve">)</w:t>
      </w:r>
      <w:r>
        <w:t xml:space="preserve"> </w:t>
      </w:r>
      <w:r>
        <w:t xml:space="preserve">as a front end to the Stan No-U-Turn sampler</w:t>
      </w:r>
      <w:r>
        <w:t xml:space="preserve"> </w:t>
      </w:r>
      <w:r>
        <w:t xml:space="preserve">(</w:t>
      </w:r>
      <w:hyperlink w:anchor="ref-carpenter2017">
        <w:r>
          <w:rPr>
            <w:rStyle w:val="Hyperlink"/>
          </w:rPr>
          <w:t xml:space="preserve">Carpenter et al., 2017</w:t>
        </w:r>
      </w:hyperlink>
      <w:r>
        <w:t xml:space="preserve">)</w:t>
      </w:r>
      <w:r>
        <w:t xml:space="preserve">. A Bayesian</w:t>
      </w:r>
      <w:r>
        <w:t xml:space="preserve"> </w:t>
      </w:r>
      <w:r>
        <w:t xml:space="preserve">treatment is not incidental to the question here. The hypotheses concern the size and</w:t>
      </w:r>
      <w:r>
        <w:t xml:space="preserve"> </w:t>
      </w:r>
      <w:r>
        <w:t xml:space="preserve">direction of effects that are expected to be small. Several of the comparisons that</w:t>
      </w:r>
      <w:r>
        <w:t xml:space="preserve"> </w:t>
      </w:r>
      <w:r>
        <w:t xml:space="preserve">matter, such as whether a property’s transfer effect grows across sessions, are naturally</w:t>
      </w:r>
      <w:r>
        <w:t xml:space="preserve"> </w:t>
      </w:r>
      <w:r>
        <w:t xml:space="preserve">expressed as statements about a posterior. Priors, sampler settings, diagnostics and</w:t>
      </w:r>
      <w:r>
        <w:t xml:space="preserve"> </w:t>
      </w:r>
      <w:r>
        <w:t xml:space="preserve">inference rules are set out in the sections that follow. The analysis and reporting code</w:t>
      </w:r>
      <w:r>
        <w:t xml:space="preserve"> </w:t>
      </w:r>
      <w:r>
        <w:t xml:space="preserve">was written with the assistance of Claude Code (version 2.1, Anthropic), running</w:t>
      </w:r>
      <w:r>
        <w:t xml:space="preserve"> </w:t>
      </w:r>
      <w:r>
        <w:t xml:space="preserve">primarily the Claude Opus and Claude Fable models, which drafted and revised scripts</w:t>
      </w:r>
      <w:r>
        <w:t xml:space="preserve"> </w:t>
      </w:r>
      <w:r>
        <w:t xml:space="preserve">under the authors’ direction and checked them against the method reported here. The</w:t>
      </w:r>
      <w:r>
        <w:t xml:space="preserve"> </w:t>
      </w:r>
      <w:r>
        <w:t xml:space="preserve">authors reviewed and ran every script, and the deposited code reproduces the analyses</w:t>
      </w:r>
      <w:r>
        <w:t xml:space="preserve"> </w:t>
      </w:r>
      <w:r>
        <w:t xml:space="preserve">without the tool.</w:t>
      </w:r>
    </w:p>
    <w:bookmarkStart w:id="80" w:name="predictor-coding-and-standardisation"/>
    <w:p>
      <w:pPr>
        <w:pStyle w:val="Heading3"/>
      </w:pPr>
      <w:r>
        <w:t xml:space="preserve">Predictor coding and standardisation</w:t>
      </w:r>
    </w:p>
    <w:p>
      <w:pPr>
        <w:pStyle w:val="FirstParagraph"/>
      </w:pPr>
      <w:r>
        <w:t xml:space="preserve">Every continuous predictor was</w:t>
      </w:r>
      <w:r>
        <w:t xml:space="preserve"> </w:t>
      </w:r>
      <m:oMath>
        <m:r>
          <m:t>z</m:t>
        </m:r>
      </m:oMath>
      <w:r>
        <w:t xml:space="preserve">-standardised and every dichotomous predictor</w:t>
      </w:r>
      <w:r>
        <w:t xml:space="preserve"> </w:t>
      </w:r>
      <w:r>
        <w:t xml:space="preserve">was</w:t>
      </w:r>
      <w:r>
        <w:t xml:space="preserve"> </w:t>
      </w:r>
      <m:oMath>
        <m:r>
          <m:rPr>
            <m:sty m:val="p"/>
          </m:rPr>
          <m:t>±</m:t>
        </m:r>
        <m:r>
          <m:t>0.5</m:t>
        </m:r>
      </m:oMath>
      <w:r>
        <w:t xml:space="preserve"> </w:t>
      </w:r>
      <w:r>
        <w:t xml:space="preserve">contrast coded before model fitting (the</w:t>
      </w:r>
      <w:r>
        <w:t xml:space="preserve"> </w:t>
      </w:r>
      <m:oMath>
        <m:r>
          <m:rPr>
            <m:sty m:val="p"/>
          </m:rPr>
          <m:t>±</m:t>
        </m:r>
        <m:r>
          <m:t>0.5</m:t>
        </m:r>
      </m:oMath>
      <w:r>
        <w:t xml:space="preserve"> </w:t>
      </w:r>
      <w:r>
        <w:t xml:space="preserve">codes are then</w:t>
      </w:r>
      <w:r>
        <w:t xml:space="preserve"> </w:t>
      </w:r>
      <m:oMath>
        <m:r>
          <m:t>z</m:t>
        </m:r>
      </m:oMath>
      <w:r>
        <w:t xml:space="preserve">-standardised with the other predictors, which preserves their sign). On this</w:t>
      </w:r>
      <w:r>
        <w:t xml:space="preserve"> </w:t>
      </w:r>
      <w:r>
        <w:t xml:space="preserve">common standardised scale, regression coefficients are directly comparable, and</w:t>
      </w:r>
      <w:r>
        <w:t xml:space="preserve"> </w:t>
      </w:r>
      <w:r>
        <w:t xml:space="preserve">lower-order terms in interactive models retain interpretable main-effect meanings</w:t>
      </w:r>
      <w:r>
        <w:t xml:space="preserve"> </w:t>
      </w:r>
      <w:r>
        <w:t xml:space="preserve">(</w:t>
      </w:r>
      <w:hyperlink w:anchor="ref-brauer2018">
        <w:r>
          <w:rPr>
            <w:rStyle w:val="Hyperlink"/>
          </w:rPr>
          <w:t xml:space="preserve">Brauer &amp; Curtin, 2018</w:t>
        </w:r>
      </w:hyperlink>
      <w:r>
        <w:t xml:space="preserve">;</w:t>
      </w:r>
      <w:r>
        <w:t xml:space="preserve"> </w:t>
      </w:r>
      <w:hyperlink w:anchor="ref-schielzeth2010">
        <w:r>
          <w:rPr>
            <w:rStyle w:val="Hyperlink"/>
          </w:rPr>
          <w:t xml:space="preserve">Schielzeth, 2010</w:t>
        </w:r>
      </w:hyperlink>
      <w:r>
        <w:t xml:space="preserve">)</w:t>
      </w:r>
      <w:r>
        <w:t xml:space="preserve">. Standardising the inputs is also what makes a prior</w:t>
      </w:r>
      <w:r>
        <w:t xml:space="preserve"> </w:t>
      </w:r>
      <w:r>
        <w:t xml:space="preserve">on a coefficient interpretable, because it fixes the scale that prior is placed on</w:t>
      </w:r>
      <w:r>
        <w:t xml:space="preserve"> </w:t>
      </w:r>
      <w:r>
        <w:t xml:space="preserve">(</w:t>
      </w:r>
      <w:hyperlink w:anchor="ref-gelman2008">
        <w:r>
          <w:rPr>
            <w:rStyle w:val="Hyperlink"/>
          </w:rPr>
          <w:t xml:space="preserve">Gelman et al., 2008</w:t>
        </w:r>
      </w:hyperlink>
      <w:r>
        <w:t xml:space="preserve">)</w:t>
      </w:r>
      <w:r>
        <w:t xml:space="preserve">. Session was recoded to consecutive integers in the order the four</w:t>
      </w:r>
      <w:r>
        <w:t xml:space="preserve"> </w:t>
      </w:r>
      <w:r>
        <w:t xml:space="preserve">sessions occurred, Sessions 2, 3, 4 and 6 becoming 0–3, and then</w:t>
      </w:r>
      <w:r>
        <w:t xml:space="preserve"> </w:t>
      </w:r>
      <m:oMath>
        <m:r>
          <m:t>z</m:t>
        </m:r>
      </m:oMath>
      <w:r>
        <w:t xml:space="preserve">-standardised</w:t>
      </w:r>
      <w:r>
        <w:t xml:space="preserve"> </w:t>
      </w:r>
      <w:r>
        <w:t xml:space="preserve">(within property for the accuracy models, whose properties span different session</w:t>
      </w:r>
      <w:r>
        <w:t xml:space="preserve"> </w:t>
      </w:r>
      <w:r>
        <w:t xml:space="preserve">ranges). The change in an effect between any two measured sessions,</w:t>
      </w:r>
      <w:r>
        <w:t xml:space="preserve"> </w:t>
      </w:r>
      <w:r>
        <w:t xml:space="preserve">including across the retention interval, is then a single linear combination of the</w:t>
      </w:r>
      <w:r>
        <w:t xml:space="preserve"> </w:t>
      </w:r>
      <w:r>
        <w:t xml:space="preserve">posterior draws. Besides grammaticality (grammatical</w:t>
      </w:r>
      <w:r>
        <w:t xml:space="preserve"> </w:t>
      </w:r>
      <m:oMath>
        <m:r>
          <m:rPr>
            <m:sty m:val="p"/>
          </m:rPr>
          <m:t>=</m:t>
        </m:r>
        <m:r>
          <m:rPr>
            <m:sty m:val="p"/>
          </m:rPr>
          <m:t>+</m:t>
        </m:r>
        <m:r>
          <m:t>0.5</m:t>
        </m:r>
      </m:oMath>
      <w:r>
        <w:t xml:space="preserve">) and language</w:t>
      </w:r>
      <w:r>
        <w:t xml:space="preserve"> </w:t>
      </w:r>
      <w:r>
        <w:t xml:space="preserve">(Mini-Norwegian</w:t>
      </w:r>
      <w:r>
        <w:t xml:space="preserve"> </w:t>
      </w:r>
      <m:oMath>
        <m:r>
          <m:rPr>
            <m:sty m:val="p"/>
          </m:rPr>
          <m:t>=</m:t>
        </m:r>
        <m:r>
          <m:rPr>
            <m:sty m:val="p"/>
          </m:rPr>
          <m:t>+</m:t>
        </m:r>
        <m:r>
          <m:t>0.5</m:t>
        </m:r>
      </m:oMath>
      <w:r>
        <w:t xml:space="preserve">), stated with the design, the topographic contrasts are</w:t>
      </w:r>
      <w:r>
        <w:t xml:space="preserve"> </w:t>
      </w:r>
      <w:r>
        <w:t xml:space="preserve">coded hemisphere right</w:t>
      </w:r>
      <w:r>
        <w:t xml:space="preserve"> </w:t>
      </w:r>
      <m:oMath>
        <m:r>
          <m:rPr>
            <m:sty m:val="p"/>
          </m:rPr>
          <m:t>=</m:t>
        </m:r>
        <m:r>
          <m:rPr>
            <m:sty m:val="p"/>
          </m:rPr>
          <m:t>+</m:t>
        </m:r>
        <m:r>
          <m:t>0.5</m:t>
        </m:r>
      </m:oMath>
      <w:r>
        <w:t xml:space="preserve">, left</w:t>
      </w:r>
      <w:r>
        <w:t xml:space="preserve"> </w:t>
      </w:r>
      <m:oMath>
        <m:r>
          <m:rPr>
            <m:sty m:val="p"/>
          </m:rPr>
          <m:t>=</m:t>
        </m:r>
        <m:r>
          <m:rPr>
            <m:sty m:val="p"/>
          </m:rPr>
          <m:t>−</m:t>
        </m:r>
        <m:r>
          <m:t>0.5</m:t>
        </m:r>
      </m:oMath>
      <w:r>
        <w:t xml:space="preserve">, and caudality anterior</w:t>
      </w:r>
      <w:r>
        <w:t xml:space="preserve"> </w:t>
      </w:r>
      <m:oMath>
        <m:r>
          <m:rPr>
            <m:sty m:val="p"/>
          </m:rPr>
          <m:t>=</m:t>
        </m:r>
        <m:r>
          <m:rPr>
            <m:sty m:val="p"/>
          </m:rPr>
          <m:t>+</m:t>
        </m:r>
        <m:r>
          <m:t>0.5</m:t>
        </m:r>
      </m:oMath>
      <w:r>
        <w:t xml:space="preserve">,</w:t>
      </w:r>
      <w:r>
        <w:t xml:space="preserve"> </w:t>
      </w:r>
      <w:r>
        <w:t xml:space="preserve">medial</w:t>
      </w:r>
      <w:r>
        <w:t xml:space="preserve"> </w:t>
      </w:r>
      <m:oMath>
        <m:r>
          <m:rPr>
            <m:sty m:val="p"/>
          </m:rPr>
          <m:t>=</m:t>
        </m:r>
        <m:r>
          <m:t>0</m:t>
        </m:r>
      </m:oMath>
      <w:r>
        <w:t xml:space="preserve">, posterior</w:t>
      </w:r>
      <w:r>
        <w:t xml:space="preserve"> </w:t>
      </w:r>
      <m:oMath>
        <m:r>
          <m:rPr>
            <m:sty m:val="p"/>
          </m:rPr>
          <m:t>=</m:t>
        </m:r>
        <m:r>
          <m:rPr>
            <m:sty m:val="p"/>
          </m:rPr>
          <m:t>−</m:t>
        </m:r>
        <m:r>
          <m:t>0.5</m:t>
        </m:r>
      </m:oMath>
      <w:r>
        <w:t xml:space="preserve">. A positive coefficient on a topographic</w:t>
      </w:r>
      <w:r>
        <w:t xml:space="preserve"> </w:t>
      </w:r>
      <w:r>
        <w:t xml:space="preserve">interaction therefore indicates a larger effect over right or anterior sites respectively.</w:t>
      </w:r>
    </w:p>
    <w:p>
      <w:pPr>
        <w:pStyle w:val="BodyText"/>
      </w:pPr>
      <w:r>
        <w:t xml:space="preserve">One further covariate enters the ERP models. It is the L1 Dominance Score, the</w:t>
      </w:r>
      <w:r>
        <w:t xml:space="preserve"> </w:t>
      </w:r>
      <w:r>
        <w:t xml:space="preserve">per-participant derived score of that name in the Language History Questionnaire’s</w:t>
      </w:r>
      <w:r>
        <w:t xml:space="preserve"> </w:t>
      </w:r>
      <w:r>
        <w:t xml:space="preserve">Aggregate Scores export</w:t>
      </w:r>
      <w:r>
        <w:t xml:space="preserve"> </w:t>
      </w:r>
      <w:r>
        <w:t xml:space="preserve">(LHQ3:</w:t>
      </w:r>
      <w:r>
        <w:t xml:space="preserve"> </w:t>
      </w:r>
      <w:hyperlink w:anchor="ref-lhq3">
        <w:r>
          <w:rPr>
            <w:rStyle w:val="Hyperlink"/>
          </w:rPr>
          <w:t xml:space="preserve">Li et al., 2020</w:t>
        </w:r>
      </w:hyperlink>
      <w:r>
        <w:t xml:space="preserve">)</w:t>
      </w:r>
      <w:r>
        <w:t xml:space="preserve">, read from that export and</w:t>
      </w:r>
      <w:r>
        <w:t xml:space="preserve"> </w:t>
      </w:r>
      <m:oMath>
        <m:r>
          <m:t>z</m:t>
        </m:r>
      </m:oMath>
      <w:r>
        <w:t xml:space="preserve">-standardised with the</w:t>
      </w:r>
      <w:r>
        <w:t xml:space="preserve"> </w:t>
      </w:r>
      <w:r>
        <w:t xml:space="preserve">other continuous predictors. It indexes how far the first language dominates the</w:t>
      </w:r>
      <w:r>
        <w:t xml:space="preserve"> </w:t>
      </w:r>
      <w:r>
        <w:t xml:space="preserve">participant’s repertoire, and it is carried in the ERP models as a control for prior</w:t>
      </w:r>
      <w:r>
        <w:t xml:space="preserve"> </w:t>
      </w:r>
      <w:r>
        <w:t xml:space="preserve">language experience. The variable is named for multilingual language diversity in the</w:t>
      </w:r>
      <w:r>
        <w:t xml:space="preserve"> </w:t>
      </w:r>
      <w:r>
        <w:t xml:space="preserve">extraction code, a legacy of an earlier version of the export in which the two scores sat</w:t>
      </w:r>
      <w:r>
        <w:t xml:space="preserve"> </w:t>
      </w:r>
      <w:r>
        <w:t xml:space="preserve">in different columns, so the code label and the quantity modelled differ; the models use</w:t>
      </w:r>
      <w:r>
        <w:t xml:space="preserve"> </w:t>
      </w:r>
      <w:r>
        <w:t xml:space="preserve">the score described here. The covariate is not carried into the accuracy models. That</w:t>
      </w:r>
      <w:r>
        <w:t xml:space="preserve"> </w:t>
      </w:r>
      <w:r>
        <w:t xml:space="preserve">asymmetry has no justification, and we return to it in the Limitations.</w:t>
      </w:r>
    </w:p>
    <w:p>
      <w:pPr>
        <w:pStyle w:val="BodyText"/>
      </w:pPr>
      <w:r>
        <w:t xml:space="preserve">The response side has two standardisation decisions of its own. Single-trial</w:t>
      </w:r>
      <w:r>
        <w:t xml:space="preserve"> </w:t>
      </w:r>
      <w:r>
        <w:t xml:space="preserve">amplitudes were</w:t>
      </w:r>
      <w:r>
        <w:t xml:space="preserve"> </w:t>
      </w:r>
      <m:oMath>
        <m:r>
          <m:t>z</m:t>
        </m:r>
      </m:oMath>
      <w:r>
        <w:t xml:space="preserve">-scored within participant. The reasoning is the one</w:t>
      </w:r>
      <w:r>
        <w:t xml:space="preserve"> </w:t>
      </w:r>
      <w:r>
        <w:t xml:space="preserve">Faust et al. (</w:t>
      </w:r>
      <w:hyperlink w:anchor="ref-faust1999">
        <w:r>
          <w:rPr>
            <w:rStyle w:val="Hyperlink"/>
          </w:rPr>
          <w:t xml:space="preserve">1999</w:t>
        </w:r>
      </w:hyperlink>
      <w:r>
        <w:t xml:space="preserve">)</w:t>
      </w:r>
      <w:r>
        <w:t xml:space="preserve"> </w:t>
      </w:r>
      <w:r>
        <w:t xml:space="preserve">set out for response latencies. When individuals differ in the overall scale of a</w:t>
      </w:r>
      <w:r>
        <w:t xml:space="preserve"> </w:t>
      </w:r>
      <w:r>
        <w:t xml:space="preserve">measure, and those differences are roughly linear, a group whose scale is larger</w:t>
      </w:r>
      <w:r>
        <w:t xml:space="preserve"> </w:t>
      </w:r>
      <w:r>
        <w:t xml:space="preserve">will show a larger raw treatment effect, and the resulting overadditive interaction</w:t>
      </w:r>
      <w:r>
        <w:t xml:space="preserve"> </w:t>
      </w:r>
      <w:r>
        <w:t xml:space="preserve">is an artefact of scale. They recommend a within-individual</w:t>
      </w:r>
      <w:r>
        <w:t xml:space="preserve"> </w:t>
      </w:r>
      <m:oMath>
        <m:r>
          <m:t>z</m:t>
        </m:r>
      </m:oMath>
      <w:r>
        <w:t xml:space="preserve"> </w:t>
      </w:r>
      <w:r>
        <w:t xml:space="preserve">transformation as</w:t>
      </w:r>
      <w:r>
        <w:t xml:space="preserve"> </w:t>
      </w:r>
      <w:r>
        <w:t xml:space="preserve">the remedy. Single-trial ERP amplitude has the same property, and the risk applies</w:t>
      </w:r>
      <w:r>
        <w:t xml:space="preserve"> </w:t>
      </w:r>
      <w:r>
        <w:t xml:space="preserve">directly here because the language contrast is between participants, so a scale</w:t>
      </w:r>
      <w:r>
        <w:t xml:space="preserve"> </w:t>
      </w:r>
      <w:r>
        <w:t xml:space="preserve">difference between the two groups could otherwise present as a grammaticality</w:t>
      </w:r>
      <w:r>
        <w:t xml:space="preserve"> </w:t>
      </w:r>
      <m:oMath>
        <m:r>
          <m:rPr>
            <m:sty m:val="p"/>
          </m:rPr>
          <m:t>×</m:t>
        </m:r>
      </m:oMath>
      <w:r>
        <w:t xml:space="preserve"> </w:t>
      </w:r>
      <w:r>
        <w:t xml:space="preserve">language interaction.</w:t>
      </w:r>
      <w:r>
        <w:t xml:space="preserve"> </w:t>
      </w:r>
      <w:r>
        <w:t xml:space="preserve">We also entered the trial’s own</w:t>
      </w:r>
      <w:r>
        <w:t xml:space="preserve"> </w:t>
      </w:r>
      <w:r>
        <w:t xml:space="preserve">pre-stimulus mean amplitude (</w:t>
      </w:r>
      <m:oMath>
        <m:r>
          <m:rPr>
            <m:sty m:val="p"/>
          </m:rPr>
          <m:t>−</m:t>
        </m:r>
        <m:r>
          <m:t>100</m:t>
        </m:r>
      </m:oMath>
      <w:r>
        <w:t xml:space="preserve"> </w:t>
      </w:r>
      <w:r>
        <w:t xml:space="preserve">to</w:t>
      </w:r>
      <w:r>
        <w:t xml:space="preserve"> </w:t>
      </w:r>
      <m:oMath>
        <m:r>
          <m:t>0</m:t>
        </m:r>
      </m:oMath>
      <w:r>
        <w:t xml:space="preserve"> </w:t>
      </w:r>
      <w:r>
        <w:t xml:space="preserve">ms) as a within-participant</w:t>
      </w:r>
      <w:r>
        <w:t xml:space="preserve"> </w:t>
      </w:r>
      <m:oMath>
        <m:r>
          <m:t>z</m:t>
        </m:r>
      </m:oMath>
      <w:r>
        <w:t xml:space="preserve">-scored</w:t>
      </w:r>
      <w:r>
        <w:t xml:space="preserve"> </w:t>
      </w:r>
      <w:r>
        <w:t xml:space="preserve">covariate. Subtraction of a baseline is the special case of this model in which the</w:t>
      </w:r>
      <w:r>
        <w:t xml:space="preserve"> </w:t>
      </w:r>
      <w:r>
        <w:t xml:space="preserve">baseline coefficient is fixed at one. Estimating that coefficient lets the model absorb</w:t>
      </w:r>
      <w:r>
        <w:t xml:space="preserve"> </w:t>
      </w:r>
      <w:r>
        <w:t xml:space="preserve">baseline variance that subtraction would leave in the residual, which</w:t>
      </w:r>
      <w:r>
        <w:t xml:space="preserve"> </w:t>
      </w:r>
      <w:r>
        <w:t xml:space="preserve">Alday (</w:t>
      </w:r>
      <w:hyperlink w:anchor="ref-alday2019">
        <w:r>
          <w:rPr>
            <w:rStyle w:val="Hyperlink"/>
          </w:rPr>
          <w:t xml:space="preserve">2019</w:t>
        </w:r>
      </w:hyperlink>
      <w:r>
        <w:t xml:space="preserve">)</w:t>
      </w:r>
      <w:r>
        <w:t xml:space="preserve"> </w:t>
      </w:r>
      <w:r>
        <w:t xml:space="preserve">shows can raise power. It also avoids the assumption subtraction requires, that conditions</w:t>
      </w:r>
      <w:r>
        <w:t xml:space="preserve"> </w:t>
      </w:r>
      <w:r>
        <w:t xml:space="preserve">do not differ systematically during the baseline interval.</w:t>
      </w:r>
    </w:p>
    <w:bookmarkEnd w:id="80"/>
    <w:bookmarkStart w:id="81" w:name="model-structure"/>
    <w:p>
      <w:pPr>
        <w:pStyle w:val="Heading3"/>
      </w:pPr>
      <w:r>
        <w:t xml:space="preserve">Model structure</w:t>
      </w:r>
    </w:p>
    <w:p>
      <w:pPr>
        <w:pStyle w:val="FirstParagraph"/>
      </w:pPr>
      <w:r>
        <w:t xml:space="preserve">For each ERP cell (property</w:t>
      </w:r>
      <w:r>
        <w:t xml:space="preserve"> </w:t>
      </w:r>
      <m:oMath>
        <m:r>
          <m:rPr>
            <m:sty m:val="p"/>
          </m:rPr>
          <m:t>×</m:t>
        </m:r>
      </m:oMath>
      <w:r>
        <w:t xml:space="preserve"> </w:t>
      </w:r>
      <w:r>
        <w:t xml:space="preserve">window</w:t>
      </w:r>
      <w:r>
        <w:t xml:space="preserve"> </w:t>
      </w:r>
      <m:oMath>
        <m:r>
          <m:rPr>
            <m:sty m:val="p"/>
          </m:rPr>
          <m:t>×</m:t>
        </m:r>
      </m:oMath>
      <w:r>
        <w:t xml:space="preserve"> </w:t>
      </w:r>
      <w:r>
        <w:t xml:space="preserve">macroregion), we fitted a</w:t>
      </w:r>
      <w:r>
        <w:t xml:space="preserve"> </w:t>
      </w:r>
      <w:r>
        <w:t xml:space="preserve">Gaussian model of single-trial mean amplitude:</w:t>
      </w:r>
    </w:p>
    <w:p>
      <w:pPr>
        <w:pStyle w:val="BodyText"/>
      </w:pPr>
      <m:oMathPara>
        <m:oMathParaPr>
          <m:jc m:val="center"/>
        </m:oMathParaPr>
        <m:oMath>
          <m:eqArr>
            <m:e>
              <m:r>
                <m:rPr>
                  <m:nor/>
                  <m:sty m:val="p"/>
                </m:rPr>
                <m:t>amplitude</m:t>
              </m:r>
              <m:r>
                <m:rPr>
                  <m:sty m:val="p"/>
                </m:rPr>
                <m:t>∼</m:t>
              </m:r>
              <m:r>
                <m:t> </m:t>
              </m:r>
              <m:r>
                <m:t>&amp;</m:t>
              </m:r>
              <m:r>
                <m:rPr>
                  <m:nor/>
                  <m:sty m:val="p"/>
                </m:rPr>
                <m:t>baseline</m:t>
              </m:r>
              <m:r>
                <m:rPr>
                  <m:sty m:val="p"/>
                </m:rPr>
                <m:t>+</m:t>
              </m:r>
              <m:r>
                <m:rPr>
                  <m:nor/>
                  <m:sty m:val="p"/>
                </m:rPr>
                <m:t>Gram</m:t>
              </m:r>
              <m:r>
                <m:rPr>
                  <m:sty m:val="p"/>
                </m:rPr>
                <m:t>×</m:t>
              </m:r>
              <m:r>
                <m:rPr>
                  <m:nor/>
                  <m:sty m:val="p"/>
                </m:rPr>
                <m:t>Session</m:t>
              </m:r>
              <m:r>
                <m:rPr>
                  <m:sty m:val="p"/>
                </m:rPr>
                <m:t>×</m:t>
              </m:r>
              <m:r>
                <m:rPr>
                  <m:nor/>
                  <m:sty m:val="p"/>
                </m:rPr>
                <m:t>Language</m:t>
              </m:r>
            </m:e>
            <m:e>
              <m:r>
                <m:t>&amp;</m:t>
              </m:r>
              <m:r>
                <m:rPr>
                  <m:sty m:val="p"/>
                </m:rPr>
                <m:t>+</m:t>
              </m:r>
              <m:r>
                <m:rPr>
                  <m:nor/>
                  <m:sty m:val="p"/>
                </m:rPr>
                <m:t>Gram</m:t>
              </m:r>
              <m:r>
                <m:rPr>
                  <m:sty m:val="p"/>
                </m:rPr>
                <m:t>×</m:t>
              </m:r>
              <m:r>
                <m:rPr>
                  <m:nor/>
                  <m:sty m:val="p"/>
                </m:rPr>
                <m:t>Hemisphere (lateral only)</m:t>
              </m:r>
              <m:r>
                <m:rPr>
                  <m:sty m:val="p"/>
                </m:rPr>
                <m:t>+</m:t>
              </m:r>
              <m:r>
                <m:rPr>
                  <m:nor/>
                  <m:sty m:val="p"/>
                </m:rPr>
                <m:t>Gram</m:t>
              </m:r>
              <m:r>
                <m:rPr>
                  <m:sty m:val="p"/>
                </m:rPr>
                <m:t>×</m:t>
              </m:r>
              <m:r>
                <m:rPr>
                  <m:nor/>
                  <m:sty m:val="p"/>
                </m:rPr>
                <m:t>Caudality</m:t>
              </m:r>
            </m:e>
            <m:e>
              <m:r>
                <m:t>&amp;</m:t>
              </m:r>
              <m:r>
                <m:rPr>
                  <m:sty m:val="p"/>
                </m:rPr>
                <m:t>+</m:t>
              </m:r>
              <m:r>
                <m:rPr>
                  <m:nor/>
                  <m:sty m:val="p"/>
                </m:rPr>
                <m:t>L1 dominance</m:t>
              </m:r>
            </m:e>
            <m:e>
              <m:r>
                <m:t>&amp;</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participant</m:t>
              </m:r>
              <m:r>
                <m:rPr>
                  <m:sty m:val="p"/>
                </m:rPr>
                <m:t>)</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item</m:t>
              </m:r>
              <m:r>
                <m:rPr>
                  <m:sty m:val="p"/>
                </m:rPr>
                <m:t>)</m:t>
              </m:r>
              <m:r>
                <m:rPr>
                  <m:sty m:val="p"/>
                </m:rPr>
                <m:t>.</m:t>
              </m:r>
            </m:e>
          </m:eqArr>
        </m:oMath>
      </m:oMathPara>
    </w:p>
    <w:p>
      <w:pPr>
        <w:pStyle w:val="FirstParagraph"/>
      </w:pPr>
      <w:r>
        <w:t xml:space="preserve">For each property, we fitted a Bernoulli (logit-link) model of judgement accuracy</w:t>
      </w:r>
      <w:r>
        <w:t xml:space="preserve"> </w:t>
      </w:r>
      <w:r>
        <w:t xml:space="preserve">(</w:t>
      </w:r>
      <w:hyperlink w:anchor="ref-dixon2008">
        <w:r>
          <w:rPr>
            <w:rStyle w:val="Hyperlink"/>
          </w:rPr>
          <w:t xml:space="preserve">Dixon, 2008</w:t>
        </w:r>
      </w:hyperlink>
      <w:r>
        <w:t xml:space="preserve">;</w:t>
      </w:r>
      <w:r>
        <w:t xml:space="preserve"> </w:t>
      </w:r>
      <w:hyperlink w:anchor="ref-jaeger2008">
        <w:r>
          <w:rPr>
            <w:rStyle w:val="Hyperlink"/>
          </w:rPr>
          <w:t xml:space="preserve">Jaeger, 2008</w:t>
        </w:r>
      </w:hyperlink>
      <w:r>
        <w:t xml:space="preserve">)</w:t>
      </w:r>
      <w:r>
        <w:t xml:space="preserve">:</w:t>
      </w:r>
    </w:p>
    <w:p>
      <w:pPr>
        <w:pStyle w:val="BodyText"/>
      </w:pPr>
      <m:oMathPara>
        <m:oMathParaPr>
          <m:jc m:val="center"/>
        </m:oMathParaPr>
        <m:oMath>
          <m:r>
            <m:rPr>
              <m:nor/>
              <m:sty m:val="p"/>
            </m:rPr>
            <m:t>correct</m:t>
          </m:r>
          <m:r>
            <m:rPr>
              <m:sty m:val="p"/>
            </m:rPr>
            <m:t>∼</m:t>
          </m:r>
          <m:r>
            <m:rPr>
              <m:nor/>
              <m:sty m:val="p"/>
            </m:rPr>
            <m:t>Gram</m:t>
          </m:r>
          <m:r>
            <m:rPr>
              <m:sty m:val="p"/>
            </m:rPr>
            <m:t>×</m:t>
          </m:r>
          <m:r>
            <m:rPr>
              <m:nor/>
              <m:sty m:val="p"/>
            </m:rPr>
            <m:t>Session</m:t>
          </m:r>
          <m:r>
            <m:rPr>
              <m:sty m:val="p"/>
            </m:rPr>
            <m:t>×</m:t>
          </m:r>
          <m:r>
            <m:rPr>
              <m:nor/>
              <m:sty m:val="p"/>
            </m:rPr>
            <m:t>Language</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participant</m:t>
          </m:r>
          <m:r>
            <m:rPr>
              <m:sty m:val="p"/>
            </m:rPr>
            <m:t>)</m:t>
          </m:r>
          <m:r>
            <m:rPr>
              <m:sty m:val="p"/>
            </m:rPr>
            <m:t>.</m:t>
          </m:r>
        </m:oMath>
      </m:oMathPara>
    </w:p>
    <w:p>
      <w:pPr>
        <w:pStyle w:val="FirstParagraph"/>
      </w:pPr>
      <w:r>
        <w:t xml:space="preserve">Participants and items are crossed rather than hierarchically nested. Within a</w:t>
      </w:r>
      <w:r>
        <w:t xml:space="preserve"> </w:t>
      </w:r>
      <w:r>
        <w:t xml:space="preserve">language, every participant sees every sentence frame, and every frame is seen by every</w:t>
      </w:r>
      <w:r>
        <w:t xml:space="preserve"> </w:t>
      </w:r>
      <w:r>
        <w:t xml:space="preserve">participant in that language, so the ERP models carry crossed by-participant and by-item</w:t>
      </w:r>
      <w:r>
        <w:t xml:space="preserve"> </w:t>
      </w:r>
      <w:r>
        <w:t xml:space="preserve">random effects</w:t>
      </w:r>
      <w:r>
        <w:t xml:space="preserve"> </w:t>
      </w:r>
      <w:r>
        <w:t xml:space="preserve">(</w:t>
      </w:r>
      <w:hyperlink w:anchor="ref-baayen2008">
        <w:r>
          <w:rPr>
            <w:rStyle w:val="Hyperlink"/>
          </w:rPr>
          <w:t xml:space="preserve">Baayen et al., 2008</w:t>
        </w:r>
      </w:hyperlink>
      <w:r>
        <w:t xml:space="preserve">;</w:t>
      </w:r>
      <w:r>
        <w:t xml:space="preserve"> </w:t>
      </w:r>
      <w:hyperlink w:anchor="ref-barr2013">
        <w:r>
          <w:rPr>
            <w:rStyle w:val="Hyperlink"/>
          </w:rPr>
          <w:t xml:space="preserve">Barr et al., 2013</w:t>
        </w:r>
      </w:hyperlink>
      <w:r>
        <w:t xml:space="preserve">)</w:t>
      </w:r>
      <w:r>
        <w:t xml:space="preserve">. Items are nested within language, because the</w:t>
      </w:r>
      <w:r>
        <w:t xml:space="preserve"> </w:t>
      </w:r>
      <w:r>
        <w:t xml:space="preserve">two miniature languages draw on separate lexicons, so language does not vary within an</w:t>
      </w:r>
      <w:r>
        <w:t xml:space="preserve"> </w:t>
      </w:r>
      <w:r>
        <w:t xml:space="preserve">item and no by-item language slope is estimable. Grammaticality and session, by contrast,</w:t>
      </w:r>
      <w:r>
        <w:t xml:space="preserve"> </w:t>
      </w:r>
      <w:r>
        <w:t xml:space="preserve">vary within both grouping factors, since every frame is presented in both a grammatical</w:t>
      </w:r>
      <w:r>
        <w:t xml:space="preserve"> </w:t>
      </w:r>
      <w:r>
        <w:t xml:space="preserve">and an ungrammatical version and is re-presented across sessions.</w:t>
      </w:r>
    </w:p>
    <w:p>
      <w:pPr>
        <w:pStyle w:val="BodyText"/>
      </w:pPr>
      <w:r>
        <w:t xml:space="preserve">Random effects therefore follow the</w:t>
      </w:r>
      <w:r>
        <w:t xml:space="preserve"> </w:t>
      </w:r>
      <w:r>
        <w:t xml:space="preserve">“keep it maximal</w:t>
      </w:r>
      <w:r>
        <w:t xml:space="preserve"> </w:t>
      </w:r>
      <w:r>
        <w:rPr>
          <w:i/>
          <w:iCs/>
        </w:rPr>
        <w:t xml:space="preserve">as justified by the design</w:t>
      </w:r>
      <w:r>
        <w:t xml:space="preserve">”</w:t>
      </w:r>
      <w:r>
        <w:t xml:space="preserve"> </w:t>
      </w:r>
      <w:r>
        <w:t xml:space="preserve">principle</w:t>
      </w:r>
      <w:r>
        <w:t xml:space="preserve"> </w:t>
      </w:r>
      <w:r>
        <w:t xml:space="preserve">(</w:t>
      </w:r>
      <w:hyperlink w:anchor="ref-barr2013">
        <w:r>
          <w:rPr>
            <w:rStyle w:val="Hyperlink"/>
          </w:rPr>
          <w:t xml:space="preserve">Barr et al., 2013</w:t>
        </w:r>
      </w:hyperlink>
      <w:r>
        <w:t xml:space="preserve">)</w:t>
      </w:r>
      <w:r>
        <w:t xml:space="preserve">, so both grouping factors receive a random intercept plus</w:t>
      </w:r>
      <w:r>
        <w:t xml:space="preserve"> </w:t>
      </w:r>
      <w:r>
        <w:t xml:space="preserve">grammaticality and session slopes, with correlations estimated under the shared</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w:t>
      </w:r>
    </w:p>
    <w:p>
      <w:pPr>
        <w:pStyle w:val="BodyText"/>
      </w:pPr>
      <w:r>
        <w:t xml:space="preserve">Session enters that specification as a single linear predictor, so the change in the</w:t>
      </w:r>
      <w:r>
        <w:t xml:space="preserve"> </w:t>
      </w:r>
      <w:r>
        <w:t xml:space="preserve">grammaticality effect across the retention interval is read off the fitted trend rather</w:t>
      </w:r>
      <w:r>
        <w:t xml:space="preserve"> </w:t>
      </w:r>
      <w:r>
        <w:t xml:space="preserve">than estimated for that interval on its own. Gender agreement and differential object</w:t>
      </w:r>
      <w:r>
        <w:t xml:space="preserve"> </w:t>
      </w:r>
      <w:r>
        <w:t xml:space="preserve">marking were therefore also refitted with a binary indicator for the retention session,</w:t>
      </w:r>
      <w:r>
        <w:t xml:space="preserve"> </w:t>
      </w:r>
      <w:r>
        <w:t xml:space="preserve">interacted with grammaticality and language and added to the linear session term. The</w:t>
      </w:r>
      <w:r>
        <w:t xml:space="preserve"> </w:t>
      </w:r>
      <w:r>
        <w:t xml:space="preserve">linear term then carries the training trend and the indicator the deviation at Session 6.</w:t>
      </w:r>
      <w:r>
        <w:t xml:space="preserve"> </w:t>
      </w:r>
      <w:r>
        <w:t xml:space="preserve">The indicator is coded</w:t>
      </w:r>
      <w:r>
        <w:t xml:space="preserve"> </w:t>
      </w:r>
      <m:oMath>
        <m:r>
          <m:rPr>
            <m:sty m:val="p"/>
          </m:rPr>
          <m:t>+</m:t>
        </m:r>
        <m:r>
          <m:t>0.5</m:t>
        </m:r>
      </m:oMath>
      <w:r>
        <w:t xml:space="preserve"> </w:t>
      </w:r>
      <w:r>
        <w:t xml:space="preserve">at Session 6 and</w:t>
      </w:r>
      <w:r>
        <w:t xml:space="preserve"> </w:t>
      </w:r>
      <m:oMath>
        <m:r>
          <m:rPr>
            <m:sty m:val="p"/>
          </m:rPr>
          <m:t>−</m:t>
        </m:r>
        <m:r>
          <m:t>0.5</m:t>
        </m:r>
      </m:oMath>
      <w:r>
        <w:t xml:space="preserve"> </w:t>
      </w:r>
      <w:r>
        <w:t xml:space="preserve">elsewhere and, unlike the other</w:t>
      </w:r>
      <w:r>
        <w:t xml:space="preserve"> </w:t>
      </w:r>
      <w:r>
        <w:t xml:space="preserve">predictors, is not standardised, so its coefficient is the deviation at Session 6 on the</w:t>
      </w:r>
      <w:r>
        <w:t xml:space="preserve"> </w:t>
      </w:r>
      <w:r>
        <w:t xml:space="preserve">response scale. The refits are otherwise identical to the models above and were run</w:t>
      </w:r>
      <w:r>
        <w:t xml:space="preserve"> </w:t>
      </w:r>
      <w:r>
        <w:t xml:space="preserve">under both random-effect structures. Verb–object number agreement admits no such refit. It is</w:t>
      </w:r>
      <w:r>
        <w:t xml:space="preserve"> </w:t>
      </w:r>
      <w:r>
        <w:t xml:space="preserve">sampled at the two bracketing sessions only, so an indicator for the later of them would</w:t>
      </w:r>
      <w:r>
        <w:t xml:space="preserve"> </w:t>
      </w:r>
      <w:r>
        <w:t xml:space="preserve">be collinear with the linear term. Where the two derivations disagree, the freed estimate</w:t>
      </w:r>
      <w:r>
        <w:t xml:space="preserve"> </w:t>
      </w:r>
      <w:r>
        <w:t xml:space="preserve">is the one that bears on consolidation, and both are reported (</w:t>
      </w:r>
      <w:hyperlink w:anchor="tbl-retention">
        <w:r>
          <w:rPr>
            <w:rStyle w:val="Hyperlink"/>
          </w:rPr>
          <w:t xml:space="preserve">Table B1</w:t>
        </w:r>
      </w:hyperlink>
      <w:r>
        <w:t xml:space="preserve">,</w:t>
      </w:r>
      <w:r>
        <w:t xml:space="preserve"> </w:t>
      </w:r>
      <w:hyperlink w:anchor="tbl-retention-free">
        <w:r>
          <w:rPr>
            <w:rStyle w:val="Hyperlink"/>
          </w:rPr>
          <w:t xml:space="preserve">Table B2</w:t>
        </w:r>
      </w:hyperlink>
      <w:r>
        <w:t xml:space="preserve">).</w:t>
      </w:r>
    </w:p>
    <w:p>
      <w:pPr>
        <w:pStyle w:val="BodyText"/>
      </w:pPr>
      <w:r>
        <w:t xml:space="preserve">The case for retaining the by-item grammaticality slope, and the power-based argument</w:t>
      </w:r>
      <w:r>
        <w:t xml:space="preserve"> </w:t>
      </w:r>
      <w:r>
        <w:t xml:space="preserve">against maximal structures that it was weighed against</w:t>
      </w:r>
      <w:r>
        <w:t xml:space="preserve"> </w:t>
      </w:r>
      <w:r>
        <w:t xml:space="preserve">(</w:t>
      </w:r>
      <w:hyperlink w:anchor="ref-barr2013">
        <w:r>
          <w:rPr>
            <w:rStyle w:val="Hyperlink"/>
          </w:rPr>
          <w:t xml:space="preserve">Barr et al., 2013</w:t>
        </w:r>
      </w:hyperlink>
      <w:r>
        <w:t xml:space="preserve">;</w:t>
      </w:r>
      <w:r>
        <w:t xml:space="preserve"> </w:t>
      </w:r>
      <w:hyperlink w:anchor="ref-matuschek2017">
        <w:r>
          <w:rPr>
            <w:rStyle w:val="Hyperlink"/>
          </w:rPr>
          <w:t xml:space="preserve">Matuschek et al., 2017</w:t>
        </w:r>
      </w:hyperlink>
      <w:r>
        <w:t xml:space="preserve">)</w:t>
      </w:r>
      <w:r>
        <w:t xml:space="preserve">, are</w:t>
      </w:r>
      <w:r>
        <w:t xml:space="preserve"> </w:t>
      </w:r>
      <w:r>
        <w:t xml:space="preserve">set out in</w:t>
      </w:r>
      <w:r>
        <w:t xml:space="preserve"> </w:t>
      </w:r>
      <w:hyperlink w:anchor="apx-analytic-decisions-in-detail">
        <w:r>
          <w:rPr>
            <w:rStyle w:val="Hyperlink"/>
          </w:rPr>
          <w:t xml:space="preserve">Appendix A</w:t>
        </w:r>
      </w:hyperlink>
      <w:r>
        <w:t xml:space="preserve">. The Results report the whole grid refitted without that slope, so</w:t>
      </w:r>
      <w:r>
        <w:t xml:space="preserve"> </w:t>
      </w:r>
      <w:r>
        <w:t xml:space="preserve">a reader can see which conclusions depend on it. The accuracy models omit a by-item</w:t>
      </w:r>
      <w:r>
        <w:t xml:space="preserve"> </w:t>
      </w:r>
      <w:r>
        <w:t xml:space="preserve">effect by design. The judgement sentences are generated combinatorially. In Session 4, the 11,541 judgement trials of 52 participants presented 1,720 distinct sentences, each on average 6.7 times across the sample. Item variance is therefore thinly</w:t>
      </w:r>
      <w:r>
        <w:t xml:space="preserve"> </w:t>
      </w:r>
      <w:r>
        <w:t xml:space="preserve">sampled per sentence, and no by-item term is carried. Its variance is absorbed into the</w:t>
      </w:r>
      <w:r>
        <w:t xml:space="preserve"> </w:t>
      </w:r>
      <w:r>
        <w:t xml:space="preserve">residual, which leaves the accuracy estimates slightly less precise and is noted under</w:t>
      </w:r>
      <w:r>
        <w:t xml:space="preserve"> </w:t>
      </w:r>
      <w:r>
        <w:rPr>
          <w:i/>
          <w:iCs/>
        </w:rPr>
        <w:t xml:space="preserve">Limitations</w:t>
      </w:r>
      <w:r>
        <w:t xml:space="preserve"> </w:t>
      </w:r>
      <w:r>
        <w:t xml:space="preserve">(</w:t>
      </w:r>
      <w:hyperlink w:anchor="ref-barr2013">
        <w:r>
          <w:rPr>
            <w:rStyle w:val="Hyperlink"/>
          </w:rPr>
          <w:t xml:space="preserve">Barr et al., 2013</w:t>
        </w:r>
      </w:hyperlink>
      <w:r>
        <w:t xml:space="preserve">)</w:t>
      </w:r>
      <w:r>
        <w:t xml:space="preserve">.</w:t>
      </w:r>
    </w:p>
    <w:bookmarkEnd w:id="81"/>
    <w:bookmarkStart w:id="86" w:name="priors"/>
    <w:p>
      <w:pPr>
        <w:pStyle w:val="Heading3"/>
      </w:pPr>
      <w:r>
        <w:t xml:space="preserve">Priors</w:t>
      </w:r>
    </w:p>
    <w:p>
      <w:pPr>
        <w:pStyle w:val="FirstParagraph"/>
      </w:pPr>
      <w:r>
        <w:t xml:space="preserve">We placed informative priors derived from the</w:t>
      </w:r>
      <w:r>
        <w:t xml:space="preserve"> </w:t>
      </w:r>
      <w:r>
        <w:t xml:space="preserve">morphosyntactic-ERP and behavioural literature, in place of the common</w:t>
      </w:r>
      <w:r>
        <w:t xml:space="preserve"> </w:t>
      </w:r>
      <w:r>
        <w:t xml:space="preserve">weakly informative default, following a selective, sign-informed and</w:t>
      </w:r>
      <w:r>
        <w:t xml:space="preserve"> </w:t>
      </w:r>
      <w:r>
        <w:t xml:space="preserve">magnitude-regularising strategy</w:t>
      </w:r>
      <w:r>
        <w:t xml:space="preserve"> </w:t>
      </w:r>
      <w:r>
        <w:t xml:space="preserve">(</w:t>
      </w:r>
      <w:hyperlink w:anchor="ref-schad2021">
        <w:r>
          <w:rPr>
            <w:rStyle w:val="Hyperlink"/>
          </w:rPr>
          <w:t xml:space="preserve">Schad et al., 2021</w:t>
        </w:r>
      </w:hyperlink>
      <w:r>
        <w:t xml:space="preserve">)</w:t>
      </w:r>
      <w:r>
        <w:t xml:space="preserve">. Because the response and all predictors</w:t>
      </w:r>
      <w:r>
        <w:t xml:space="preserve"> </w:t>
      </w:r>
      <w:r>
        <w:t xml:space="preserve">are standardised, each coefficient is expressed in standard-deviation units (within</w:t>
      </w:r>
      <w:r>
        <w:t xml:space="preserve"> </w:t>
      </w:r>
      <w:r>
        <w:t xml:space="preserve">participant, for the ERP models). A prior</w:t>
      </w:r>
      <w:r>
        <w:t xml:space="preserve"> </w:t>
      </w:r>
      <w:r>
        <w:rPr>
          <w:i/>
          <w:iCs/>
        </w:rPr>
        <w:t xml:space="preserve">mean</w:t>
      </w:r>
      <w:r>
        <w:t xml:space="preserve"> </w:t>
      </w:r>
      <w:r>
        <w:t xml:space="preserve">can therefore encode the direction of a</w:t>
      </w:r>
      <w:r>
        <w:t xml:space="preserve"> </w:t>
      </w:r>
      <w:r>
        <w:t xml:space="preserve">well-established effect, while its</w:t>
      </w:r>
      <w:r>
        <w:t xml:space="preserve"> </w:t>
      </w:r>
      <w:r>
        <w:rPr>
          <w:i/>
          <w:iCs/>
        </w:rPr>
        <w:t xml:space="preserve">standard deviation</w:t>
      </w:r>
      <w:r>
        <w:t xml:space="preserve"> </w:t>
      </w:r>
      <w:r>
        <w:t xml:space="preserve">stays wide enough to let the data</w:t>
      </w:r>
      <w:r>
        <w:t xml:space="preserve"> </w:t>
      </w:r>
      <w:r>
        <w:t xml:space="preserve">dominate any well-identified effect</w:t>
      </w:r>
      <w:r>
        <w:t xml:space="preserve"> </w:t>
      </w:r>
      <w:r>
        <w:t xml:space="preserve">(</w:t>
      </w:r>
      <w:hyperlink w:anchor="ref-gelman2008">
        <w:r>
          <w:rPr>
            <w:rStyle w:val="Hyperlink"/>
          </w:rPr>
          <w:t xml:space="preserve">Gelman et al., 2008</w:t>
        </w:r>
      </w:hyperlink>
      <w:r>
        <w:t xml:space="preserve">)</w:t>
      </w:r>
      <w:r>
        <w:t xml:space="preserve">.</w:t>
      </w:r>
    </w:p>
    <w:p>
      <w:pPr>
        <w:pStyle w:val="BodyText"/>
      </w:pPr>
      <w:r>
        <w:t xml:space="preserve">The one firmly established directional effect is the P600: words that violate the</w:t>
      </w:r>
      <w:r>
        <w:t xml:space="preserve"> </w:t>
      </w:r>
      <w:r>
        <w:t xml:space="preserve">syntactic structure of a sentence elicit a late positivity, larger for ungrammatical than</w:t>
      </w:r>
      <w:r>
        <w:t xml:space="preserve"> </w:t>
      </w:r>
      <w:r>
        <w:t xml:space="preserve">for grammatical sentences</w:t>
      </w:r>
      <w:r>
        <w:t xml:space="preserve"> </w:t>
      </w:r>
      <w:r>
        <w:t xml:space="preserve">(</w:t>
      </w:r>
      <w:hyperlink w:anchor="ref-osterhout1992">
        <w:r>
          <w:rPr>
            <w:rStyle w:val="Hyperlink"/>
          </w:rPr>
          <w:t xml:space="preserve">Osterhout &amp; Holcomb, 1992</w:t>
        </w:r>
      </w:hyperlink>
      <w:r>
        <w:t xml:space="preserve">)</w:t>
      </w:r>
      <w:r>
        <w:t xml:space="preserve">. For morphosyntactic violations specifically,</w:t>
      </w:r>
      <w:r>
        <w:t xml:space="preserve"> </w:t>
      </w:r>
      <w:r>
        <w:t xml:space="preserve">that positivity is posterior and centroparietal, and it is obtained in native speakers</w:t>
      </w:r>
      <w:r>
        <w:t xml:space="preserve"> </w:t>
      </w:r>
      <w:r>
        <w:t xml:space="preserve">(</w:t>
      </w:r>
      <w:hyperlink w:anchor="ref-chen2007">
        <w:r>
          <w:rPr>
            <w:rStyle w:val="Hyperlink"/>
          </w:rPr>
          <w:t xml:space="preserve">Chen et al., 2007</w:t>
        </w:r>
      </w:hyperlink>
      <w:r>
        <w:t xml:space="preserve">;</w:t>
      </w:r>
      <w:r>
        <w:t xml:space="preserve"> </w:t>
      </w:r>
      <w:hyperlink w:anchor="ref-mueller2005">
        <w:r>
          <w:rPr>
            <w:rStyle w:val="Hyperlink"/>
          </w:rPr>
          <w:t xml:space="preserve">Mueller et al., 2005</w:t>
        </w:r>
      </w:hyperlink>
      <w:r>
        <w:t xml:space="preserve">,</w:t>
      </w:r>
      <w:r>
        <w:t xml:space="preserve"> </w:t>
      </w:r>
      <w:hyperlink w:anchor="ref-mueller2007">
        <w:r>
          <w:rPr>
            <w:rStyle w:val="Hyperlink"/>
          </w:rPr>
          <w:t xml:space="preserve">2007</w:t>
        </w:r>
      </w:hyperlink>
      <w:r>
        <w:t xml:space="preserve">)</w:t>
      </w:r>
      <w:r>
        <w:t xml:space="preserve"> </w:t>
      </w:r>
      <w:r>
        <w:t xml:space="preserve">and, once some proficiency has been reached, in</w:t>
      </w:r>
      <w:r>
        <w:t xml:space="preserve"> </w:t>
      </w:r>
      <w:r>
        <w:t xml:space="preserve">artificial-language learners</w:t>
      </w:r>
      <w:r>
        <w:t xml:space="preserve"> </w:t>
      </w:r>
      <w:r>
        <w:t xml:space="preserve">(</w:t>
      </w:r>
      <w:hyperlink w:anchor="ref-morganshort2010">
        <w:r>
          <w:rPr>
            <w:rStyle w:val="Hyperlink"/>
          </w:rPr>
          <w:t xml:space="preserve">Morgan-Short et al., 2010</w:t>
        </w:r>
      </w:hyperlink>
      <w:r>
        <w:t xml:space="preserve">;</w:t>
      </w:r>
      <w:r>
        <w:t xml:space="preserve"> </w:t>
      </w:r>
      <w:hyperlink w:anchor="ref-morganshort2012">
        <w:r>
          <w:rPr>
            <w:rStyle w:val="Hyperlink"/>
          </w:rPr>
          <w:t xml:space="preserve">Morgan-Short, Steinhauer, et al., 2012</w:t>
        </w:r>
      </w:hyperlink>
      <w:r>
        <w:t xml:space="preserve">)</w:t>
      </w:r>
      <w:r>
        <w:t xml:space="preserve">. A P600 also</w:t>
      </w:r>
      <w:r>
        <w:t xml:space="preserve"> </w:t>
      </w:r>
      <w:r>
        <w:t xml:space="preserve">arises to structural violations in implicit artificial-grammar learning, where the</w:t>
      </w:r>
      <w:r>
        <w:t xml:space="preserve"> </w:t>
      </w:r>
      <w:r>
        <w:t xml:space="preserve">sequences carry no morphology at all</w:t>
      </w:r>
      <w:r>
        <w:t xml:space="preserve"> </w:t>
      </w:r>
      <w:r>
        <w:t xml:space="preserve">(</w:t>
      </w:r>
      <w:hyperlink w:anchor="ref-silva2017">
        <w:r>
          <w:rPr>
            <w:rStyle w:val="Hyperlink"/>
          </w:rPr>
          <w:t xml:space="preserve">Silva et al., 2017</w:t>
        </w:r>
      </w:hyperlink>
      <w:r>
        <w:t xml:space="preserve">)</w:t>
      </w:r>
      <w:r>
        <w:t xml:space="preserve">. Because</w:t>
      </w:r>
      <w:r>
        <w:t xml:space="preserve"> </w:t>
      </w:r>
      <w:r>
        <w:t xml:space="preserve">grammaticality is coded grammatical</w:t>
      </w:r>
      <w:r>
        <w:t xml:space="preserve"> </w:t>
      </w:r>
      <m:oMath>
        <m:r>
          <m:rPr>
            <m:sty m:val="p"/>
          </m:rPr>
          <m:t>=</m:t>
        </m:r>
        <m:r>
          <m:rPr>
            <m:sty m:val="p"/>
          </m:rPr>
          <m:t>+</m:t>
        </m:r>
        <m:r>
          <m:t>0.5</m:t>
        </m:r>
      </m:oMath>
      <w:r>
        <w:t xml:space="preserve">, this implies a</w:t>
      </w:r>
      <w:r>
        <w:t xml:space="preserve"> </w:t>
      </w:r>
      <w:r>
        <w:rPr>
          <w:i/>
          <w:iCs/>
        </w:rPr>
        <w:t xml:space="preserve">negative</w:t>
      </w:r>
      <w:r>
        <w:t xml:space="preserve"> </w:t>
      </w:r>
      <w:r>
        <w:t xml:space="preserve">prior mean on the</w:t>
      </w:r>
      <w:r>
        <w:t xml:space="preserve"> </w:t>
      </w:r>
      <w:r>
        <w:t xml:space="preserve">grammaticality slope in the P600 window, carried more mildly into the 300–600 ms window</w:t>
      </w:r>
      <w:r>
        <w:t xml:space="preserve"> </w:t>
      </w:r>
      <w:r>
        <w:t xml:space="preserve">for the two agreement properties, whose late signature is a positivity rather than an N400.</w:t>
      </w:r>
      <w:r>
        <w:t xml:space="preserve"> </w:t>
      </w:r>
      <w:r>
        <w:t xml:space="preserve">For differential object marking, the specification differs in both windows, being widened</w:t>
      </w:r>
      <w:r>
        <w:t xml:space="preserve"> </w:t>
      </w:r>
      <w:r>
        <w:t xml:space="preserve">in the later window and left zero-centred in the earlier one, because case-marking</w:t>
      </w:r>
      <w:r>
        <w:t xml:space="preserve"> </w:t>
      </w:r>
      <w:r>
        <w:t xml:space="preserve">violations are configuration-dependent and elicit a P600, an N400 or a biphasic response</w:t>
      </w:r>
      <w:r>
        <w:t xml:space="preserve"> </w:t>
      </w:r>
      <w:r>
        <w:t xml:space="preserve">according to animacy and markedness</w:t>
      </w:r>
      <w:r>
        <w:t xml:space="preserve"> </w:t>
      </w:r>
      <w:r>
        <w:t xml:space="preserve">(</w:t>
      </w:r>
      <w:hyperlink w:anchor="ref-frisch2001">
        <w:r>
          <w:rPr>
            <w:rStyle w:val="Hyperlink"/>
          </w:rPr>
          <w:t xml:space="preserve">Frisch &amp; Schlesewsky, 2001</w:t>
        </w:r>
      </w:hyperlink>
      <w:r>
        <w:t xml:space="preserve">;</w:t>
      </w:r>
      <w:r>
        <w:t xml:space="preserve"> </w:t>
      </w:r>
      <w:hyperlink w:anchor="ref-mueller2007">
        <w:r>
          <w:rPr>
            <w:rStyle w:val="Hyperlink"/>
          </w:rPr>
          <w:t xml:space="preserve">Mueller et al., 2007</w:t>
        </w:r>
      </w:hyperlink>
      <w:r>
        <w:t xml:space="preserve">;</w:t>
      </w:r>
      <w:r>
        <w:t xml:space="preserve"> </w:t>
      </w:r>
      <w:hyperlink w:anchor="ref-nieuwland2013">
        <w:r>
          <w:rPr>
            <w:rStyle w:val="Hyperlink"/>
          </w:rPr>
          <w:t xml:space="preserve">Nieuwland et al., 2013</w:t>
        </w:r>
      </w:hyperlink>
      <w:r>
        <w:t xml:space="preserve">)</w:t>
      </w:r>
      <w:r>
        <w:t xml:space="preserve">. As the P600 is</w:t>
      </w:r>
      <w:r>
        <w:t xml:space="preserve"> </w:t>
      </w:r>
      <w:r>
        <w:t xml:space="preserve">posterior-maximal</w:t>
      </w:r>
      <w:r>
        <w:t xml:space="preserve"> </w:t>
      </w:r>
      <w:r>
        <w:t xml:space="preserve">(</w:t>
      </w:r>
      <w:hyperlink w:anchor="ref-mueller2007">
        <w:r>
          <w:rPr>
            <w:rStyle w:val="Hyperlink"/>
          </w:rPr>
          <w:t xml:space="preserve">Mueller et al., 2007</w:t>
        </w:r>
      </w:hyperlink>
      <w:r>
        <w:t xml:space="preserve">)</w:t>
      </w:r>
      <w:r>
        <w:t xml:space="preserve">, the grammaticality</w:t>
      </w:r>
      <w:r>
        <w:t xml:space="preserve"> </w:t>
      </w:r>
      <m:oMath>
        <m:r>
          <m:rPr>
            <m:sty m:val="p"/>
          </m:rPr>
          <m:t>×</m:t>
        </m:r>
      </m:oMath>
      <w:r>
        <w:t xml:space="preserve"> </w:t>
      </w:r>
      <w:r>
        <w:t xml:space="preserve">caudality interaction</w:t>
      </w:r>
      <w:r>
        <w:t xml:space="preserve"> </w:t>
      </w:r>
      <w:r>
        <w:t xml:space="preserve">received a positive prior mean in each window in which the grammaticality prior carried a</w:t>
      </w:r>
      <w:r>
        <w:t xml:space="preserve"> </w:t>
      </w:r>
      <w:r>
        <w:t xml:space="preserve">sign. The early (200–500 ms) anterior-negativity window and the hemisphere interaction</w:t>
      </w:r>
      <w:r>
        <w:t xml:space="preserve"> </w:t>
      </w:r>
      <w:r>
        <w:t xml:space="preserve">were left zero-centred, because the LAN is small and present in only roughly half of</w:t>
      </w:r>
      <w:r>
        <w:t xml:space="preserve"> </w:t>
      </w:r>
      <w:r>
        <w:t xml:space="preserve">participants and items, so its sign is not safely predictable</w:t>
      </w:r>
      <w:r>
        <w:t xml:space="preserve"> </w:t>
      </w:r>
      <w:r>
        <w:t xml:space="preserve">(</w:t>
      </w:r>
      <w:hyperlink w:anchor="ref-caffarra2019">
        <w:r>
          <w:rPr>
            <w:rStyle w:val="Hyperlink"/>
          </w:rPr>
          <w:t xml:space="preserve">Caffarra et al., 2019</w:t>
        </w:r>
      </w:hyperlink>
      <w:r>
        <w:t xml:space="preserve">)</w:t>
      </w:r>
      <w:r>
        <w:t xml:space="preserv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transfer interaction, the hypothesis under test, was</w:t>
      </w:r>
      <w:r>
        <w:t xml:space="preserve"> </w:t>
      </w:r>
      <w:r>
        <w:t xml:space="preserve">kept zero-centred, because the second-language signature of these effects is qualitatively</w:t>
      </w:r>
      <w:r>
        <w:t xml:space="preserve"> </w:t>
      </w:r>
      <w:r>
        <w:t xml:space="preserve">contested</w:t>
      </w:r>
      <w:r>
        <w:t xml:space="preserve"> </w:t>
      </w:r>
      <w:r>
        <w:t xml:space="preserve">(</w:t>
      </w:r>
      <w:hyperlink w:anchor="ref-chen2007">
        <w:r>
          <w:rPr>
            <w:rStyle w:val="Hyperlink"/>
          </w:rPr>
          <w:t xml:space="preserve">Chen et al., 2007</w:t>
        </w:r>
      </w:hyperlink>
      <w:r>
        <w:t xml:space="preserve">;</w:t>
      </w:r>
      <w:r>
        <w:t xml:space="preserve"> </w:t>
      </w:r>
      <w:hyperlink w:anchor="ref-mueller2009">
        <w:r>
          <w:rPr>
            <w:rStyle w:val="Hyperlink"/>
          </w:rPr>
          <w:t xml:space="preserve">Mueller et al., 2009</w:t>
        </w:r>
      </w:hyperlink>
      <w:r>
        <w:t xml:space="preserve">)</w:t>
      </w:r>
      <w:r>
        <w:t xml:space="preserve"> </w:t>
      </w:r>
      <w:r>
        <w:t xml:space="preserve">and proficiency-dependent</w:t>
      </w:r>
      <w:r>
        <w:t xml:space="preserve"> </w:t>
      </w:r>
      <w:r>
        <w:t xml:space="preserve">(</w:t>
      </w:r>
      <w:hyperlink w:anchor="ref-caffarra2015">
        <w:r>
          <w:rPr>
            <w:rStyle w:val="Hyperlink"/>
          </w:rPr>
          <w:t xml:space="preserve">Caffarra et al., 2015</w:t>
        </w:r>
      </w:hyperlink>
      <w:r>
        <w:t xml:space="preserve">)</w:t>
      </w:r>
      <w:r>
        <w:t xml:space="preserve">. The priors</w:t>
      </w:r>
      <w:r>
        <w:t xml:space="preserve"> </w:t>
      </w:r>
      <w:r>
        <w:t xml:space="preserve">thus inform the model where the evidence is strong without biasing the effects we set out</w:t>
      </w:r>
      <w:r>
        <w:t xml:space="preserve"> </w:t>
      </w:r>
      <w:r>
        <w:t xml:space="preserve">to estimate.</w:t>
      </w:r>
    </w:p>
    <w:p>
      <w:pPr>
        <w:pStyle w:val="BodyText"/>
      </w:pPr>
      <w:r>
        <w:t xml:space="preserve">For the accuracy models, artificial-language learners judge grammaticality well above</w:t>
      </w:r>
      <w:r>
        <w:t xml:space="preserve"> </w:t>
      </w:r>
      <w:r>
        <w:t xml:space="preserve">chance and improve across successive test blocks even under mere exposure, without</w:t>
      </w:r>
      <w:r>
        <w:t xml:space="preserve"> </w:t>
      </w:r>
      <w:r>
        <w:t xml:space="preserve">explicit instruction or feedback</w:t>
      </w:r>
      <w:r>
        <w:t xml:space="preserve"> </w:t>
      </w:r>
      <w:r>
        <w:t xml:space="preserve">(</w:t>
      </w:r>
      <w:hyperlink w:anchor="ref-mueller2009">
        <w:r>
          <w:rPr>
            <w:rStyle w:val="Hyperlink"/>
          </w:rPr>
          <w:t xml:space="preserve">Mueller et al., 2009</w:t>
        </w:r>
      </w:hyperlink>
      <w:r>
        <w:t xml:space="preserve">)</w:t>
      </w:r>
      <w:r>
        <w:t xml:space="preserve">, motivating a positive intercept and a</w:t>
      </w:r>
      <w:r>
        <w:t xml:space="preserve"> </w:t>
      </w:r>
      <w:r>
        <w:t xml:space="preserve">positive session slope. Random-effect standard deviations, and the residual standard</w:t>
      </w:r>
      <w:r>
        <w:t xml:space="preserve"> </w:t>
      </w:r>
      <w:r>
        <w:t xml:space="preserve">deviation of the ERP models, received a generous half–Student-</w:t>
      </w:r>
      <m:oMath>
        <m:r>
          <m:t>t</m:t>
        </m:r>
      </m:oMath>
      <w:r>
        <w:t xml:space="preserve"> </w:t>
      </w:r>
      <w:r>
        <w:t xml:space="preserve">prior, a weakly</w:t>
      </w:r>
      <w:r>
        <w:t xml:space="preserve"> </w:t>
      </w:r>
      <w:r>
        <w:t xml:space="preserve">informative default for variance parameters in hierarchical models</w:t>
      </w:r>
      <w:r>
        <w:t xml:space="preserve"> </w:t>
      </w:r>
      <w:r>
        <w:t xml:space="preserve">(</w:t>
      </w:r>
      <w:hyperlink w:anchor="ref-gelman2006">
        <w:r>
          <w:rPr>
            <w:rStyle w:val="Hyperlink"/>
          </w:rPr>
          <w:t xml:space="preserve">Gelman, 2006</w:t>
        </w:r>
      </w:hyperlink>
      <w:r>
        <w:t xml:space="preserve">)</w:t>
      </w:r>
      <w:r>
        <w:t xml:space="preserve">.</w:t>
      </w:r>
      <w:r>
        <w:t xml:space="preserve"> </w:t>
      </w:r>
      <w:hyperlink w:anchor="tbl-priors">
        <w:r>
          <w:rPr>
            <w:rStyle w:val="Hyperlink"/>
          </w:rPr>
          <w:t xml:space="preserve">Table C1</w:t>
        </w:r>
      </w:hyperlink>
      <w:r>
        <w:t xml:space="preserve"> </w:t>
      </w:r>
      <w:r>
        <w:t xml:space="preserve">in</w:t>
      </w:r>
      <w:r>
        <w:t xml:space="preserve"> </w:t>
      </w:r>
      <w:hyperlink w:anchor="apx-prior-specifications">
        <w:r>
          <w:rPr>
            <w:rStyle w:val="Hyperlink"/>
          </w:rPr>
          <w:t xml:space="preserve">Appendix C</w:t>
        </w:r>
      </w:hyperlink>
      <w:r>
        <w:t xml:space="preserve"> </w:t>
      </w:r>
      <w:r>
        <w:t xml:space="preserve">gives the distribution placed on every parameter. A generous prior is warranted here because between-participant variation in</w:t>
      </w:r>
      <w:r>
        <w:t xml:space="preserve"> </w:t>
      </w:r>
      <w:r>
        <w:t xml:space="preserve">the morphosyntactic ERP response is not incidental noise.</w:t>
      </w:r>
      <w:r>
        <w:t xml:space="preserve"> </w:t>
      </w:r>
      <w:r>
        <w:t xml:space="preserve">Tanner and Van Hell (</w:t>
      </w:r>
      <w:hyperlink w:anchor="ref-tanner2014">
        <w:r>
          <w:rPr>
            <w:rStyle w:val="Hyperlink"/>
          </w:rPr>
          <w:t xml:space="preserve">2014</w:t>
        </w:r>
      </w:hyperlink>
      <w:r>
        <w:t xml:space="preserve">)</w:t>
      </w:r>
      <w:r>
        <w:t xml:space="preserve"> </w:t>
      </w:r>
      <w:r>
        <w:t xml:space="preserve">found that although</w:t>
      </w:r>
      <w:r>
        <w:t xml:space="preserve"> </w:t>
      </w:r>
      <w:r>
        <w:t xml:space="preserve">the grand mean showed the usual biphasic LAN–P600 pattern, individual responses varied</w:t>
      </w:r>
      <w:r>
        <w:t xml:space="preserve"> </w:t>
      </w:r>
      <w:r>
        <w:t xml:space="preserve">systematically along a continuum between negativity-dominant and positivity-dominant, so</w:t>
      </w:r>
      <w:r>
        <w:t xml:space="preserve"> </w:t>
      </w:r>
      <w:r>
        <w:t xml:space="preserve">participants differ in the form of the response and not only in its size. Modelling that</w:t>
      </w:r>
      <w:r>
        <w:t xml:space="preserve"> </w:t>
      </w:r>
      <w:r>
        <w:t xml:space="preserve">variation as a random effect over single trials, instead of averaging across it, is the</w:t>
      </w:r>
      <w:r>
        <w:t xml:space="preserve"> </w:t>
      </w:r>
      <w:r>
        <w:t xml:space="preserve">approach</w:t>
      </w:r>
      <w:r>
        <w:t xml:space="preserve"> </w:t>
      </w:r>
      <w:r>
        <w:t xml:space="preserve">Volpert-Esmond et al. (</w:t>
      </w:r>
      <w:hyperlink w:anchor="ref-volpertesmond2021">
        <w:r>
          <w:rPr>
            <w:rStyle w:val="Hyperlink"/>
          </w:rPr>
          <w:t xml:space="preserve">2021</w:t>
        </w:r>
      </w:hyperlink>
      <w:r>
        <w:t xml:space="preserve">)</w:t>
      </w:r>
      <w:r>
        <w:t xml:space="preserve"> </w:t>
      </w:r>
      <w:r>
        <w:t xml:space="preserve">set out for ERP data. Random-effect correlation</w:t>
      </w:r>
      <w:r>
        <w:t xml:space="preserve"> </w:t>
      </w:r>
      <w:r>
        <w:t xml:space="preserve">matrices received an</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w:t>
      </w:r>
      <w:r>
        <w:t xml:space="preserve"> </w:t>
      </w:r>
      <w:r>
        <w:t xml:space="preserve">(</w:t>
      </w:r>
      <w:hyperlink w:anchor="ref-lewandowski2009">
        <w:r>
          <w:rPr>
            <w:rStyle w:val="Hyperlink"/>
          </w:rPr>
          <w:t xml:space="preserve">Lewandowski et al., 2009</w:t>
        </w:r>
      </w:hyperlink>
      <w:r>
        <w:t xml:space="preserve">)</w:t>
      </w:r>
      <w:r>
        <w:t xml:space="preserve">. The literature does not</w:t>
      </w:r>
      <w:r>
        <w:t xml:space="preserve"> </w:t>
      </w:r>
      <w:r>
        <w:t xml:space="preserve">supply a defensible microvolt effect size for these components (even systematic resampling</w:t>
      </w:r>
      <w:r>
        <w:t xml:space="preserve"> </w:t>
      </w:r>
      <w:r>
        <w:t xml:space="preserve">finds the magnitude of the P600 to vary widely across samples,</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Prior means therefore encode only sign and a regularised magnitude, and their influence is</w:t>
      </w:r>
      <w:r>
        <w:t xml:space="preserve"> </w:t>
      </w:r>
      <w:r>
        <w:t xml:space="preserve">bounded by deliberately wide standard deviations. Prior</w:t>
      </w:r>
      <w:r>
        <w:t xml:space="preserve"> </w:t>
      </w:r>
      <w:r>
        <w:t xml:space="preserve">predictive simulation confirmed that the priors imply amplitude and accuracy distributions</w:t>
      </w:r>
      <w:r>
        <w:t xml:space="preserve"> </w:t>
      </w:r>
      <w:r>
        <w:t xml:space="preserve">that encompass the observed data (</w:t>
      </w:r>
      <w:hyperlink w:anchor="fig-priorpc">
        <w:r>
          <w:rPr>
            <w:rStyle w:val="Hyperlink"/>
          </w:rPr>
          <w:t xml:space="preserve">Figure 6</w:t>
        </w:r>
      </w:hyperlink>
      <w:r>
        <w:t xml:space="preserve">). Every model in the grid, under both</w:t>
      </w:r>
      <w:r>
        <w:t xml:space="preserve"> </w:t>
      </w:r>
      <w:r>
        <w:t xml:space="preserve">random-effect structures, and every accuracy model was also refitted on the same data,</w:t>
      </w:r>
      <w:r>
        <w:t xml:space="preserve"> </w:t>
      </w:r>
      <w:r>
        <w:t xml:space="preserve">as a sensitivity analysis, under the former weakly informative priors of</w:t>
      </w:r>
      <w:r>
        <w:t xml:space="preserve"> </w:t>
      </w:r>
      <m:oMath>
        <m:r>
          <m:rPr>
            <m:scr m:val="script"/>
            <m:sty m:val="p"/>
          </m:rPr>
          <m:t>N</m:t>
        </m:r>
        <m:r>
          <m:rPr>
            <m:sty m:val="p"/>
          </m:rPr>
          <m:t>(</m:t>
        </m:r>
        <m:r>
          <m:t>0</m:t>
        </m:r>
        <m:r>
          <m:rPr>
            <m:sty m:val="p"/>
          </m:rPr>
          <m:t>,</m:t>
        </m:r>
        <m:r>
          <m:t>1</m:t>
        </m:r>
        <m:r>
          <m:rPr>
            <m:sty m:val="p"/>
          </m:rPr>
          <m:t>)</m:t>
        </m:r>
      </m:oMath>
      <w:r>
        <w:t xml:space="preserve"> </w:t>
      </w:r>
      <w:r>
        <w:t xml:space="preserve">and</w:t>
      </w:r>
      <w:r>
        <w:t xml:space="preserve"> </w:t>
      </w:r>
      <m:oMath>
        <m:r>
          <m:rPr>
            <m:scr m:val="script"/>
            <m:sty m:val="p"/>
          </m:rPr>
          <m:t>N</m:t>
        </m:r>
        <m:r>
          <m:rPr>
            <m:sty m:val="p"/>
          </m:rPr>
          <m:t>(</m:t>
        </m:r>
        <m:r>
          <m:t>0</m:t>
        </m:r>
        <m:r>
          <m:rPr>
            <m:sty m:val="p"/>
          </m:rPr>
          <m:t>,</m:t>
        </m:r>
        <m:r>
          <m:t>1.5</m:t>
        </m:r>
        <m:r>
          <m:rPr>
            <m:sty m:val="p"/>
          </m:rPr>
          <m:t>)</m:t>
        </m:r>
      </m:oMath>
      <w:r>
        <w:t xml:space="preserve">, and the estimates were essentially</w:t>
      </w:r>
      <w:r>
        <w:t xml:space="preserve"> </w:t>
      </w:r>
      <w:r>
        <w:t xml:space="preserve">unchanged. The retention-free refits were fitted under the informative priors only. The largest</w:t>
      </w:r>
      <w:r>
        <w:t xml:space="preserve"> </w:t>
      </w:r>
      <w:r>
        <w:t xml:space="preserve">shift in any grammaticality term was 0.0008 on the within-participant</w:t>
      </w:r>
      <w:r>
        <w:t xml:space="preserve"> </w:t>
      </w:r>
      <w:r>
        <w:t xml:space="preserve">standardised scale for the ERP models and 0.049 in</w:t>
      </w:r>
      <w:r>
        <w:t xml:space="preserve"> </w:t>
      </w:r>
      <w:r>
        <w:t xml:space="preserve">log-odds for the accuracy models. No grammaticality term’s credible interval changed</w:t>
      </w:r>
      <w:r>
        <w:t xml:space="preserve"> </w:t>
      </w:r>
      <w:r>
        <w:t xml:space="preserve">width by more than 2.6% in the ERP models or</w:t>
      </w:r>
      <w:r>
        <w:t xml:space="preserve"> </w:t>
      </w:r>
      <w:r>
        <w:t xml:space="preserve">2.8% in the accuracy models. Taken over every</w:t>
      </w:r>
      <w:r>
        <w:t xml:space="preserve"> </w:t>
      </w:r>
      <w:r>
        <w:t xml:space="preserve">reported parameter, the largest width change</w:t>
      </w:r>
      <w:r>
        <w:t xml:space="preserve"> </w:t>
      </w:r>
      <w:r>
        <w:t xml:space="preserve">was 7.3%. The informative priors therefore regularise without driving the</w:t>
      </w:r>
      <w:r>
        <w:t xml:space="preserve"> </w:t>
      </w:r>
      <w:r>
        <w:t xml:space="preserve">conclusions</w:t>
      </w:r>
      <w:r>
        <w:t xml:space="preserve"> </w:t>
      </w:r>
      <w:r>
        <w:t xml:space="preserve">(</w:t>
      </w:r>
      <w:hyperlink w:anchor="ref-depaoli2017">
        <w:r>
          <w:rPr>
            <w:rStyle w:val="Hyperlink"/>
          </w:rPr>
          <w:t xml:space="preserve">Depaoli &amp; van de Schoot, 2017</w:t>
        </w:r>
      </w:hyperlink>
      <w:r>
        <w:t xml:space="preserve">;</w:t>
      </w:r>
      <w:r>
        <w:t xml:space="preserve"> </w:t>
      </w:r>
      <w:hyperlink w:anchor="ref-schad2021">
        <w:r>
          <w:rPr>
            <w:rStyle w:val="Hyperlink"/>
          </w:rPr>
          <w:t xml:space="preserve">Schad et al., 2021</w:t>
        </w:r>
      </w:hyperlink>
      <w:r>
        <w:t xml:space="preserve">;</w:t>
      </w:r>
      <w:r>
        <w:t xml:space="preserve"> </w:t>
      </w:r>
      <w:hyperlink w:anchor="ref-vandeschoot2021">
        <w:r>
          <w:rPr>
            <w:rStyle w:val="Hyperlink"/>
          </w:rPr>
          <w:t xml:space="preserve">van de Schoot et al., 2021</w:t>
        </w:r>
      </w:hyperlink>
      <w:r>
        <w:t xml:space="preserve">)</w:t>
      </w:r>
      <w:r>
        <w:t xml:space="preserve">. The smallest of the credible</w:t>
      </w:r>
      <w:r>
        <w:t xml:space="preserve"> </w:t>
      </w:r>
      <w:r>
        <w:t xml:space="preserve">transfer effects (differential object marking, late lateral window) is unchanged under the</w:t>
      </w:r>
      <w:r>
        <w:t xml:space="preserve"> </w:t>
      </w:r>
      <w:r>
        <w:t xml:space="preserve">weak priors</w:t>
      </w:r>
      <w:r>
        <w:t xml:space="preserve"> </w:t>
      </w:r>
      <w:r>
        <w:t xml:space="preserve">(</w:t>
      </w:r>
      <m:oMath>
        <m:r>
          <m:t>b</m:t>
        </m:r>
        <m:r>
          <m:rPr>
            <m:sty m:val="p"/>
          </m:rPr>
          <m:t>=</m:t>
        </m:r>
        <m:r>
          <m:rPr>
            <m:sty m:val="p"/>
          </m:rPr>
          <m:t>−</m:t>
        </m:r>
        <m:r>
          <m:t>0.011</m:t>
        </m:r>
      </m:oMath>
      <w:r>
        <w:t xml:space="preserve">, 95% CrI</w:t>
      </w:r>
      <w:r>
        <w:t xml:space="preserve"> </w:t>
      </w:r>
      <m:oMath>
        <m:r>
          <m:rPr>
            <m:sty m:val="p"/>
          </m:rPr>
          <m:t>[</m:t>
        </m:r>
        <m:r>
          <m:rPr>
            <m:sty m:val="p"/>
          </m:rPr>
          <m:t>−</m:t>
        </m:r>
        <m:r>
          <m:t>0.020</m:t>
        </m:r>
        <m:r>
          <m:rPr>
            <m:sty m:val="p"/>
          </m:rPr>
          <m:t>,</m:t>
        </m:r>
        <m:r>
          <m:rPr>
            <m:sty m:val="p"/>
          </m:rPr>
          <m:t>−</m:t>
        </m:r>
        <m:r>
          <m:t>0.003</m:t>
        </m:r>
        <m:r>
          <m:rPr>
            <m:sty m:val="p"/>
          </m:rPr>
          <m:t>]</m:t>
        </m:r>
      </m:oMath>
      <w:r>
        <w:t xml:space="preserve">,</w:t>
      </w:r>
      <w:r>
        <w:t xml:space="preserve"> </w:t>
      </w:r>
      <m:oMath>
        <m:sSub>
          <m:e>
            <m:r>
              <m:t>p</m:t>
            </m:r>
          </m:e>
          <m:sub>
            <m:r>
              <m:t>d</m:t>
            </m:r>
          </m:sub>
        </m:sSub>
        <m:r>
          <m:rPr>
            <m:sty m:val="p"/>
          </m:rPr>
          <m:t>=</m:t>
        </m:r>
        <m:r>
          <m:t>.997</m:t>
        </m:r>
      </m:oMath>
      <w:r>
        <w:t xml:space="preserve">),</w:t>
      </w:r>
      <w:r>
        <w:t xml:space="preserve"> </w:t>
      </w:r>
      <w:r>
        <w:t xml:space="preserve">so its credibility does not depend on them.</w:t>
      </w:r>
    </w:p>
    <w:bookmarkStart w:id="85" w:name="fig-priorpc"/>
    <w:p>
      <w:pPr>
        <w:pStyle w:val="FigureTitle"/>
      </w:pPr>
      <w:r>
        <w:t xml:space="preserve">Figure 6</w:t>
      </w:r>
    </w:p>
    <w:p>
      <w:pPr>
        <w:pStyle w:val="Caption"/>
      </w:pPr>
      <w:r>
        <w:t xml:space="preserve">Prior Predictive Check for a Representative Model</w:t>
      </w:r>
    </w:p>
    <w:p>
      <w:pPr>
        <w:pStyle w:val="FigureWithNote"/>
      </w:pPr>
      <w:r>
        <w:drawing>
          <wp:inline>
            <wp:extent cx="4279392" cy="2852928"/>
            <wp:effectExtent b="0" l="0" r="0" t="0"/>
            <wp:docPr descr="" title="" id="83" name="Picture"/>
            <a:graphic>
              <a:graphicData uri="http://schemas.openxmlformats.org/drawingml/2006/picture">
                <pic:pic>
                  <pic:nvPicPr>
                    <pic:cNvPr descr="figures/prior_predictive_check.png" id="84" name="Picture"/>
                    <pic:cNvPicPr>
                      <a:picLocks noChangeArrowheads="1" noChangeAspect="1"/>
                    </pic:cNvPicPr>
                  </pic:nvPicPr>
                  <pic:blipFill>
                    <a:blip r:embed="rId82"/>
                    <a:stretch>
                      <a:fillRect/>
                    </a:stretch>
                  </pic:blipFill>
                  <pic:spPr bwMode="auto">
                    <a:xfrm>
                      <a:off x="0" y="0"/>
                      <a:ext cx="4279392" cy="2852928"/>
                    </a:xfrm>
                    <a:prstGeom prst="rect">
                      <a:avLst/>
                    </a:prstGeom>
                    <a:noFill/>
                    <a:ln w="9525">
                      <a:noFill/>
                      <a:headEnd/>
                      <a:tailEnd/>
                    </a:ln>
                  </pic:spPr>
                </pic:pic>
              </a:graphicData>
            </a:graphic>
          </wp:inline>
        </w:drawing>
      </w:r>
    </w:p>
    <w:bookmarkEnd w:id="85"/>
    <w:p>
      <w:pPr>
        <w:pStyle w:val="FigureNote"/>
      </w:pPr>
      <w:r>
        <w:rPr>
          <w:i/>
          <w:iCs/>
        </w:rPr>
        <w:t xml:space="preserve">Note</w:t>
      </w:r>
      <w:r>
        <w:t xml:space="preserve">. The model is subject–verb gender agreement, 400–900 ms midline. Light lines are datasets simulated from the priors alone, with the likelihood switched off, and the dark line is the observed within-participant z-scored single-trial amplitudes. The prior predictive distribution comfortably encompasses the observed data, so the priors are not in conflict with it. The horizontal axis spans the full range of the prior draws, which reach far beyond the observed range. That is the intended behaviour of wide priors on a standardised scale, and it is why the observed density appears compressed near zero. The check therefore establishes that the priors generate data of a plausible order of magnitude, not that they are tightly calibrated to the observed distribution.</w:t>
      </w:r>
    </w:p>
    <w:bookmarkEnd w:id="86"/>
    <w:bookmarkStart w:id="87" w:name="sampler-settings-and-convergence"/>
    <w:p>
      <w:pPr>
        <w:pStyle w:val="Heading3"/>
      </w:pPr>
      <w:r>
        <w:t xml:space="preserve">Sampler settings and convergence</w:t>
      </w:r>
    </w:p>
    <w:p>
      <w:pPr>
        <w:pStyle w:val="FirstParagraph"/>
      </w:pPr>
      <w:r>
        <w:t xml:space="preserve">Each model was run with four chains of 10,000 iterations, the first 2,000 of each</w:t>
      </w:r>
      <w:r>
        <w:t xml:space="preserve"> </w:t>
      </w:r>
      <w:r>
        <w:t xml:space="preserve">discarded as warm-up, with</w:t>
      </w:r>
      <w:r>
        <w:t xml:space="preserve"> </w:t>
      </w:r>
      <w:r>
        <w:rPr>
          <w:rStyle w:val="VerbatimChar"/>
        </w:rPr>
        <w:t xml:space="preserve">adapt_delta = 0.95</w:t>
      </w:r>
      <w:r>
        <w:t xml:space="preserve"> </w:t>
      </w:r>
      <w:r>
        <w:t xml:space="preserve">and</w:t>
      </w:r>
      <w:r>
        <w:t xml:space="preserve"> </w:t>
      </w:r>
      <w:r>
        <w:rPr>
          <w:rStyle w:val="VerbatimChar"/>
        </w:rPr>
        <w:t xml:space="preserve">max_treedepth = 12</w:t>
      </w:r>
      <w:r>
        <w:t xml:space="preserve"> </w:t>
      </w:r>
      <w:r>
        <w:t xml:space="preserve">to accommodate the</w:t>
      </w:r>
      <w:r>
        <w:t xml:space="preserve"> </w:t>
      </w:r>
      <w:r>
        <w:t xml:space="preserve">challenging geometry of maximal multilevel posteriors. Convergence was assessed</w:t>
      </w:r>
      <w:r>
        <w:t xml:space="preserve"> </w:t>
      </w:r>
      <w:r>
        <w:t xml:space="preserve">with the rank-normalised split-</w:t>
      </w:r>
      <m:oMath>
        <m:acc>
          <m:accPr>
            <m:chr m:val="̂"/>
          </m:accPr>
          <m:e>
            <m:r>
              <m:t>R</m:t>
            </m:r>
          </m:e>
        </m:acc>
      </m:oMath>
      <w:r>
        <w:t xml:space="preserve"> </w:t>
      </w:r>
      <w:r>
        <w:t xml:space="preserve">and bulk/tail effective sample sizes</w:t>
      </w:r>
      <w:r>
        <w:t xml:space="preserve"> </w:t>
      </w:r>
      <w:r>
        <w:t xml:space="preserve">(</w:t>
      </w:r>
      <w:hyperlink w:anchor="ref-vehtari2021">
        <w:r>
          <w:rPr>
            <w:rStyle w:val="Hyperlink"/>
          </w:rPr>
          <w:t xml:space="preserve">Vehtari et al., 2021</w:t>
        </w:r>
      </w:hyperlink>
      <w:r>
        <w:t xml:space="preserve">)</w:t>
      </w:r>
      <w:r>
        <w:t xml:space="preserve">, requiring</w:t>
      </w:r>
      <w:r>
        <w:t xml:space="preserve"> </w:t>
      </w:r>
      <m:oMath>
        <m:acc>
          <m:accPr>
            <m:chr m:val="̂"/>
          </m:accPr>
          <m:e>
            <m:r>
              <m:t>R</m:t>
            </m:r>
          </m:e>
        </m:acc>
        <m:r>
          <m:rPr>
            <m:sty m:val="p"/>
          </m:rPr>
          <m:t>&lt;</m:t>
        </m:r>
        <m:r>
          <m:t>1.01</m:t>
        </m:r>
      </m:oMath>
      <w:r>
        <w:t xml:space="preserve">, bulk- and tail-ESS</w:t>
      </w:r>
      <w:r>
        <w:t xml:space="preserve"> </w:t>
      </w:r>
      <m:oMath>
        <m:r>
          <m:rPr>
            <m:sty m:val="p"/>
          </m:rPr>
          <m:t>&gt;</m:t>
        </m:r>
        <m:r>
          <m:t>400</m:t>
        </m:r>
      </m:oMath>
      <w:r>
        <w:t xml:space="preserve">, and</w:t>
      </w:r>
      <w:r>
        <w:t xml:space="preserve"> </w:t>
      </w:r>
      <w:r>
        <w:t xml:space="preserve">no divergent transitions. Model fit was checked with posterior predictive checks</w:t>
      </w:r>
      <w:r>
        <w:t xml:space="preserve"> </w:t>
      </w:r>
      <w:r>
        <w:t xml:space="preserve">(</w:t>
      </w:r>
      <w:hyperlink w:anchor="ref-gabry2019">
        <w:r>
          <w:rPr>
            <w:rStyle w:val="Hyperlink"/>
          </w:rPr>
          <w:t xml:space="preserve">Gabry et al., 2019</w:t>
        </w:r>
      </w:hyperlink>
      <w:r>
        <w:t xml:space="preserve">)</w:t>
      </w:r>
      <w:r>
        <w:t xml:space="preserve">. These two thresholds do different jobs. An</w:t>
      </w:r>
      <w:r>
        <w:t xml:space="preserve"> </w:t>
      </w:r>
      <w:r>
        <w:t xml:space="preserve">effective sample size of 400 (at least 100 per chain) is the point at which the</w:t>
      </w:r>
      <w:r>
        <w:t xml:space="preserve"> </w:t>
      </w:r>
      <m:oMath>
        <m:acc>
          <m:accPr>
            <m:chr m:val="̂"/>
          </m:accPr>
          <m:e>
            <m:r>
              <m:t>R</m:t>
            </m:r>
          </m:e>
        </m:acc>
      </m:oMath>
      <w:r>
        <w:t xml:space="preserve"> </w:t>
      </w:r>
      <w:r>
        <w:t xml:space="preserve">and ESS diagnostics are themselves reliable</w:t>
      </w:r>
      <w:r>
        <w:t xml:space="preserve"> </w:t>
      </w:r>
      <w:r>
        <w:t xml:space="preserve">(</w:t>
      </w:r>
      <w:hyperlink w:anchor="ref-vehtari2021">
        <w:r>
          <w:rPr>
            <w:rStyle w:val="Hyperlink"/>
          </w:rPr>
          <w:t xml:space="preserve">Vehtari et al., 2021</w:t>
        </w:r>
      </w:hyperlink>
      <w:r>
        <w:t xml:space="preserve">)</w:t>
      </w:r>
      <w:r>
        <w:t xml:space="preserve">. The stability of a</w:t>
      </w:r>
      <w:r>
        <w:t xml:space="preserve"> </w:t>
      </w:r>
      <w:r>
        <w:t xml:space="preserve">95% interval limit is a more demanding requirement, because extreme quantiles are estimated</w:t>
      </w:r>
      <w:r>
        <w:t xml:space="preserve"> </w:t>
      </w:r>
      <w:r>
        <w:t xml:space="preserve">far less efficiently than a posterior mean</w:t>
      </w:r>
      <w:r>
        <w:t xml:space="preserve"> </w:t>
      </w:r>
      <w:r>
        <w:t xml:space="preserve">(</w:t>
      </w:r>
      <w:hyperlink w:anchor="ref-kruschke2021">
        <w:r>
          <w:rPr>
            <w:rStyle w:val="Hyperlink"/>
          </w:rPr>
          <w:t xml:space="preserve">Kruschke, 2021</w:t>
        </w:r>
      </w:hyperlink>
      <w:r>
        <w:t xml:space="preserve">)</w:t>
      </w:r>
      <w:r>
        <w:t xml:space="preserve">. The realised sampling is</w:t>
      </w:r>
      <w:r>
        <w:t xml:space="preserve"> </w:t>
      </w:r>
      <w:r>
        <w:t xml:space="preserve">substantially above these thresholds (the lowest bulk- and tail-ESS over all parameters of</w:t>
      </w:r>
      <w:r>
        <w:t xml:space="preserve"> </w:t>
      </w:r>
      <w:r>
        <w:t xml:space="preserve">all models are reported in</w:t>
      </w:r>
      <w:r>
        <w:t xml:space="preserve"> </w:t>
      </w:r>
      <w:hyperlink w:anchor="tbl-convergence-appendix">
        <w:r>
          <w:rPr>
            <w:rStyle w:val="Hyperlink"/>
          </w:rPr>
          <w:t xml:space="preserve">Table D1</w:t>
        </w:r>
      </w:hyperlink>
      <w:r>
        <w:t xml:space="preserve"> </w:t>
      </w:r>
      <w:r>
        <w:t xml:space="preserve">in</w:t>
      </w:r>
      <w:r>
        <w:t xml:space="preserve"> </w:t>
      </w:r>
      <w:hyperlink w:anchor="apx-convergence-diagnostics">
        <w:r>
          <w:rPr>
            <w:rStyle w:val="Hyperlink"/>
          </w:rPr>
          <w:t xml:space="preserve">Appendix D</w:t>
        </w:r>
      </w:hyperlink>
      <w:r>
        <w:t xml:space="preserve">).</w:t>
      </w:r>
      <w:r>
        <w:t xml:space="preserve"> </w:t>
      </w:r>
      <w:r>
        <w:t xml:space="preserve">Coefficients whose intervals lie close to zero should nonetheless be treated as</w:t>
      </w:r>
      <w:r>
        <w:t xml:space="preserve"> </w:t>
      </w:r>
      <w:r>
        <w:t xml:space="preserve">borderline.</w:t>
      </w:r>
    </w:p>
    <w:bookmarkEnd w:id="87"/>
    <w:bookmarkStart w:id="88" w:name="inference"/>
    <w:p>
      <w:pPr>
        <w:pStyle w:val="Heading3"/>
      </w:pPr>
      <w:r>
        <w:t xml:space="preserve">Inference</w:t>
      </w:r>
    </w:p>
    <w:p>
      <w:pPr>
        <w:pStyle w:val="FirstParagraph"/>
      </w:pPr>
      <w:r>
        <w:t xml:space="preserve">We summarise each effect by its posterior median, 95% credible interval (CrI) and</w:t>
      </w:r>
      <w:r>
        <w:t xml:space="preserve"> </w:t>
      </w:r>
      <w:r>
        <w:t xml:space="preserve">probability of direction (</w:t>
      </w:r>
      <m:oMath>
        <m:sSub>
          <m:e>
            <m:r>
              <m:t>p</m:t>
            </m:r>
          </m:e>
          <m:sub>
            <m:r>
              <m:t>d</m:t>
            </m:r>
          </m:sub>
        </m:sSub>
      </m:oMath>
      <w:r>
        <w:t xml:space="preserve">, the posterior probability that the effect has its</w:t>
      </w:r>
      <w:r>
        <w:t xml:space="preserve"> </w:t>
      </w:r>
      <w:r>
        <w:t xml:space="preserve">median’s sign), an estimation-first approach that avoids dichotomous</w:t>
      </w:r>
      <w:r>
        <w:t xml:space="preserve"> </w:t>
      </w:r>
      <w:r>
        <w:t xml:space="preserve">null-hypothesis testing</w:t>
      </w:r>
      <w:r>
        <w:t xml:space="preserve"> </w:t>
      </w:r>
      <w:r>
        <w:t xml:space="preserve">(</w:t>
      </w:r>
      <w:hyperlink w:anchor="ref-makowski2019">
        <w:r>
          <w:rPr>
            <w:rStyle w:val="Hyperlink"/>
          </w:rPr>
          <w:t xml:space="preserve">Makowski et al., 2019</w:t>
        </w:r>
      </w:hyperlink>
      <w:r>
        <w:t xml:space="preserve">)</w:t>
      </w:r>
      <w:r>
        <w:t xml:space="preserve">. We describe an effect as</w:t>
      </w:r>
      <w:r>
        <w:t xml:space="preserve"> </w:t>
      </w:r>
      <w:r>
        <w:rPr>
          <w:i/>
          <w:iCs/>
        </w:rPr>
        <w:t xml:space="preserve">credible</w:t>
      </w:r>
      <w:r>
        <w:t xml:space="preserve"> </w:t>
      </w:r>
      <w:r>
        <w:t xml:space="preserve">when its 95%</w:t>
      </w:r>
      <w:r>
        <w:t xml:space="preserve"> </w:t>
      </w:r>
      <w:r>
        <w:t xml:space="preserve">credible interval excludes zero, and otherwise read</w:t>
      </w:r>
      <w:r>
        <w:t xml:space="preserve"> </w:t>
      </w:r>
      <m:oMath>
        <m:sSub>
          <m:e>
            <m:r>
              <m:t>p</m:t>
            </m:r>
          </m:e>
          <m:sub>
            <m:r>
              <m:t>d</m:t>
            </m:r>
          </m:sub>
        </m:sSub>
      </m:oMath>
      <w:r>
        <w:t xml:space="preserve"> </w:t>
      </w:r>
      <w:r>
        <w:t xml:space="preserve">as a continuous index of</w:t>
      </w:r>
      <w:r>
        <w:t xml:space="preserve"> </w:t>
      </w:r>
      <w:r>
        <w:t xml:space="preserve">directional certainty</w:t>
      </w:r>
      <w:r>
        <w:t xml:space="preserve"> </w:t>
      </w:r>
      <w:r>
        <w:t xml:space="preserve">(</w:t>
      </w:r>
      <w:hyperlink w:anchor="ref-kruschke2018">
        <w:r>
          <w:rPr>
            <w:rStyle w:val="Hyperlink"/>
          </w:rPr>
          <w:t xml:space="preserve">Kruschke &amp; Liddell, 2018</w:t>
        </w:r>
      </w:hyperlink>
      <w:r>
        <w:t xml:space="preserve">)</w:t>
      </w:r>
      <w:r>
        <w:t xml:space="preserve">. All</w:t>
      </w:r>
      <w:r>
        <w:t xml:space="preserve"> </w:t>
      </w:r>
      <w:r>
        <w:t xml:space="preserve">credible intervals are equal-tailed quantile intervals bounded by the 2.5th and 97.5th</w:t>
      </w:r>
      <w:r>
        <w:t xml:space="preserve"> </w:t>
      </w:r>
      <w:r>
        <w:t xml:space="preserve">percentiles of the posterior draws. For a skewed</w:t>
      </w:r>
      <w:r>
        <w:t xml:space="preserve"> </w:t>
      </w:r>
      <w:r>
        <w:t xml:space="preserve">posterior, an equal-tailed and a highest-density interval can differ in whether they</w:t>
      </w:r>
      <w:r>
        <w:t xml:space="preserve"> </w:t>
      </w:r>
      <w:r>
        <w:t xml:space="preserve">contain zero, so the choice is stated</w:t>
      </w:r>
      <w:r>
        <w:t xml:space="preserve"> </w:t>
      </w:r>
      <w:r>
        <w:t xml:space="preserve">(</w:t>
      </w:r>
      <w:hyperlink w:anchor="ref-kruschke2021">
        <w:r>
          <w:rPr>
            <w:rStyle w:val="Hyperlink"/>
          </w:rPr>
          <w:t xml:space="preserve">Kruschke, 2021</w:t>
        </w:r>
      </w:hyperlink>
      <w:r>
        <w:t xml:space="preserve">)</w:t>
      </w:r>
      <w:r>
        <w:t xml:space="preserve">. Within each model, hierarchical shrinkage</w:t>
      </w:r>
      <w:r>
        <w:t xml:space="preserve"> </w:t>
      </w:r>
      <w:r>
        <w:t xml:space="preserve">across participants and items already regularises the coefficient estimates</w:t>
      </w:r>
      <w:r>
        <w:t xml:space="preserve"> </w:t>
      </w:r>
      <w:r>
        <w:t xml:space="preserve">(</w:t>
      </w:r>
      <w:hyperlink w:anchor="ref-gelmanhillyajima2012">
        <w:r>
          <w:rPr>
            <w:rStyle w:val="Hyperlink"/>
          </w:rPr>
          <w:t xml:space="preserve">Gelman et al., 2012</w:t>
        </w:r>
      </w:hyperlink>
      <w:r>
        <w:t xml:space="preserve">;</w:t>
      </w:r>
      <w:r>
        <w:t xml:space="preserve"> </w:t>
      </w:r>
      <w:hyperlink w:anchor="ref-kruschke2018">
        <w:r>
          <w:rPr>
            <w:rStyle w:val="Hyperlink"/>
          </w:rPr>
          <w:t xml:space="preserve">Kruschke &amp; Liddell, 2018</w:t>
        </w:r>
      </w:hyperlink>
      <w:r>
        <w:t xml:space="preserve">)</w:t>
      </w:r>
      <w:r>
        <w:t xml:space="preserve">. The eighteen cells are fitted separately and are</w:t>
      </w:r>
      <w:r>
        <w:t xml:space="preserve"> </w:t>
      </w:r>
      <w:r>
        <w:t xml:space="preserve">not pooled towards one another, so that shrinkage is not itself an argument about the grid. The grid (3</w:t>
      </w:r>
      <w:r>
        <w:t xml:space="preserve"> </w:t>
      </w:r>
      <w:r>
        <w:t xml:space="preserve">properties</w:t>
      </w:r>
      <w:r>
        <w:t xml:space="preserve"> </w:t>
      </w:r>
      <m:oMath>
        <m:r>
          <m:rPr>
            <m:sty m:val="p"/>
          </m:rPr>
          <m:t>×</m:t>
        </m:r>
      </m:oMath>
      <w:r>
        <w:t xml:space="preserve"> </w:t>
      </w:r>
      <w:r>
        <w:t xml:space="preserve">3 a priori windows</w:t>
      </w:r>
      <w:r>
        <w:t xml:space="preserve"> </w:t>
      </w:r>
      <m:oMath>
        <m:r>
          <m:rPr>
            <m:sty m:val="p"/>
          </m:rPr>
          <m:t>×</m:t>
        </m:r>
      </m:oMath>
      <w:r>
        <w:t xml:space="preserve"> </w:t>
      </w:r>
      <w:r>
        <w:t xml:space="preserve">2 macroregions) is fixed before</w:t>
      </w:r>
      <w:r>
        <w:t xml:space="preserve"> </w:t>
      </w:r>
      <w:r>
        <w:t xml:space="preserve">fitting, and every cell is reported without selection (</w:t>
      </w:r>
      <w:hyperlink w:anchor="fig-erp-forest">
        <w:r>
          <w:rPr>
            <w:rStyle w:val="Hyperlink"/>
          </w:rPr>
          <w:t xml:space="preserve">Figure 7</w:t>
        </w:r>
      </w:hyperlink>
      <w:r>
        <w:t xml:space="preserve"> </w:t>
      </w:r>
      <w:r>
        <w:t xml:space="preserve">reports all 18</w:t>
      </w:r>
      <w:r>
        <w:t xml:space="preserve"> </w:t>
      </w:r>
      <w:r>
        <w:t xml:space="preserve">cells for the key terms, and</w:t>
      </w:r>
      <w:r>
        <w:t xml:space="preserve"> </w:t>
      </w:r>
      <w:hyperlink w:anchor="tbl-retention">
        <w:r>
          <w:rPr>
            <w:rStyle w:val="Hyperlink"/>
          </w:rPr>
          <w:t xml:space="preserve">Table B1</w:t>
        </w:r>
      </w:hyperlink>
      <w:r>
        <w:t xml:space="preserve"> </w:t>
      </w:r>
      <w:r>
        <w:t xml:space="preserve">the derived retention contrasts). No</w:t>
      </w:r>
      <w:r>
        <w:t xml:space="preserve"> </w:t>
      </w:r>
      <w:r>
        <w:t xml:space="preserve">correction across cells is applied, and no cell is screened for significance before</w:t>
      </w:r>
      <w:r>
        <w:t xml:space="preserve"> </w:t>
      </w:r>
      <w:r>
        <w:t xml:space="preserve">being reported. Where a</w:t>
      </w:r>
      <w:r>
        <w:t xml:space="preserve"> </w:t>
      </w:r>
      <w:r>
        <w:t xml:space="preserve">conclusion does rest on particular cells crossing the credibility threshold (the</w:t>
      </w:r>
      <w:r>
        <w:t xml:space="preserve"> </w:t>
      </w:r>
      <w:r>
        <w:t xml:space="preserve">transfer interactions are credible in</w:t>
      </w:r>
      <w:r>
        <w:t xml:space="preserve"> </w:t>
      </w:r>
      <w:r>
        <w:t xml:space="preserve">3 of 18</w:t>
      </w:r>
      <w:r>
        <w:t xml:space="preserve"> </w:t>
      </w:r>
      <w:r>
        <w:t xml:space="preserve">cells), we treat it as provisional on that basis (see</w:t>
      </w:r>
      <w:r>
        <w:t xml:space="preserve"> </w:t>
      </w:r>
      <w:r>
        <w:rPr>
          <w:i/>
          <w:iCs/>
        </w:rPr>
        <w:t xml:space="preserve">Strength of evidence</w:t>
      </w:r>
      <w:r>
        <w:t xml:space="preserve"> </w:t>
      </w:r>
      <w:r>
        <w:t xml:space="preserve">in the</w:t>
      </w:r>
      <w:r>
        <w:t xml:space="preserve"> </w:t>
      </w:r>
      <w:r>
        <w:t xml:space="preserve">Discussion). We do not claim the grid is immune to selection effects</w:t>
      </w:r>
      <w:r>
        <w:t xml:space="preserve"> </w:t>
      </w:r>
      <w:r>
        <w:t xml:space="preserve">(</w:t>
      </w:r>
      <w:hyperlink w:anchor="ref-rubin2021">
        <w:r>
          <w:rPr>
            <w:rStyle w:val="Hyperlink"/>
          </w:rPr>
          <w:t xml:space="preserve">Rubin, 2021</w:t>
        </w:r>
      </w:hyperlink>
      <w:r>
        <w:t xml:space="preserve">)</w:t>
      </w:r>
      <w:r>
        <w:t xml:space="preserve">.</w:t>
      </w:r>
      <w:r>
        <w:t xml:space="preserve"> </w:t>
      </w:r>
      <w:r>
        <w:t xml:space="preserve">The derived retention effect (Session 4</w:t>
      </w:r>
      <w:r>
        <w:t xml:space="preserve"> </w:t>
      </w:r>
      <m:oMath>
        <m:r>
          <m:rPr>
            <m:sty m:val="p"/>
          </m:rPr>
          <m:t>→</m:t>
        </m:r>
      </m:oMath>
      <w:r>
        <w:t xml:space="preserve"> </w:t>
      </w:r>
      <w:r>
        <w:t xml:space="preserve">Session 6) and its language-scoped contrasts are posterior quantities computed from</w:t>
      </w:r>
      <w:r>
        <w:t xml:space="preserve"> </w:t>
      </w:r>
      <w:r>
        <w:t xml:space="preserve">the same models, summarised and disclosed in full the same way (</w:t>
      </w:r>
      <w:hyperlink w:anchor="tbl-retention">
        <w:r>
          <w:rPr>
            <w:rStyle w:val="Hyperlink"/>
          </w:rPr>
          <w:t xml:space="preserve">Table B1</w:t>
        </w:r>
      </w:hyperlink>
      <w:r>
        <w:t xml:space="preserve">). For</w:t>
      </w:r>
      <w:r>
        <w:t xml:space="preserve"> </w:t>
      </w:r>
      <w:r>
        <w:t xml:space="preserve">gender agreement and differential object marking, they are also re-estimated in refits that</w:t>
      </w:r>
      <w:r>
        <w:t xml:space="preserve"> </w:t>
      </w:r>
      <w:r>
        <w:t xml:space="preserve">free the Session-6 step from the training trend, described under</w:t>
      </w:r>
      <w:r>
        <w:t xml:space="preserve"> </w:t>
      </w:r>
      <w:r>
        <w:rPr>
          <w:i/>
          <w:iCs/>
        </w:rPr>
        <w:t xml:space="preserve">Model structure</w:t>
      </w:r>
      <w:r>
        <w:t xml:space="preserve"> </w:t>
      </w:r>
      <w:r>
        <w:t xml:space="preserve">(</w:t>
      </w:r>
      <w:hyperlink w:anchor="tbl-retention-free">
        <w:r>
          <w:rPr>
            <w:rStyle w:val="Hyperlink"/>
          </w:rPr>
          <w:t xml:space="preserve">Table B2</w:t>
        </w:r>
      </w:hyperlink>
      <w:r>
        <w:t xml:space="preserve">).</w:t>
      </w:r>
    </w:p>
    <w:bookmarkEnd w:id="88"/>
    <w:bookmarkStart w:id="89" w:name="multivariate-decoding-of-grammaticality"/>
    <w:p>
      <w:pPr>
        <w:pStyle w:val="Heading3"/>
      </w:pPr>
      <w:r>
        <w:t xml:space="preserve">Multivariate decoding of grammaticality</w:t>
      </w:r>
    </w:p>
    <w:p>
      <w:pPr>
        <w:pStyle w:val="FirstParagraph"/>
      </w:pPr>
      <w:r>
        <w:t xml:space="preserve">The Bayesian models above summarise each electrode cluster’s mean amplitude</w:t>
      </w:r>
      <w:r>
        <w:t xml:space="preserve"> </w:t>
      </w:r>
      <w:r>
        <w:t xml:space="preserve">separately, which could miss a grammaticality signal that is distributed across the</w:t>
      </w:r>
      <w:r>
        <w:t xml:space="preserve"> </w:t>
      </w:r>
      <w:r>
        <w:t xml:space="preserve">scalp too weakly to move any single cluster’s mean but is nonetheless jointly</w:t>
      </w:r>
      <w:r>
        <w:t xml:space="preserve"> </w:t>
      </w:r>
      <w:r>
        <w:t xml:space="preserve">decodable from the whole-scalp pattern</w:t>
      </w:r>
      <w:r>
        <w:t xml:space="preserve"> </w:t>
      </w:r>
      <w:r>
        <w:t xml:space="preserve">(</w:t>
      </w:r>
      <w:hyperlink w:anchor="ref-haxby2001">
        <w:r>
          <w:rPr>
            <w:rStyle w:val="Hyperlink"/>
          </w:rPr>
          <w:t xml:space="preserve">Haxby et al., 2001</w:t>
        </w:r>
      </w:hyperlink>
      <w:r>
        <w:t xml:space="preserve">)</w:t>
      </w:r>
      <w:r>
        <w:t xml:space="preserve">. As a complementary,</w:t>
      </w:r>
      <w:r>
        <w:t xml:space="preserve"> </w:t>
      </w:r>
      <w:r>
        <w:t xml:space="preserve">classical (non-Bayesian) analysis, we decoded Grammatical from</w:t>
      </w:r>
      <w:r>
        <w:t xml:space="preserve"> </w:t>
      </w:r>
      <w:r>
        <w:t xml:space="preserve">Ungrammatical trials directly from the single-trial amplitude pattern across all</w:t>
      </w:r>
      <w:r>
        <w:t xml:space="preserve"> </w:t>
      </w:r>
      <w:r>
        <w:t xml:space="preserve">EEG sensors at every time sample (baseline-corrected, downsampled to a 4 ms grid).</w:t>
      </w:r>
      <w:r>
        <w:t xml:space="preserve"> </w:t>
      </w:r>
      <w:r>
        <w:t xml:space="preserve">The classifier was a</w:t>
      </w:r>
      <w:r>
        <w:t xml:space="preserve"> </w:t>
      </w:r>
      <w:r>
        <w:t xml:space="preserve">regularised linear discriminant analysis under leave-one-participant-out</w:t>
      </w:r>
      <w:r>
        <w:t xml:space="preserve"> </w:t>
      </w:r>
      <w:r>
        <w:t xml:space="preserve">cross-validation, a time-resolved multivariate pattern analysis (MVPA)</w:t>
      </w:r>
      <w:r>
        <w:t xml:space="preserve"> </w:t>
      </w:r>
      <w:r>
        <w:t xml:space="preserve">approach for EEG/MEG</w:t>
      </w:r>
      <w:r>
        <w:t xml:space="preserve"> </w:t>
      </w:r>
      <w:r>
        <w:t xml:space="preserve">(</w:t>
      </w:r>
      <w:hyperlink w:anchor="ref-grootswagers2017">
        <w:r>
          <w:rPr>
            <w:rStyle w:val="Hyperlink"/>
          </w:rPr>
          <w:t xml:space="preserve">Grootswagers et al., 2017</w:t>
        </w:r>
      </w:hyperlink>
      <w:r>
        <w:t xml:space="preserve">)</w:t>
      </w:r>
      <w:r>
        <w:t xml:space="preserve">. Leave-one-participant-out is the</w:t>
      </w:r>
      <w:r>
        <w:t xml:space="preserve"> </w:t>
      </w:r>
      <w:r>
        <w:t xml:space="preserve">generalisation test this question calls for, since what is at stake is whether the</w:t>
      </w:r>
      <w:r>
        <w:t xml:space="preserve"> </w:t>
      </w:r>
      <w:r>
        <w:t xml:space="preserve">pattern transfers to an unseen learner.</w:t>
      </w:r>
      <w:r>
        <w:t xml:space="preserve"> </w:t>
      </w:r>
      <w:r>
        <w:t xml:space="preserve">Varoquaux et al. (</w:t>
      </w:r>
      <w:hyperlink w:anchor="ref-varoquaux2017">
        <w:r>
          <w:rPr>
            <w:rStyle w:val="Hyperlink"/>
          </w:rPr>
          <w:t xml:space="preserve">2017</w:t>
        </w:r>
      </w:hyperlink>
      <w:r>
        <w:t xml:space="preserve">)</w:t>
      </w:r>
      <w:r>
        <w:t xml:space="preserve"> </w:t>
      </w:r>
      <w:r>
        <w:t xml:space="preserve">show that leave-one-out</w:t>
      </w:r>
      <w:r>
        <w:t xml:space="preserve"> </w:t>
      </w:r>
      <w:r>
        <w:t xml:space="preserve">schemes give more variable accuracy estimates than repeated random splits, so we read</w:t>
      </w:r>
      <w:r>
        <w:t xml:space="preserve"> </w:t>
      </w:r>
      <w:r>
        <w:t xml:space="preserve">the AUC time-course below as a profile whose individual point estimates carry limited</w:t>
      </w:r>
      <w:r>
        <w:t xml:space="preserve"> </w:t>
      </w:r>
      <w:r>
        <w:t xml:space="preserve">precision. Decoding performance is</w:t>
      </w:r>
      <w:r>
        <w:t xml:space="preserve"> </w:t>
      </w:r>
      <w:r>
        <w:t xml:space="preserve">summarised as the area under the ROC curve (AUC) at each time point. Chance-level</w:t>
      </w:r>
      <w:r>
        <w:t xml:space="preserve"> </w:t>
      </w:r>
      <w:r>
        <w:t xml:space="preserve">calibration was established with a permutation test that shuffles the</w:t>
      </w:r>
      <w:r>
        <w:t xml:space="preserve"> </w:t>
      </w:r>
      <w:r>
        <w:t xml:space="preserve">grammaticality labels once per permutation, holding the shuffle constant across the</w:t>
      </w:r>
      <w:r>
        <w:t xml:space="preserve"> </w:t>
      </w:r>
      <w:r>
        <w:t xml:space="preserve">whole time-course so that the null preserves each trial’s temporal autocorrelation.</w:t>
      </w:r>
      <w:r>
        <w:t xml:space="preserve"> </w:t>
      </w:r>
      <w:r>
        <w:t xml:space="preserve">Multiple comparisons across time points were corrected with cluster-based</w:t>
      </w:r>
      <w:r>
        <w:t xml:space="preserve"> </w:t>
      </w:r>
      <w:r>
        <w:t xml:space="preserve">permutation inference</w:t>
      </w:r>
      <w:r>
        <w:t xml:space="preserve"> </w:t>
      </w:r>
      <w:r>
        <w:t xml:space="preserve">(</w:t>
      </w:r>
      <w:hyperlink w:anchor="ref-maris2007">
        <w:r>
          <w:rPr>
            <w:rStyle w:val="Hyperlink"/>
          </w:rPr>
          <w:t xml:space="preserve">Maris &amp; Oostenveld, 2007</w:t>
        </w:r>
      </w:hyperlink>
      <w:r>
        <w:t xml:space="preserve">)</w:t>
      </w:r>
      <w:r>
        <w:t xml:space="preserve">. Clusters were formed from temporally contiguous</w:t>
      </w:r>
      <w:r>
        <w:t xml:space="preserve"> </w:t>
      </w:r>
      <w:r>
        <w:t xml:space="preserve">samples whose AUC exceeded the 95th percentile of the pooled permutation null, the</w:t>
      </w:r>
      <w:r>
        <w:t xml:space="preserve"> </w:t>
      </w:r>
      <w:r>
        <w:t xml:space="preserve">cluster statistic was the summed excess of AUC over that threshold, and each cluster</w:t>
      </w:r>
      <w:r>
        <w:t xml:space="preserve"> </w:t>
      </w:r>
      <w:r>
        <w:t xml:space="preserve">was assessed against the distribution of the largest cluster statistic across</w:t>
      </w:r>
      <w:r>
        <w:t xml:space="preserve"> </w:t>
      </w:r>
      <w:r>
        <w:t xml:space="preserve">permutations. A second correction layer controls the false-discovery</w:t>
      </w:r>
      <w:r>
        <w:t xml:space="preserve"> </w:t>
      </w:r>
      <w:r>
        <w:t xml:space="preserve">rate (FDR) across clusters, with the family defined per property. Benjamini–Hochberg</w:t>
      </w:r>
      <w:r>
        <w:t xml:space="preserve"> </w:t>
      </w:r>
      <w:r>
        <w:t xml:space="preserve">correction (</w:t>
      </w:r>
      <m:oMath>
        <m:r>
          <m:t>q</m:t>
        </m:r>
        <m:r>
          <m:rPr>
            <m:sty m:val="p"/>
          </m:rPr>
          <m:t>&lt;</m:t>
        </m:r>
        <m:r>
          <m:t>.05</m:t>
        </m:r>
      </m:oMath>
      <w:r>
        <w:t xml:space="preserve">) is applied across the clusters of a</w:t>
      </w:r>
      <w:r>
        <w:t xml:space="preserve"> </w:t>
      </w:r>
      <w:r>
        <w:t xml:space="preserve">property’s pooled overall time-course, and each property’s family is corrected</w:t>
      </w:r>
      <w:r>
        <w:t xml:space="preserve"> </w:t>
      </w:r>
      <w:r>
        <w:t xml:space="preserve">separately. The session-resolved and session-by-language breakdowns carry only their own</w:t>
      </w:r>
      <w:r>
        <w:t xml:space="preserve"> </w:t>
      </w:r>
      <w:r>
        <w:t xml:space="preserve">cluster-level</w:t>
      </w:r>
      <w:r>
        <w:t xml:space="preserve"> </w:t>
      </w:r>
      <m:oMath>
        <m:r>
          <m:t>p</m:t>
        </m:r>
      </m:oMath>
      <w:r>
        <w:t xml:space="preserve"> </w:t>
      </w:r>
      <w:r>
        <w:t xml:space="preserve">values.</w:t>
      </w:r>
      <w:r>
        <w:t xml:space="preserve"> </w:t>
      </w:r>
      <w:hyperlink w:anchor="apx-analytic-decisions-in-detail">
        <w:r>
          <w:rPr>
            <w:rStyle w:val="Hyperlink"/>
          </w:rPr>
          <w:t xml:space="preserve">Appendix A</w:t>
        </w:r>
      </w:hyperlink>
      <w:r>
        <w:t xml:space="preserve"> </w:t>
      </w:r>
      <w:r>
        <w:t xml:space="preserve">sets out why the family is defined this way.</w:t>
      </w:r>
      <w:r>
        <w:t xml:space="preserve"> </w:t>
      </w:r>
      <w:r>
        <w:t xml:space="preserve">Grammatical and ungrammatical trial counts differ</w:t>
      </w:r>
      <w:r>
        <w:t xml:space="preserve"> </w:t>
      </w:r>
      <w:r>
        <w:t xml:space="preserve">across participants and decline across sessions, so we balanced the classes by</w:t>
      </w:r>
      <w:r>
        <w:t xml:space="preserve"> </w:t>
      </w:r>
      <w:r>
        <w:t xml:space="preserve">undersampling the majority class within each participant of the training fold. The</w:t>
      </w:r>
      <w:r>
        <w:t xml:space="preserve"> </w:t>
      </w:r>
      <w:r>
        <w:t xml:space="preserve">discriminant’s pooled within-class covariance was ridged by one thousandth of its mean</w:t>
      </w:r>
      <w:r>
        <w:t xml:space="preserve"> </w:t>
      </w:r>
      <w:r>
        <w:t xml:space="preserve">diagonal for numerical stability. The AUC is in any case insensitive to class</w:t>
      </w:r>
      <w:r>
        <w:t xml:space="preserve"> </w:t>
      </w:r>
      <w:r>
        <w:t xml:space="preserve">prevalence, so neither the classifier nor the metric can exploit a prevalence</w:t>
      </w:r>
      <w:r>
        <w:t xml:space="preserve"> </w:t>
      </w:r>
      <w:r>
        <w:t xml:space="preserve">shortcut, and chance was set by the empirical within-participant permutation null</w:t>
      </w:r>
      <w:r>
        <w:t xml:space="preserve"> </w:t>
      </w:r>
      <w:r>
        <w:t xml:space="preserve">(</w:t>
      </w:r>
      <w:hyperlink w:anchor="ref-combrisson2015">
        <w:r>
          <w:rPr>
            <w:rStyle w:val="Hyperlink"/>
          </w:rPr>
          <w:t xml:space="preserve">Combrisson &amp; Jerbi, 2015</w:t>
        </w:r>
      </w:hyperlink>
      <w:r>
        <w:t xml:space="preserve">)</w:t>
      </w:r>
      <w:r>
        <w:t xml:space="preserve">. The</w:t>
      </w:r>
      <w:r>
        <w:t xml:space="preserve"> </w:t>
      </w:r>
      <w:r>
        <w:t xml:space="preserve">permutation null comprised 1,000 shufflings, so the smallest attainable cluster</w:t>
      </w:r>
      <w:r>
        <w:t xml:space="preserve"> </w:t>
      </w:r>
      <m:oMath>
        <m:r>
          <m:t>p</m:t>
        </m:r>
      </m:oMath>
      <w:r>
        <w:t xml:space="preserve"> </w:t>
      </w:r>
      <w:r>
        <w:t xml:space="preserve">is .0010. This bounds the resolution of near-threshold cluster</w:t>
      </w:r>
      <w:r>
        <w:t xml:space="preserve"> </w:t>
      </w:r>
      <m:oMath>
        <m:r>
          <m:t>p</m:t>
        </m:r>
      </m:oMath>
      <w:r>
        <w:t xml:space="preserve">-values,</w:t>
      </w:r>
      <w:r>
        <w:t xml:space="preserve"> </w:t>
      </w:r>
      <w:r>
        <w:t xml:space="preserve">and the surviving clusters are reported with that granularity in mind</w:t>
      </w:r>
      <w:r>
        <w:t xml:space="preserve"> </w:t>
      </w:r>
      <w:r>
        <w:t xml:space="preserve">(</w:t>
      </w:r>
      <w:hyperlink w:anchor="ref-nichols2002">
        <w:r>
          <w:rPr>
            <w:rStyle w:val="Hyperlink"/>
          </w:rPr>
          <w:t xml:space="preserve">T. E. Nichols &amp; Holmes, 2002</w:t>
        </w:r>
      </w:hyperlink>
      <w:r>
        <w:t xml:space="preserve">;</w:t>
      </w:r>
      <w:r>
        <w:t xml:space="preserve"> </w:t>
      </w:r>
      <w:hyperlink w:anchor="ref-phipson2010">
        <w:r>
          <w:rPr>
            <w:rStyle w:val="Hyperlink"/>
          </w:rPr>
          <w:t xml:space="preserve">Phipson &amp; Smyth, 2010</w:t>
        </w:r>
      </w:hyperlink>
      <w:r>
        <w:t xml:space="preserve">)</w:t>
      </w:r>
      <w:r>
        <w:t xml:space="preserve">. One qualification belongs with that description. The confirmatory time-courses reported here were corrected under exactly the family just defined, and at the full permutation null. The exploratory breakdowns for gender agreement, which enter no family, are still those of an earlier run at 200 shufflings, so their cluster-level</w:t>
      </w:r>
      <w:r>
        <w:t xml:space="preserve"> </w:t>
      </w:r>
      <m:oMath>
        <m:r>
          <m:t>p</m:t>
        </m:r>
      </m:oMath>
      <w:r>
        <w:t xml:space="preserve"> </w:t>
      </w:r>
      <w:r>
        <w:t xml:space="preserve">values resolve less finely than the confirmatory ones. A rerun that brings them to the same null is under way, and by construction it cannot alter a confirmatory decision. The</w:t>
      </w:r>
      <w:r>
        <w:t xml:space="preserve"> </w:t>
      </w:r>
      <w:r>
        <w:t xml:space="preserve">decoder is given the EEG sensors alone. The amplifier’s built-in accelerometer</w:t>
      </w:r>
      <w:r>
        <w:t xml:space="preserve"> </w:t>
      </w:r>
      <w:r>
        <w:t xml:space="preserve">channels are excluded, as is any channel not exported for every session a property</w:t>
      </w:r>
      <w:r>
        <w:t xml:space="preserve"> </w:t>
      </w:r>
      <w:r>
        <w:t xml:space="preserve">was recorded in, so that each property’s pattern is brain-derived and no sensor is</w:t>
      </w:r>
      <w:r>
        <w:t xml:space="preserve"> </w:t>
      </w:r>
      <w:r>
        <w:t xml:space="preserve">present for one session’s trials but structurally absent for another’s. Beyond the overall time-course, five further analyses were run. Decoding separately</w:t>
      </w:r>
      <w:r>
        <w:t xml:space="preserve"> </w:t>
      </w:r>
      <w:r>
        <w:t xml:space="preserve">by session, and by session</w:t>
      </w:r>
      <w:r>
        <w:t xml:space="preserve"> </w:t>
      </w:r>
      <m:oMath>
        <m:r>
          <m:rPr>
            <m:sty m:val="p"/>
          </m:rPr>
          <m:t>×</m:t>
        </m:r>
      </m:oMath>
      <w:r>
        <w:t xml:space="preserve"> </w:t>
      </w:r>
      <w:r>
        <w:t xml:space="preserve">mini-language, gives a multivariate analogue of</w:t>
      </w:r>
      <w:r>
        <w:t xml:space="preserve"> </w:t>
      </w:r>
      <w:r>
        <w:t xml:space="preserve">the ERP models’ grammaticality</w:t>
      </w:r>
      <w:r>
        <w:t xml:space="preserve"> </w:t>
      </w:r>
      <m:oMath>
        <m:r>
          <m:rPr>
            <m:sty m:val="p"/>
          </m:rPr>
          <m:t>×</m:t>
        </m:r>
      </m:oMath>
      <w:r>
        <w:t xml:space="preserve"> </w:t>
      </w:r>
      <w:r>
        <w:t xml:space="preserve">session and</w:t>
      </w:r>
      <w:r>
        <w:t xml:space="preserve"> </w:t>
      </w:r>
      <m:oMath>
        <m:r>
          <m:rPr>
            <m:sty m:val="p"/>
          </m:rPr>
          <m:t>×</m:t>
        </m:r>
      </m:oMath>
      <w:r>
        <w:t xml:space="preserve"> </w:t>
      </w:r>
      <w:r>
        <w:t xml:space="preserve">language terms. A</w:t>
      </w:r>
      <w:r>
        <w:t xml:space="preserve"> </w:t>
      </w:r>
      <w:r>
        <w:t xml:space="preserve">cross-language generalisation analysis trains the decoder on one mini-language and</w:t>
      </w:r>
      <w:r>
        <w:t xml:space="preserve"> </w:t>
      </w:r>
      <w:r>
        <w:t xml:space="preserve">tests it on the other. A cross-property generalisation analysis trains on one grammatical</w:t>
      </w:r>
      <w:r>
        <w:t xml:space="preserve"> </w:t>
      </w:r>
      <w:r>
        <w:t xml:space="preserve">property’s Grammatical/Ungrammatical contrast and tests on another. Finally, temporal generalisation trains a decoder at every time</w:t>
      </w:r>
      <w:r>
        <w:t xml:space="preserve"> </w:t>
      </w:r>
      <w:r>
        <w:t xml:space="preserve">point and tests it at every other, on a grid coarsened by a factor of two on both axes to</w:t>
      </w:r>
      <w:r>
        <w:t xml:space="preserve"> </w:t>
      </w:r>
      <w:r>
        <w:t xml:space="preserve">keep the computation tractable. It characterises whether the same neural code is</w:t>
      </w:r>
      <w:r>
        <w:t xml:space="preserve"> </w:t>
      </w:r>
      <w:r>
        <w:t xml:space="preserve">stable across the epoch or evolves</w:t>
      </w:r>
      <w:r>
        <w:t xml:space="preserve"> </w:t>
      </w:r>
      <w:r>
        <w:t xml:space="preserve">(</w:t>
      </w:r>
      <w:hyperlink w:anchor="ref-king2014">
        <w:r>
          <w:rPr>
            <w:rStyle w:val="Hyperlink"/>
          </w:rPr>
          <w:t xml:space="preserve">King &amp; Dehaene, 2014</w:t>
        </w:r>
      </w:hyperlink>
      <w:r>
        <w:t xml:space="preserve">)</w:t>
      </w:r>
      <w:r>
        <w:t xml:space="preserve">. The two generalisation analyses carry no</w:t>
      </w:r>
      <w:r>
        <w:t xml:space="preserve"> </w:t>
      </w:r>
      <w:r>
        <w:t xml:space="preserve">permutation null and are reported as descriptive comparisons. Cross-validating strictly</w:t>
      </w:r>
      <w:r>
        <w:t xml:space="preserve"> </w:t>
      </w:r>
      <w:r>
        <w:t xml:space="preserve">out-of-participant throughout guards against the circular, non-independent analysis</w:t>
      </w:r>
      <w:r>
        <w:t xml:space="preserve"> </w:t>
      </w:r>
      <w:r>
        <w:t xml:space="preserve">that would otherwise inflate apparent decoding accuracy</w:t>
      </w:r>
      <w:r>
        <w:t xml:space="preserve"> </w:t>
      </w:r>
      <w:r>
        <w:t xml:space="preserve">(</w:t>
      </w:r>
      <w:hyperlink w:anchor="ref-kriegeskorte2009">
        <w:r>
          <w:rPr>
            <w:rStyle w:val="Hyperlink"/>
          </w:rPr>
          <w:t xml:space="preserve">Kriegeskorte et al., 2009</w:t>
        </w:r>
      </w:hyperlink>
      <w:r>
        <w:t xml:space="preserve">)</w:t>
      </w:r>
      <w:r>
        <w:t xml:space="preserve">.</w:t>
      </w:r>
    </w:p>
    <w:bookmarkEnd w:id="89"/>
    <w:bookmarkEnd w:id="90"/>
    <w:bookmarkStart w:id="92" w:name="Xa1aa7648d5ac5e7d9e5b3f8be809fb2fcb7ad16"/>
    <w:p>
      <w:pPr>
        <w:pStyle w:val="Heading2"/>
      </w:pPr>
      <w:r>
        <w:t xml:space="preserve">Transparency, preregistration and analysis status</w:t>
      </w:r>
    </w:p>
    <w:p>
      <w:pPr>
        <w:pStyle w:val="FirstParagraph"/>
      </w:pPr>
      <w:r>
        <w:t xml:space="preserve">The study design, artificial-language materials and session protocol were</w:t>
      </w:r>
      <w:r>
        <w:t xml:space="preserve"> </w:t>
      </w:r>
      <w:r>
        <w:t xml:space="preserve">preregistered before data collection (</w:t>
      </w:r>
      <w:hyperlink r:id="rId91">
        <w:r>
          <w:rPr>
            <w:rStyle w:val="Hyperlink"/>
          </w:rPr>
          <w:t xml:space="preserve">https://osf.io/tjr54</w:t>
        </w:r>
      </w:hyperlink>
      <w:r>
        <w:t xml:space="preserve">). The preregistration</w:t>
      </w:r>
      <w:r>
        <w:t xml:space="preserve"> </w:t>
      </w:r>
      <w:r>
        <w:t xml:space="preserve">specified the design, the miniature-language materials, the six-session schedule and</w:t>
      </w:r>
      <w:r>
        <w:t xml:space="preserve"> </w:t>
      </w:r>
      <w:r>
        <w:t xml:space="preserve">the EEG acquisition, but it did not commit to a statistical analysis plan. The</w:t>
      </w:r>
      <w:r>
        <w:t xml:space="preserve"> </w:t>
      </w:r>
      <w:r>
        <w:t xml:space="preserve">Bayesian multilevel models, the literature-derived informative priors, the latency</w:t>
      </w:r>
      <w:r>
        <w:t xml:space="preserve"> </w:t>
      </w:r>
      <w:r>
        <w:t xml:space="preserve">windows and macroregions, the Session 4</w:t>
      </w:r>
      <w:r>
        <w:t xml:space="preserve"> </w:t>
      </w:r>
      <m:oMath>
        <m:r>
          <m:rPr>
            <m:sty m:val="p"/>
          </m:rPr>
          <m:t>→</m:t>
        </m:r>
      </m:oMath>
      <w:r>
        <w:t xml:space="preserve"> </w:t>
      </w:r>
      <w:r>
        <w:t xml:space="preserve">6 retention contrasts and the</w:t>
      </w:r>
      <w:r>
        <w:t xml:space="preserve"> </w:t>
      </w:r>
      <w:r>
        <w:t xml:space="preserve">multivariate decoding analyses reported here were therefore specified after the data</w:t>
      </w:r>
      <w:r>
        <w:t xml:space="preserve"> </w:t>
      </w:r>
      <w:r>
        <w:t xml:space="preserve">were collected. None was preregistered, so all are exploratory in the registered</w:t>
      </w:r>
      <w:r>
        <w:t xml:space="preserve"> </w:t>
      </w:r>
      <w:r>
        <w:t xml:space="preserve">sense, and we report them as estimation-oriented analyses, since none tests a</w:t>
      </w:r>
      <w:r>
        <w:t xml:space="preserve"> </w:t>
      </w:r>
      <w:r>
        <w:t xml:space="preserve">preregistered hypothesis</w:t>
      </w:r>
      <w:r>
        <w:t xml:space="preserve"> </w:t>
      </w:r>
      <w:r>
        <w:t xml:space="preserve">(</w:t>
      </w:r>
      <w:hyperlink w:anchor="ref-nosek2018">
        <w:r>
          <w:rPr>
            <w:rStyle w:val="Hyperlink"/>
          </w:rPr>
          <w:t xml:space="preserve">Nosek et al., 2018</w:t>
        </w:r>
      </w:hyperlink>
      <w:r>
        <w:t xml:space="preserve">;</w:t>
      </w:r>
      <w:r>
        <w:t xml:space="preserve"> </w:t>
      </w:r>
      <w:hyperlink w:anchor="ref-wagenmakers2012">
        <w:r>
          <w:rPr>
            <w:rStyle w:val="Hyperlink"/>
          </w:rPr>
          <w:t xml:space="preserve">Wagenmakers et al., 2012</w:t>
        </w:r>
      </w:hyperlink>
      <w:r>
        <w:t xml:space="preserve">)</w:t>
      </w:r>
      <w:r>
        <w:t xml:space="preserve">. Within that frame,</w:t>
      </w:r>
      <w:r>
        <w:t xml:space="preserve"> </w:t>
      </w:r>
      <w:r>
        <w:t xml:space="preserve">we distinguish</w:t>
      </w:r>
      <w:r>
        <w:t xml:space="preserve"> </w:t>
      </w:r>
      <w:r>
        <w:rPr>
          <w:i/>
          <w:iCs/>
        </w:rPr>
        <w:t xml:space="preserve">primary</w:t>
      </w:r>
      <w:r>
        <w:t xml:space="preserve"> </w:t>
      </w:r>
      <w:r>
        <w:t xml:space="preserve">from</w:t>
      </w:r>
      <w:r>
        <w:t xml:space="preserve"> </w:t>
      </w:r>
      <w:r>
        <w:rPr>
          <w:i/>
          <w:iCs/>
        </w:rPr>
        <w:t xml:space="preserve">secondary</w:t>
      </w:r>
      <w:r>
        <w:t xml:space="preserve"> </w:t>
      </w:r>
      <w:r>
        <w:t xml:space="preserve">analyses. The primary analyses, fixed</w:t>
      </w:r>
      <w:r>
        <w:t xml:space="preserve"> </w:t>
      </w:r>
      <w:r>
        <w:t xml:space="preserve">before any model was fitted, comprise the ERP grid of properties, windows,</w:t>
      </w:r>
      <w:r>
        <w:t xml:space="preserve"> </w:t>
      </w:r>
      <w:r>
        <w:t xml:space="preserve">macroregions and priors together with the pooled, all-sessions decoding time-course</w:t>
      </w:r>
      <w:r>
        <w:t xml:space="preserve"> </w:t>
      </w:r>
      <w:r>
        <w:t xml:space="preserve">for each property. The secondary analyses are the session-resolved and</w:t>
      </w:r>
      <w:r>
        <w:t xml:space="preserve"> </w:t>
      </w:r>
      <w:r>
        <w:t xml:space="preserve">session-by-language decoding breakdowns, the cross-language and cross-property</w:t>
      </w:r>
      <w:r>
        <w:t xml:space="preserve"> </w:t>
      </w:r>
      <w:r>
        <w:t xml:space="preserve">generalisation analyses, and the temporal-generalisation matrix. What the</w:t>
      </w:r>
      <w:r>
        <w:t xml:space="preserve"> </w:t>
      </w:r>
      <w:r>
        <w:t xml:space="preserve">paper reports of them varies, and we say which is which. The cross-language and</w:t>
      </w:r>
      <w:r>
        <w:t xml:space="preserve"> </w:t>
      </w:r>
      <w:r>
        <w:t xml:space="preserve">cross-property peaks are quoted in the Results. The session-resolved and</w:t>
      </w:r>
      <w:r>
        <w:t xml:space="preserve"> </w:t>
      </w:r>
      <w:r>
        <w:t xml:space="preserve">session-by-language breakdowns and the temporal-generalisation matrices are not summarised</w:t>
      </w:r>
      <w:r>
        <w:t xml:space="preserve"> </w:t>
      </w:r>
      <w:r>
        <w:t xml:space="preserve">numerically here and are available in the deposited decoding artefacts. Where a secondary</w:t>
      </w:r>
      <w:r>
        <w:t xml:space="preserve"> </w:t>
      </w:r>
      <w:r>
        <w:t xml:space="preserve">analysis carries a cluster-level</w:t>
      </w:r>
      <w:r>
        <w:t xml:space="preserve"> </w:t>
      </w:r>
      <m:oMath>
        <m:r>
          <m:t>p</m:t>
        </m:r>
      </m:oMath>
      <w:r>
        <w:t xml:space="preserve"> </w:t>
      </w:r>
      <w:r>
        <w:t xml:space="preserve">value, that value is family-wise-error-controlled over</w:t>
      </w:r>
      <w:r>
        <w:t xml:space="preserve"> </w:t>
      </w:r>
      <w:r>
        <w:t xml:space="preserve">time in the usual way, but none of them is treated as a test of the paper’s claims. Where the decoding analyses</w:t>
      </w:r>
      <w:r>
        <w:t xml:space="preserve"> </w:t>
      </w:r>
      <w:r>
        <w:t xml:space="preserve">speak of a</w:t>
      </w:r>
      <w:r>
        <w:t xml:space="preserve"> </w:t>
      </w:r>
      <w:r>
        <w:t xml:space="preserve">“confirmatory family”</w:t>
      </w:r>
      <w:r>
        <w:t xml:space="preserve">, the term names the false-discovery-rate correction</w:t>
      </w:r>
      <w:r>
        <w:t xml:space="preserve"> </w:t>
      </w:r>
      <w:r>
        <w:t xml:space="preserve">family (the clusters of each property’s pooled overall time-course), not</w:t>
      </w:r>
      <w:r>
        <w:t xml:space="preserve"> </w:t>
      </w:r>
      <w:r>
        <w:t xml:space="preserve">preregistered confirmation. On a minor point of adherence, a third, ancillary violation</w:t>
      </w:r>
      <w:r>
        <w:t xml:space="preserve"> </w:t>
      </w:r>
      <w:r>
        <w:t xml:space="preserve">type was recorded per property but, as noted above, is not analysed here.</w:t>
      </w:r>
    </w:p>
    <w:p>
      <w:pPr>
        <w:pStyle w:val="BodyText"/>
      </w:pPr>
      <w:r>
        <w:t xml:space="preserve">Two decisions were made after inspecting results, and we label them as such. First, peak</w:t>
      </w:r>
      <w:r>
        <w:t xml:space="preserve"> </w:t>
      </w:r>
      <w:r>
        <w:t xml:space="preserve">decoding accuracies are quoted on the post-stimulus axis, a restriction adopted once the</w:t>
      </w:r>
      <w:r>
        <w:t xml:space="preserve"> </w:t>
      </w:r>
      <w:r>
        <w:t xml:space="preserve">pre-stimulus interval was found not to be at chance for differential object marking. The</w:t>
      </w:r>
      <w:r>
        <w:t xml:space="preserve"> </w:t>
      </w:r>
      <w:r>
        <w:t xml:space="preserve">pre-stimulus interval is retained and reported alongside as a negative control.</w:t>
      </w:r>
      <w:r>
        <w:t xml:space="preserve"> </w:t>
      </w:r>
      <w:r>
        <w:t xml:space="preserve">Second, the temporal-generalisation and cross-property analyses were reclassified as</w:t>
      </w:r>
      <w:r>
        <w:t xml:space="preserve"> </w:t>
      </w:r>
      <w:r>
        <w:t xml:space="preserve">descriptive after it became clear that no null distribution had been computed for them.</w:t>
      </w:r>
      <w:r>
        <w:t xml:space="preserve"> </w:t>
      </w:r>
      <w:r>
        <w:t xml:space="preserve">Neither decision creates a new test, and both move the reported result in the</w:t>
      </w:r>
      <w:r>
        <w:t xml:space="preserve"> </w:t>
      </w:r>
      <w:r>
        <w:t xml:space="preserve">conservative direction. One analysis is not yet uniform, and we flag it here as well as where it isreported. The confirmatory decoding time-courses are final: they are corrected under the family the Method describes and rest on the full permutation null. The session-resolved breakdowns for gender agreement are still those of an earlier, coarser run, and a rerun that brings them to the same null is in progress. Because those breakdowns enter no correction family, the rerun cannot alter a confirmatory decision, in either direction.</w:t>
      </w:r>
    </w:p>
    <w:p>
      <w:pPr>
        <w:pStyle w:val="BodyText"/>
      </w:pPr>
      <w:r>
        <w:t xml:space="preserve">The preregistration planned data collection at two sites, in Norway and Spain. The</w:t>
      </w:r>
      <w:r>
        <w:t xml:space="preserve"> </w:t>
      </w:r>
      <w:r>
        <w:t xml:space="preserve">present analyses concern only the Norwegian cohort (first-language Norwegian,</w:t>
      </w:r>
      <w:r>
        <w:t xml:space="preserve"> </w:t>
      </w:r>
      <w:r>
        <w:t xml:space="preserve">second-language English learners of Mini-English or Mini-Norwegian). The Spanish-site</w:t>
      </w:r>
      <w:r>
        <w:t xml:space="preserve"> </w:t>
      </w:r>
      <w:r>
        <w:t xml:space="preserve">data are not analysed here. The findings therefore speak to</w:t>
      </w:r>
      <w:r>
        <w:t xml:space="preserve"> </w:t>
      </w:r>
      <w:r>
        <w:t xml:space="preserve">first-language-Norwegian learners, and generalisation to the other registered</w:t>
      </w:r>
      <w:r>
        <w:t xml:space="preserve"> </w:t>
      </w:r>
      <w:r>
        <w:t xml:space="preserve">populations is an open question.</w:t>
      </w:r>
    </w:p>
    <w:p>
      <w:pPr>
        <w:pStyle w:val="BodyText"/>
      </w:pPr>
      <w:r>
        <w:t xml:space="preserve">The preregistered protocol required participants to score above 80% on the post-training</w:t>
      </w:r>
      <w:r>
        <w:t xml:space="preserve"> </w:t>
      </w:r>
      <w:r>
        <w:t xml:space="preserve">behavioural test in each grammar session before proceeding to the EEG experiment. After</w:t>
      </w:r>
      <w:r>
        <w:t xml:space="preserve"> </w:t>
      </w:r>
      <w:r>
        <w:t xml:space="preserve">a few participants had been tested, we recognised that this criterion was too strict and</w:t>
      </w:r>
      <w:r>
        <w:t xml:space="preserve"> </w:t>
      </w:r>
      <w:r>
        <w:t xml:space="preserve">modified the procedure: when the first test score was below 80%, pretraining, training</w:t>
      </w:r>
      <w:r>
        <w:t xml:space="preserve"> </w:t>
      </w:r>
      <w:r>
        <w:t xml:space="preserve">and the test were repeated; after the second attempt, participants proceeded to the</w:t>
      </w:r>
      <w:r>
        <w:t xml:space="preserve"> </w:t>
      </w:r>
      <w:r>
        <w:t xml:space="preserve">experiment regardless of their score. Participants were shown their percentage correct</w:t>
      </w:r>
      <w:r>
        <w:t xml:space="preserve"> </w:t>
      </w:r>
      <w:r>
        <w:t xml:space="preserve">at the end of each test attempt. The 80% threshold therefore describes the first-attempt</w:t>
      </w:r>
      <w:r>
        <w:t xml:space="preserve"> </w:t>
      </w:r>
      <w:r>
        <w:t xml:space="preserve">gate, not a requirement imposed on the second attempt. This performance threshold is</w:t>
      </w:r>
      <w:r>
        <w:t xml:space="preserve"> </w:t>
      </w:r>
      <w:r>
        <w:t xml:space="preserve">both an inclusion criterion and a performance-conditional missingness mechanism, since</w:t>
      </w:r>
      <w:r>
        <w:t xml:space="preserve"> </w:t>
      </w:r>
      <w:r>
        <w:t xml:space="preserve">it conditions which participant-sessions contribute EEG and behaviour. Its effect is</w:t>
      </w:r>
      <w:r>
        <w:t xml:space="preserve"> </w:t>
      </w:r>
      <w:r>
        <w:t xml:space="preserve">therefore folded into the attendance counts in</w:t>
      </w:r>
      <w:r>
        <w:t xml:space="preserve"> </w:t>
      </w:r>
      <w:hyperlink w:anchor="fig-flow">
        <w:r>
          <w:rPr>
            <w:rStyle w:val="Hyperlink"/>
          </w:rPr>
          <w:t xml:space="preserve">Figure 3</w:t>
        </w:r>
      </w:hyperlink>
      <w:r>
        <w:t xml:space="preserve">, which record who contributed</w:t>
      </w:r>
      <w:r>
        <w:t xml:space="preserve"> </w:t>
      </w:r>
      <w:r>
        <w:t xml:space="preserve">data at each stage but not why. Per-session gate outcomes are not reported. They can only</w:t>
      </w:r>
      <w:r>
        <w:t xml:space="preserve"> </w:t>
      </w:r>
      <w:r>
        <w:t xml:space="preserve">be reconstructed from the terminal pass flag in the training logs, and that reconstruction</w:t>
      </w:r>
      <w:r>
        <w:t xml:space="preserve"> </w:t>
      </w:r>
      <w:r>
        <w:t xml:space="preserve">does not reconcile with the attendance counts at Session 4, so we do not quote numbers</w:t>
      </w:r>
      <w:r>
        <w:t xml:space="preserve"> </w:t>
      </w:r>
      <w:r>
        <w:t xml:space="preserve">from it.</w:t>
      </w:r>
    </w:p>
    <w:bookmarkEnd w:id="92"/>
    <w:bookmarkEnd w:id="93"/>
    <w:bookmarkStart w:id="119" w:name="results"/>
    <w:p>
      <w:pPr>
        <w:pStyle w:val="Heading1"/>
      </w:pPr>
      <w:r>
        <w:t xml:space="preserve">Results</w:t>
      </w:r>
    </w:p>
    <w:p>
      <w:pPr>
        <w:pStyle w:val="FirstParagraph"/>
      </w:pPr>
      <w:r>
        <w:t xml:space="preserve">All 102 fitted models met the convergence criteria. Taken over every parameter of every model, the largest rank-normalised</w:t>
      </w:r>
      <w:r>
        <w:t xml:space="preserve"> </w:t>
      </w:r>
      <m:oMath>
        <m:acc>
          <m:accPr>
            <m:chr m:val="̂"/>
          </m:accPr>
          <m:e>
            <m:r>
              <m:t>R</m:t>
            </m:r>
          </m:e>
        </m:acc>
      </m:oMath>
      <w:r>
        <w:t xml:space="preserve"> </w:t>
      </w:r>
      <w:r>
        <w:t xml:space="preserve">was 1.007, the smallest bulk and tail effective sample sizes were 593 and 1,128, and no model produced a divergent transition. Per-model values are given in</w:t>
      </w:r>
      <w:r>
        <w:t xml:space="preserve"> </w:t>
      </w:r>
      <w:hyperlink w:anchor="tbl-convergence-appendix">
        <w:r>
          <w:rPr>
            <w:rStyle w:val="Hyperlink"/>
          </w:rPr>
          <w:t xml:space="preserve">Table D1</w:t>
        </w:r>
      </w:hyperlink>
      <w:r>
        <w:t xml:space="preserve">.</w:t>
      </w:r>
    </w:p>
    <w:bookmarkStart w:id="111" w:name="Xf4fae0881c607eb6863bf9a1bc4ed423905f27f"/>
    <w:p>
      <w:pPr>
        <w:pStyle w:val="Heading2"/>
      </w:pPr>
      <w:r>
        <w:t xml:space="preserve">ERP signatures of grammatical processing and their development</w:t>
      </w:r>
    </w:p>
    <w:p>
      <w:pPr>
        <w:pStyle w:val="FirstParagraph"/>
      </w:pPr>
      <w:r>
        <w:t xml:space="preserve">We assess, for each property, whether it elicited a grammaticality effect, whether that</w:t>
      </w:r>
      <w:r>
        <w:t xml:space="preserve"> </w:t>
      </w:r>
      <w:r>
        <w:t xml:space="preserve">effect sharpened across sessions (the grammaticality</w:t>
      </w:r>
      <w:r>
        <w:t xml:space="preserve"> </w:t>
      </w:r>
      <m:oMath>
        <m:r>
          <m:rPr>
            <m:sty m:val="p"/>
          </m:rPr>
          <m:t>×</m:t>
        </m:r>
      </m:oMath>
      <w:r>
        <w:t xml:space="preserve"> </w:t>
      </w:r>
      <w:r>
        <w:t xml:space="preserve">session interaction), and</w:t>
      </w:r>
      <w:r>
        <w:t xml:space="preserve"> </w:t>
      </w:r>
      <w:r>
        <w:t xml:space="preserve">whether that development was modulated by language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 The overall pattern is property-specific, with gender</w:t>
      </w:r>
      <w:r>
        <w:t xml:space="preserve"> </w:t>
      </w:r>
      <w:r>
        <w:t xml:space="preserve">agreement showing the clearest and most broadly distributed learning effect, credible in</w:t>
      </w:r>
      <w:r>
        <w:t xml:space="preserve"> </w:t>
      </w:r>
      <w:r>
        <w:t xml:space="preserve">5 of 6 cells;</w:t>
      </w:r>
      <w:r>
        <w:t xml:space="preserve"> </w:t>
      </w:r>
      <w:r>
        <w:t xml:space="preserve">verb–object number agreement a late, language-conditioned effect; and differential object</w:t>
      </w:r>
      <w:r>
        <w:t xml:space="preserve"> </w:t>
      </w:r>
      <w:r>
        <w:t xml:space="preserve">marking a transient early grammaticality effect with a late, language-conditioned</w:t>
      </w:r>
      <w:r>
        <w:t xml:space="preserve"> </w:t>
      </w:r>
      <w:r>
        <w:t xml:space="preserve">modulation (</w:t>
      </w:r>
      <w:hyperlink w:anchor="fig-erp-forest">
        <w:r>
          <w:rPr>
            <w:rStyle w:val="Hyperlink"/>
          </w:rPr>
          <w:t xml:space="preserve">Figure 7</w:t>
        </w:r>
      </w:hyperlink>
      <w:r>
        <w:t xml:space="preserve">). The underlying condition averages are shown as</w:t>
      </w:r>
      <w:r>
        <w:t xml:space="preserve"> </w:t>
      </w:r>
      <w:r>
        <w:t xml:space="preserve">grand-average waveforms in</w:t>
      </w:r>
      <w:r>
        <w:t xml:space="preserve"> </w:t>
      </w:r>
      <w:hyperlink w:anchor="fig-erp-waveforms">
        <w:r>
          <w:rPr>
            <w:rStyle w:val="Hyperlink"/>
          </w:rPr>
          <w:t xml:space="preserve">Figure 8</w:t>
        </w:r>
      </w:hyperlink>
      <w:r>
        <w:t xml:space="preserve">. Because those overlaid waveforms are</w:t>
      </w:r>
      <w:r>
        <w:t xml:space="preserve"> </w:t>
      </w:r>
      <w:r>
        <w:t xml:space="preserve">dominated by the shared evoked response, the difference waves that isolate the</w:t>
      </w:r>
      <w:r>
        <w:t xml:space="preserve"> </w:t>
      </w:r>
      <w:r>
        <w:t xml:space="preserve">grammaticality effect are given in</w:t>
      </w:r>
      <w:r>
        <w:t xml:space="preserve"> </w:t>
      </w:r>
      <w:hyperlink w:anchor="apx-difference-waves">
        <w:r>
          <w:rPr>
            <w:rStyle w:val="Hyperlink"/>
          </w:rPr>
          <w:t xml:space="preserve">Appendix E</w:t>
        </w:r>
      </w:hyperlink>
      <w:r>
        <w:t xml:space="preserve"> </w:t>
      </w:r>
      <w:r>
        <w:t xml:space="preserve">(</w:t>
      </w:r>
      <w:hyperlink w:anchor="fig-erp-difference">
        <w:r>
          <w:rPr>
            <w:rStyle w:val="Hyperlink"/>
          </w:rPr>
          <w:t xml:space="preserve">Figure E1</w:t>
        </w:r>
      </w:hyperlink>
      <w:r>
        <w:t xml:space="preserve">).</w:t>
      </w:r>
    </w:p>
    <w:p>
      <w:pPr>
        <w:pStyle w:val="BodyText"/>
      </w:pPr>
      <w:r>
        <w:t xml:space="preserve">One coding fact governs how every coefficient below should be read. A positive</w:t>
      </w:r>
      <w:r>
        <w:t xml:space="preserve"> </w:t>
      </w:r>
      <w:r>
        <w:t xml:space="preserve">grammaticality coefficient means that grammatical trials were more positive than</w:t>
      </w:r>
      <w:r>
        <w:t xml:space="preserve"> </w:t>
      </w:r>
      <w:r>
        <w:t xml:space="preserve">ungrammatical ones, because grammaticality is coded grammatical</w:t>
      </w:r>
      <w:r>
        <w:t xml:space="preserve"> </w:t>
      </w:r>
      <m:oMath>
        <m:r>
          <m:rPr>
            <m:sty m:val="p"/>
          </m:rPr>
          <m:t>=</m:t>
        </m:r>
        <m:r>
          <m:rPr>
            <m:sty m:val="p"/>
          </m:rPr>
          <m:t>+</m:t>
        </m:r>
        <m:r>
          <m:t>0.5</m:t>
        </m:r>
      </m:oMath>
      <w:r>
        <w:t xml:space="preserve">. Violations</w:t>
      </w:r>
      <w:r>
        <w:t xml:space="preserve"> </w:t>
      </w:r>
      <w:r>
        <w:t xml:space="preserve">therefore appear as a relative negativity. The canonical P600 would produce a negative</w:t>
      </w:r>
      <w:r>
        <w:t xml:space="preserve"> </w:t>
      </w:r>
      <w:r>
        <w:t xml:space="preserve">coefficient. Every credible grammaticality effect below is positive, so the dominant</w:t>
      </w:r>
      <w:r>
        <w:t xml:space="preserve"> </w:t>
      </w:r>
      <w:r>
        <w:t xml:space="preserve">signature in these learners is a violation-related negativity where our priors</w:t>
      </w:r>
      <w:r>
        <w:t xml:space="preserve"> </w:t>
      </w:r>
      <w:r>
        <w:t xml:space="preserve">anticipated a late positivity, a point we return to in the Discussion. Results are</w:t>
      </w:r>
      <w:r>
        <w:t xml:space="preserve"> </w:t>
      </w:r>
      <w:r>
        <w:t xml:space="preserve">organised by property.</w:t>
      </w:r>
    </w:p>
    <w:bookmarkStart w:id="97" w:name="fig-erp-forest"/>
    <w:p>
      <w:pPr>
        <w:pStyle w:val="FigureTitle"/>
      </w:pPr>
      <w:r>
        <w:t xml:space="preserve">Figure 7</w:t>
      </w:r>
    </w:p>
    <w:p>
      <w:pPr>
        <w:pStyle w:val="Caption"/>
      </w:pPr>
      <w:r>
        <w:t xml:space="preserve">Posterior Medians and 95% Credible Intervals for the Key Standardised Effects Across ERP Cells</w:t>
      </w:r>
    </w:p>
    <w:p>
      <w:pPr>
        <w:pStyle w:val="FigureWithNote"/>
      </w:pPr>
      <w:r>
        <w:drawing>
          <wp:inline>
            <wp:extent cx="5943600" cy="6400799"/>
            <wp:effectExtent b="0" l="0" r="0" t="0"/>
            <wp:docPr descr="" title="" id="95" name="Picture"/>
            <a:graphic>
              <a:graphicData uri="http://schemas.openxmlformats.org/drawingml/2006/picture">
                <pic:pic>
                  <pic:nvPicPr>
                    <pic:cNvPr descr="paper_1_morphosyntax_files/figure-docx/fig-erp-forest-1.png" id="96" name="Picture"/>
                    <pic:cNvPicPr>
                      <a:picLocks noChangeArrowheads="1" noChangeAspect="1"/>
                    </pic:cNvPicPr>
                  </pic:nvPicPr>
                  <pic:blipFill>
                    <a:blip r:embed="rId94"/>
                    <a:stretch>
                      <a:fillRect/>
                    </a:stretch>
                  </pic:blipFill>
                  <pic:spPr bwMode="auto">
                    <a:xfrm>
                      <a:off x="0" y="0"/>
                      <a:ext cx="5943600" cy="6400799"/>
                    </a:xfrm>
                    <a:prstGeom prst="rect">
                      <a:avLst/>
                    </a:prstGeom>
                    <a:noFill/>
                    <a:ln w="9525">
                      <a:noFill/>
                      <a:headEnd/>
                      <a:tailEnd/>
                    </a:ln>
                  </pic:spPr>
                </pic:pic>
              </a:graphicData>
            </a:graphic>
          </wp:inline>
        </w:drawing>
      </w:r>
    </w:p>
    <w:bookmarkEnd w:id="97"/>
    <w:p>
      <w:pPr>
        <w:pStyle w:val="FigureNote"/>
      </w:pPr>
      <w:r>
        <w:rPr>
          <w:i/>
          <w:iCs/>
        </w:rPr>
        <w:t xml:space="preserve">Note</w:t>
      </w:r>
      <w:r>
        <w:t xml:space="preserve">. Cells are arranged by grammatical property (rows) and term (columns), with each cell’s window and macroregion on the vertical axis. All panels share a common x axis, so effect magnitudes are directly comparable across cells and terms. Filled points mark effects whose 95% interval excludes zero; open points do not. Estimates are in within-participant SD units.</w:t>
      </w:r>
    </w:p>
    <w:bookmarkStart w:id="101" w:name="fig-erp-waveforms"/>
    <w:p>
      <w:pPr>
        <w:pStyle w:val="FigureTitle"/>
      </w:pPr>
      <w:r>
        <w:t xml:space="preserve">Figure 8</w:t>
      </w:r>
    </w:p>
    <w:p>
      <w:pPr>
        <w:pStyle w:val="Caption"/>
      </w:pPr>
      <w:r>
        <w:t xml:space="preserve">Grand-Average ERPs per Property at Two Representative Sites</w:t>
      </w:r>
    </w:p>
    <w:p>
      <w:pPr>
        <w:pStyle w:val="FigureWithNote"/>
      </w:pPr>
      <w:r>
        <w:drawing>
          <wp:inline>
            <wp:extent cx="5943600" cy="4572000"/>
            <wp:effectExtent b="0" l="0" r="0" t="0"/>
            <wp:docPr descr="" title="" id="99" name="Picture"/>
            <a:graphic>
              <a:graphicData uri="http://schemas.openxmlformats.org/drawingml/2006/picture">
                <pic:pic>
                  <pic:nvPicPr>
                    <pic:cNvPr descr="paper_1_morphosyntax_files/figure-docx/fig-erp-waveforms-1.png" id="100" name="Picture"/>
                    <pic:cNvPicPr>
                      <a:picLocks noChangeArrowheads="1" noChangeAspect="1"/>
                    </pic:cNvPicPr>
                  </pic:nvPicPr>
                  <pic:blipFill>
                    <a:blip r:embed="rId98"/>
                    <a:stretch>
                      <a:fillRect/>
                    </a:stretch>
                  </pic:blipFill>
                  <pic:spPr bwMode="auto">
                    <a:xfrm>
                      <a:off x="0" y="0"/>
                      <a:ext cx="5943600" cy="4572000"/>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Waveforms are shown at a midline posterior region (parieto-occipital, spanning the P600) and a left-anterior region (spanning the LAN/early negativity), grammatical against ungrammatical. Each line is the mean over all retained trials of all contributing participants, so participants with more retained trials contribute more to the mean. Positive voltage is plotted upward. Time zero is critical-word onset, and the pre-stimulus baseline (</w:t>
      </w:r>
      <m:oMath>
        <m:r>
          <m:rPr>
            <m:sty m:val="p"/>
          </m:rPr>
          <m:t>−</m:t>
        </m:r>
        <m:r>
          <m:t>100</m:t>
        </m:r>
      </m:oMath>
      <w:r>
        <w:t xml:space="preserve"> </w:t>
      </w:r>
      <w:r>
        <w:t xml:space="preserve">to 0 ms) is shaded. The vertical axis is scaled separately for the two sites. The waveforms are not baseline-corrected (the single-trial models use each trial’s own pre-stimulus baseline). The three a priori analysis windows (200–500, 300–600 and 400–900 ms) are shaded. They overlap by design, because the underlying components do, so the depth of shading reflects window overlap and does not mark out any one window. These are descriptive condition averages with no uncertainty band, and the inferential statements come from the models in the forest plot. Unlike those models, they are computed on the full sample, including the four mis-filtered Session-3 datasets described in the Method.</w:t>
      </w:r>
    </w:p>
    <w:bookmarkStart w:id="102" w:name="subjectverb-gender-agreement"/>
    <w:p>
      <w:pPr>
        <w:pStyle w:val="Heading3"/>
      </w:pPr>
      <w:r>
        <w:t xml:space="preserve">Subject–verb gender agreement</w:t>
      </w:r>
    </w:p>
    <w:p>
      <w:pPr>
        <w:pStyle w:val="FirstParagraph"/>
      </w:pPr>
      <w:r>
        <w:t xml:space="preserve">Gender agreement showed the clearest profile. The grammaticality effect was positive in</w:t>
      </w:r>
      <w:r>
        <w:t xml:space="preserve"> </w:t>
      </w:r>
      <w:r>
        <w:t xml:space="preserve">direction in every window and macroregion (</w:t>
      </w:r>
      <m:oMath>
        <m:sSub>
          <m:e>
            <m:r>
              <m:t>p</m:t>
            </m:r>
          </m:e>
          <m:sub>
            <m:r>
              <m:t>d</m:t>
            </m:r>
          </m:sub>
        </m:sSub>
      </m:oMath>
      <w:r>
        <w:t xml:space="preserve"> </w:t>
      </w:r>
      <w:r>
        <w:t xml:space="preserve">from</w:t>
      </w:r>
      <w:r>
        <w:t xml:space="preserve"> </w:t>
      </w:r>
      <w:r>
        <w:t xml:space="preserve">.93 to .997;</w:t>
      </w:r>
      <w:r>
        <w:t xml:space="preserve"> </w:t>
      </w:r>
      <w:hyperlink w:anchor="fig-erp-forest">
        <w:r>
          <w:rPr>
            <w:rStyle w:val="Hyperlink"/>
          </w:rPr>
          <w:t xml:space="preserve">Figure 7</w:t>
        </w:r>
      </w:hyperlink>
      <w:r>
        <w:t xml:space="preserve">) and credible in</w:t>
      </w:r>
      <w:r>
        <w:t xml:space="preserve"> </w:t>
      </w:r>
      <w:r>
        <w:t xml:space="preserve">2 of 6 cells, both of them on the</w:t>
      </w:r>
      <w:r>
        <w:t xml:space="preserve"> </w:t>
      </w:r>
      <w:r>
        <w:t xml:space="preserve">midline.</w:t>
      </w:r>
      <w:r>
        <w:t xml:space="preserve"> </w:t>
      </w:r>
      <w:r>
        <w:t xml:space="preserve">Laterally, the intervals include zero throughout. The effect also sharpened across</w:t>
      </w:r>
      <w:r>
        <w:t xml:space="preserve"> </w:t>
      </w:r>
      <w:r>
        <w:t xml:space="preserve">sessions, and that development is the better supported of the two. The</w:t>
      </w:r>
      <w:r>
        <w:t xml:space="preserve"> </w:t>
      </w:r>
      <w:r>
        <w:t xml:space="preserve">grammaticality</w:t>
      </w:r>
      <w:r>
        <w:t xml:space="preserve"> </w:t>
      </w:r>
      <m:oMath>
        <m:r>
          <m:rPr>
            <m:sty m:val="p"/>
          </m:rPr>
          <m:t>×</m:t>
        </m:r>
      </m:oMath>
      <w:r>
        <w:t xml:space="preserve"> </w:t>
      </w:r>
      <w:r>
        <w:t xml:space="preserve">session interaction was credible from the early window (lateral</w:t>
      </w:r>
      <w:r>
        <w:t xml:space="preserve"> </w:t>
      </w:r>
      <w:r>
        <w:t xml:space="preserve">200–500 ms,</w:t>
      </w:r>
      <w:r>
        <w:t xml:space="preserve"> </w:t>
      </w:r>
      <m:oMath>
        <m:r>
          <m:t>b</m:t>
        </m:r>
        <m:r>
          <m:rPr>
            <m:sty m:val="p"/>
          </m:rPr>
          <m:t>=</m:t>
        </m:r>
        <m:r>
          <m:t>0.012</m:t>
        </m:r>
      </m:oMath>
      <w:r>
        <w:t xml:space="preserve">, 95% CrI</w:t>
      </w:r>
      <w:r>
        <w:t xml:space="preserve"> </w:t>
      </w:r>
      <m:oMath>
        <m:r>
          <m:rPr>
            <m:sty m:val="p"/>
          </m:rPr>
          <m:t>[</m:t>
        </m:r>
        <m:r>
          <m:t>0.006</m:t>
        </m:r>
        <m:r>
          <m:rPr>
            <m:sty m:val="p"/>
          </m:rPr>
          <m:t>,</m:t>
        </m:r>
        <m:r>
          <m:t>0.019</m:t>
        </m:r>
        <m:r>
          <m:rPr>
            <m:sty m:val="p"/>
          </m:rPr>
          <m:t>]</m:t>
        </m:r>
      </m:oMath>
      <w:r>
        <w:t xml:space="preserve">,</w:t>
      </w:r>
      <w:r>
        <w:t xml:space="preserve"> </w:t>
      </w:r>
      <m:oMath>
        <m:sSub>
          <m:e>
            <m:r>
              <m:t>p</m:t>
            </m:r>
          </m:e>
          <m:sub>
            <m:r>
              <m:t>d</m:t>
            </m:r>
          </m:sub>
        </m:sSub>
        <m:r>
          <m:rPr>
            <m:sty m:val="p"/>
          </m:rPr>
          <m:t>&gt;</m:t>
        </m:r>
        <m:r>
          <m:t>.999</m:t>
        </m:r>
      </m:oMath>
      <w:r>
        <w:t xml:space="preserve">; midline 300–600 ms,</w:t>
      </w:r>
      <w:r>
        <w:t xml:space="preserve"> </w:t>
      </w:r>
      <m:oMath>
        <m:r>
          <m:t>b</m:t>
        </m:r>
        <m:r>
          <m:rPr>
            <m:sty m:val="p"/>
          </m:rPr>
          <m:t>=</m:t>
        </m:r>
        <m:r>
          <m:t>0.011</m:t>
        </m:r>
      </m:oMath>
      <w:r>
        <w:t xml:space="preserve">, 95% CrI</w:t>
      </w:r>
      <w:r>
        <w:t xml:space="preserve"> </w:t>
      </w:r>
      <m:oMath>
        <m:r>
          <m:rPr>
            <m:sty m:val="p"/>
          </m:rPr>
          <m:t>[</m:t>
        </m:r>
        <m:r>
          <m:t>0.002</m:t>
        </m:r>
        <m:r>
          <m:rPr>
            <m:sty m:val="p"/>
          </m:rPr>
          <m:t>,</m:t>
        </m:r>
        <m:r>
          <m:t>0.020</m:t>
        </m:r>
        <m:r>
          <m:rPr>
            <m:sty m:val="p"/>
          </m:rPr>
          <m:t>]</m:t>
        </m:r>
      </m:oMath>
      <w:r>
        <w:t xml:space="preserve">,</w:t>
      </w:r>
      <w:r>
        <w:t xml:space="preserve"> </w:t>
      </w:r>
      <m:oMath>
        <m:sSub>
          <m:e>
            <m:r>
              <m:t>p</m:t>
            </m:r>
          </m:e>
          <m:sub>
            <m:r>
              <m:t>d</m:t>
            </m:r>
          </m:sub>
        </m:sSub>
        <m:r>
          <m:rPr>
            <m:sty m:val="p"/>
          </m:rPr>
          <m:t>=</m:t>
        </m:r>
        <m:r>
          <m:t>.99</m:t>
        </m:r>
      </m:oMath>
      <w:r>
        <w:t xml:space="preserve">) through the late window (midline 400–900 ms,</w:t>
      </w:r>
      <w:r>
        <w:t xml:space="preserve"> </w:t>
      </w:r>
      <m:oMath>
        <m:r>
          <m:t>b</m:t>
        </m:r>
        <m:r>
          <m:rPr>
            <m:sty m:val="p"/>
          </m:rPr>
          <m:t>=</m:t>
        </m:r>
        <m:r>
          <m:t>0.021</m:t>
        </m:r>
      </m:oMath>
      <w:r>
        <w:t xml:space="preserve">, 95% CrI</w:t>
      </w:r>
      <w:r>
        <w:t xml:space="preserve"> </w:t>
      </w:r>
      <m:oMath>
        <m:r>
          <m:rPr>
            <m:sty m:val="p"/>
          </m:rPr>
          <m:t>[</m:t>
        </m:r>
        <m:r>
          <m:t>0.011</m:t>
        </m:r>
        <m:r>
          <m:rPr>
            <m:sty m:val="p"/>
          </m:rPr>
          <m:t>,</m:t>
        </m:r>
        <m:r>
          <m:t>0.030</m:t>
        </m:r>
        <m:r>
          <m:rPr>
            <m:sty m:val="p"/>
          </m:rPr>
          <m:t>]</m:t>
        </m:r>
      </m:oMath>
      <w:r>
        <w:t xml:space="preserve">,</w:t>
      </w:r>
      <w:r>
        <w:t xml:space="preserve"> </w:t>
      </w:r>
      <m:oMath>
        <m:sSub>
          <m:e>
            <m:r>
              <m:t>p</m:t>
            </m:r>
          </m:e>
          <m:sub>
            <m:r>
              <m:t>d</m:t>
            </m:r>
          </m:sub>
        </m:sSub>
        <m:r>
          <m:rPr>
            <m:sty m:val="p"/>
          </m:rPr>
          <m:t>&gt;</m:t>
        </m:r>
        <m:r>
          <m:t>.999</m:t>
        </m:r>
      </m:oMath>
      <w:r>
        <w:t xml:space="preserve">). Source-language transfer in the ERP signal was</w:t>
      </w:r>
      <w:r>
        <w:t xml:space="preserve"> </w:t>
      </w:r>
      <w:r>
        <w:t xml:space="preserve">not credible, however.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 sat</w:t>
      </w:r>
      <w:r>
        <w:t xml:space="preserve"> </w:t>
      </w:r>
      <w:r>
        <w:t xml:space="preserve">near zero in the late window (</w:t>
      </w:r>
      <m:oMath>
        <m:r>
          <m:t>b</m:t>
        </m:r>
        <m:r>
          <m:rPr>
            <m:sty m:val="p"/>
          </m:rPr>
          <m:t>=</m:t>
        </m:r>
        <m:r>
          <m:rPr>
            <m:sty m:val="p"/>
          </m:rPr>
          <m:t>−</m:t>
        </m:r>
        <m:r>
          <m:t>0.0001</m:t>
        </m:r>
      </m:oMath>
      <w:r>
        <w:t xml:space="preserve">, 95% CrI</w:t>
      </w:r>
      <w:r>
        <w:t xml:space="preserve"> </w:t>
      </w:r>
      <m:oMath>
        <m:r>
          <m:rPr>
            <m:sty m:val="p"/>
          </m:rPr>
          <m:t>[</m:t>
        </m:r>
        <m:r>
          <m:rPr>
            <m:sty m:val="p"/>
          </m:rPr>
          <m:t>−</m:t>
        </m:r>
        <m:r>
          <m:t>0.0099</m:t>
        </m:r>
        <m:r>
          <m:rPr>
            <m:sty m:val="p"/>
          </m:rPr>
          <m:t>,</m:t>
        </m:r>
        <m:r>
          <m:t>0.0097</m:t>
        </m:r>
        <m:r>
          <m:rPr>
            <m:sty m:val="p"/>
          </m:rPr>
          <m:t>]</m:t>
        </m:r>
      </m:oMath>
      <w:r>
        <w:t xml:space="preserve">,</w:t>
      </w:r>
      <w:r>
        <w:t xml:space="preserve"> </w:t>
      </w:r>
      <m:oMath>
        <m:sSub>
          <m:e>
            <m:r>
              <m:t>p</m:t>
            </m:r>
          </m:e>
          <m:sub>
            <m:r>
              <m:t>d</m:t>
            </m:r>
          </m:sub>
        </m:sSub>
        <m:r>
          <m:rPr>
            <m:sty m:val="p"/>
          </m:rPr>
          <m:t>=</m:t>
        </m:r>
        <m:r>
          <m:t>.51</m:t>
        </m:r>
      </m:oMath>
      <w:r>
        <w:t xml:space="preserve">), with only an</w:t>
      </w:r>
      <w:r>
        <w:t xml:space="preserve"> </w:t>
      </w:r>
      <w:r>
        <w:t xml:space="preserve">early-window hint (midline 200–500 ms,</w:t>
      </w:r>
      <w:r>
        <w:t xml:space="preserve"> </w:t>
      </w:r>
      <m:oMath>
        <m:r>
          <m:t>b</m:t>
        </m:r>
        <m:r>
          <m:rPr>
            <m:sty m:val="p"/>
          </m:rPr>
          <m:t>=</m:t>
        </m:r>
        <m:r>
          <m:t>0.007</m:t>
        </m:r>
      </m:oMath>
      <w:r>
        <w:t xml:space="preserve">, 95% CrI</w:t>
      </w:r>
      <w:r>
        <w:t xml:space="preserve"> </w:t>
      </w:r>
      <m:oMath>
        <m:r>
          <m:rPr>
            <m:sty m:val="p"/>
          </m:rPr>
          <m:t>[</m:t>
        </m:r>
        <m:r>
          <m:rPr>
            <m:sty m:val="p"/>
          </m:rPr>
          <m:t>−</m:t>
        </m:r>
        <m:r>
          <m:t>0.002</m:t>
        </m:r>
        <m:r>
          <m:rPr>
            <m:sty m:val="p"/>
          </m:rPr>
          <m:t>,</m:t>
        </m:r>
        <m:r>
          <m:t>0.016</m:t>
        </m:r>
        <m:r>
          <m:rPr>
            <m:sty m:val="p"/>
          </m:rPr>
          <m:t>]</m:t>
        </m:r>
      </m:oMath>
      <w:r>
        <w:t xml:space="preserve">,</w:t>
      </w:r>
      <w:r>
        <w:t xml:space="preserve"> </w:t>
      </w:r>
      <m:oMath>
        <m:sSub>
          <m:e>
            <m:r>
              <m:t>p</m:t>
            </m:r>
          </m:e>
          <m:sub>
            <m:r>
              <m:t>d</m:t>
            </m:r>
          </m:sub>
        </m:sSub>
        <m:r>
          <m:rPr>
            <m:sty m:val="p"/>
          </m:rPr>
          <m:t>=</m:t>
        </m:r>
        <m:r>
          <m:t>.93</m:t>
        </m:r>
      </m:oMath>
      <w:r>
        <w:t xml:space="preserve">).</w:t>
      </w:r>
    </w:p>
    <w:bookmarkEnd w:id="102"/>
    <w:bookmarkStart w:id="103" w:name="differential-object-marking"/>
    <w:p>
      <w:pPr>
        <w:pStyle w:val="Heading3"/>
      </w:pPr>
      <w:r>
        <w:t xml:space="preserve">Differential object marking</w:t>
      </w:r>
    </w:p>
    <w:p>
      <w:pPr>
        <w:pStyle w:val="FirstParagraph"/>
      </w:pPr>
      <w:r>
        <w:t xml:space="preserve">Differential object marking showed an early, transient grammaticality effect (grammatical</w:t>
      </w:r>
      <w:r>
        <w:t xml:space="preserve"> </w:t>
      </w:r>
      <w:r>
        <w:t xml:space="preserve">trials more positive, a relative violation negativity), and no developing late</w:t>
      </w:r>
      <w:r>
        <w:t xml:space="preserve"> </w:t>
      </w:r>
      <w:r>
        <w:t xml:space="preserve">effect. The effect was credible in the early midline window alone</w:t>
      </w:r>
      <w:r>
        <w:t xml:space="preserve"> </w:t>
      </w:r>
      <w:r>
        <w:t xml:space="preserve">(</w:t>
      </w:r>
      <w:hyperlink w:anchor="fig-erp-forest">
        <w:r>
          <w:rPr>
            <w:rStyle w:val="Hyperlink"/>
          </w:rPr>
          <w:t xml:space="preserve">Figure 7</w:t>
        </w:r>
      </w:hyperlink>
      <w:r>
        <w:t xml:space="preserve">; 200–500 ms,</w:t>
      </w:r>
      <w:r>
        <w:t xml:space="preserve"> </w:t>
      </w:r>
      <m:oMath>
        <m:r>
          <m:t>b</m:t>
        </m:r>
        <m:r>
          <m:rPr>
            <m:sty m:val="p"/>
          </m:rPr>
          <m:t>=</m:t>
        </m:r>
        <m:r>
          <m:t>0.0311</m:t>
        </m:r>
      </m:oMath>
      <w:r>
        <w:t xml:space="preserve">, 95% CrI</w:t>
      </w:r>
      <w:r>
        <w:t xml:space="preserve"> </w:t>
      </w:r>
      <m:oMath>
        <m:r>
          <m:rPr>
            <m:sty m:val="p"/>
          </m:rPr>
          <m:t>[</m:t>
        </m:r>
        <m:r>
          <m:t>0.0002</m:t>
        </m:r>
        <m:r>
          <m:rPr>
            <m:sty m:val="p"/>
          </m:rPr>
          <m:t>,</m:t>
        </m:r>
        <m:r>
          <m:t>0.0621</m:t>
        </m:r>
        <m:r>
          <m:rPr>
            <m:sty m:val="p"/>
          </m:rPr>
          <m:t>]</m:t>
        </m:r>
      </m:oMath>
      <w:r>
        <w:t xml:space="preserve">,</w:t>
      </w:r>
      <w:r>
        <w:t xml:space="preserve"> </w:t>
      </w:r>
      <m:oMath>
        <m:sSub>
          <m:e>
            <m:r>
              <m:t>p</m:t>
            </m:r>
          </m:e>
          <m:sub>
            <m:r>
              <m:t>d</m:t>
            </m:r>
          </m:sub>
        </m:sSub>
        <m:r>
          <m:rPr>
            <m:sty m:val="p"/>
          </m:rPr>
          <m:t>=</m:t>
        </m:r>
        <m:r>
          <m:t>.98</m:t>
        </m:r>
      </m:oMath>
      <w:r>
        <w:t xml:space="preserve">), with its</w:t>
      </w:r>
      <w:r>
        <w:t xml:space="preserve"> </w:t>
      </w:r>
      <w:r>
        <w:t xml:space="preserve">lateral counterpart positive but not credible</w:t>
      </w:r>
      <w:r>
        <w:t xml:space="preserve"> </w:t>
      </w:r>
      <w:r>
        <w:t xml:space="preserve">(</w:t>
      </w:r>
      <m:oMath>
        <m:r>
          <m:t>b</m:t>
        </m:r>
        <m:r>
          <m:rPr>
            <m:sty m:val="p"/>
          </m:rPr>
          <m:t>=</m:t>
        </m:r>
        <m:r>
          <m:t>0.024</m:t>
        </m:r>
      </m:oMath>
      <w:r>
        <w:t xml:space="preserve">, 95% CrI</w:t>
      </w:r>
      <w:r>
        <w:t xml:space="preserve"> </w:t>
      </w:r>
      <m:oMath>
        <m:r>
          <m:rPr>
            <m:sty m:val="p"/>
          </m:rPr>
          <m:t>[</m:t>
        </m:r>
        <m:r>
          <m:rPr>
            <m:sty m:val="p"/>
          </m:rPr>
          <m:t>−</m:t>
        </m:r>
        <m:r>
          <m:t>0.003</m:t>
        </m:r>
        <m:r>
          <m:rPr>
            <m:sty m:val="p"/>
          </m:rPr>
          <m:t>,</m:t>
        </m:r>
        <m:r>
          <m:t>0.050</m:t>
        </m:r>
        <m:r>
          <m:rPr>
            <m:sty m:val="p"/>
          </m:rPr>
          <m:t>]</m:t>
        </m:r>
      </m:oMath>
      <w:r>
        <w:t xml:space="preserve">,</w:t>
      </w:r>
      <w:r>
        <w:t xml:space="preserve"> </w:t>
      </w:r>
      <m:oMath>
        <m:sSub>
          <m:e>
            <m:r>
              <m:t>p</m:t>
            </m:r>
          </m:e>
          <m:sub>
            <m:r>
              <m:t>d</m:t>
            </m:r>
          </m:sub>
        </m:sSub>
        <m:r>
          <m:rPr>
            <m:sty m:val="p"/>
          </m:rPr>
          <m:t>=</m:t>
        </m:r>
        <m:r>
          <m:t>.96</m:t>
        </m:r>
      </m:oMath>
      <w:r>
        <w:t xml:space="preserve">), and was, if anything, slightly negative by the late window</w:t>
      </w:r>
      <w:r>
        <w:t xml:space="preserve"> </w:t>
      </w:r>
      <w:r>
        <w:t xml:space="preserve">(midline 400–900 ms,</w:t>
      </w:r>
      <w:r>
        <w:t xml:space="preserve"> </w:t>
      </w:r>
      <m:oMath>
        <m:r>
          <m:t>b</m:t>
        </m:r>
        <m:r>
          <m:rPr>
            <m:sty m:val="p"/>
          </m:rPr>
          <m:t>=</m:t>
        </m:r>
        <m:r>
          <m:rPr>
            <m:sty m:val="p"/>
          </m:rPr>
          <m:t>−</m:t>
        </m:r>
        <m:r>
          <m:t>0.021</m:t>
        </m:r>
      </m:oMath>
      <w:r>
        <w:t xml:space="preserve">, 95% CrI</w:t>
      </w:r>
      <w:r>
        <w:t xml:space="preserve"> </w:t>
      </w:r>
      <m:oMath>
        <m:r>
          <m:rPr>
            <m:sty m:val="p"/>
          </m:rPr>
          <m:t>[</m:t>
        </m:r>
        <m:r>
          <m:rPr>
            <m:sty m:val="p"/>
          </m:rPr>
          <m:t>−</m:t>
        </m:r>
        <m:r>
          <m:t>0.051</m:t>
        </m:r>
        <m:r>
          <m:rPr>
            <m:sty m:val="p"/>
          </m:rPr>
          <m:t>,</m:t>
        </m:r>
        <m:r>
          <m:t>0.011</m:t>
        </m:r>
        <m:r>
          <m:rPr>
            <m:sty m:val="p"/>
          </m:rPr>
          <m:t>]</m:t>
        </m:r>
      </m:oMath>
      <w:r>
        <w:t xml:space="preserve">,</w:t>
      </w:r>
      <w:r>
        <w:t xml:space="preserve"> </w:t>
      </w:r>
      <m:oMath>
        <m:sSub>
          <m:e>
            <m:r>
              <m:t>p</m:t>
            </m:r>
          </m:e>
          <m:sub>
            <m:r>
              <m:t>d</m:t>
            </m:r>
          </m:sub>
        </m:sSub>
        <m:r>
          <m:rPr>
            <m:sty m:val="p"/>
          </m:rPr>
          <m:t>=</m:t>
        </m:r>
        <m:r>
          <m:t>.91</m:t>
        </m:r>
      </m:oMath>
      <w:r>
        <w:t xml:space="preserve">). One caveat</w:t>
      </w:r>
      <w:r>
        <w:t xml:space="preserve"> </w:t>
      </w:r>
      <w:r>
        <w:t xml:space="preserve">attaches to this early effect specifically. Because the violation omits the particle</w:t>
      </w:r>
      <w:r>
        <w:t xml:space="preserve"> </w:t>
      </w:r>
      <w:r>
        <w:rPr>
          <w:i/>
          <w:iCs/>
        </w:rPr>
        <w:t xml:space="preserve">fi</w:t>
      </w:r>
      <w:r>
        <w:t xml:space="preserve">, the two conditions differ physically in the region preceding the critical word. At</w:t>
      </w:r>
      <w:r>
        <w:t xml:space="preserve"> </w:t>
      </w:r>
      <w:r>
        <w:t xml:space="preserve">the roughly 505 ms word-onset asynchrony, the response to that region overlaps the</w:t>
      </w:r>
      <w:r>
        <w:t xml:space="preserve"> </w:t>
      </w:r>
      <w:r>
        <w:t xml:space="preserve">200–500 ms window of the critical epoch. The same low-level difference that renders the</w:t>
      </w:r>
      <w:r>
        <w:t xml:space="preserve"> </w:t>
      </w:r>
      <w:r>
        <w:t xml:space="preserve">pre-stimulus decoding baseline non-chance (see below) could therefore contribute here, so</w:t>
      </w:r>
      <w:r>
        <w:t xml:space="preserve"> </w:t>
      </w:r>
      <w:r>
        <w:t xml:space="preserve">we read the early effect as a violation-related response with a possible stimulus-driven</w:t>
      </w:r>
      <w:r>
        <w:t xml:space="preserve"> </w:t>
      </w:r>
      <w:r>
        <w:t xml:space="preserve">component. Its development was not credible</w:t>
      </w:r>
      <w:r>
        <w:t xml:space="preserve"> </w:t>
      </w:r>
      <w:r>
        <w:t xml:space="preserve">(</w:t>
      </w:r>
      <m:oMath>
        <m:r>
          <m:t>b</m:t>
        </m:r>
        <m:r>
          <m:rPr>
            <m:sty m:val="p"/>
          </m:rPr>
          <m:t>=</m:t>
        </m:r>
        <m:r>
          <m:rPr>
            <m:sty m:val="p"/>
          </m:rPr>
          <m:t>−</m:t>
        </m:r>
        <m:r>
          <m:t>0.002</m:t>
        </m:r>
      </m:oMath>
      <w:r>
        <w:t xml:space="preserve">, 95% CrI</w:t>
      </w:r>
      <w:r>
        <w:t xml:space="preserve"> </w:t>
      </w:r>
      <m:oMath>
        <m:r>
          <m:rPr>
            <m:sty m:val="p"/>
          </m:rPr>
          <m:t>[</m:t>
        </m:r>
        <m:r>
          <m:rPr>
            <m:sty m:val="p"/>
          </m:rPr>
          <m:t>−</m:t>
        </m:r>
        <m:r>
          <m:t>0.013</m:t>
        </m:r>
        <m:r>
          <m:rPr>
            <m:sty m:val="p"/>
          </m:rPr>
          <m:t>,</m:t>
        </m:r>
        <m:r>
          <m:t>0.010</m:t>
        </m:r>
        <m:r>
          <m:rPr>
            <m:sty m:val="p"/>
          </m:rPr>
          <m:t>]</m:t>
        </m:r>
      </m:oMath>
      <w:r>
        <w:t xml:space="preserve">,</w:t>
      </w:r>
      <w:r>
        <w:t xml:space="preserve"> </w:t>
      </w:r>
      <m:oMath>
        <m:sSub>
          <m:e>
            <m:r>
              <m:t>p</m:t>
            </m:r>
          </m:e>
          <m:sub>
            <m:r>
              <m:t>d</m:t>
            </m:r>
          </m:sub>
        </m:sSub>
        <m:r>
          <m:rPr>
            <m:sty m:val="p"/>
          </m:rPr>
          <m:t>=</m:t>
        </m:r>
        <m:r>
          <m:t>.61</m:t>
        </m:r>
      </m:oMath>
      <w:r>
        <w:t xml:space="preserve">), but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w:t>
      </w:r>
      <w:r>
        <w:t xml:space="preserve"> </w:t>
      </w:r>
      <w:r>
        <w:t xml:space="preserve">transfer interaction was credible in the two later lateral windows (300–600 ms,</w:t>
      </w:r>
      <w:r>
        <w:t xml:space="preserve"> </w:t>
      </w:r>
      <m:oMath>
        <m:r>
          <m:t>b</m:t>
        </m:r>
        <m:r>
          <m:rPr>
            <m:sty m:val="p"/>
          </m:rPr>
          <m:t>=</m:t>
        </m:r>
        <m:r>
          <m:rPr>
            <m:sty m:val="p"/>
          </m:rPr>
          <m:t>−</m:t>
        </m:r>
        <m:r>
          <m:t>0.009</m:t>
        </m:r>
      </m:oMath>
      <w:r>
        <w:t xml:space="preserve">, 95% CrI</w:t>
      </w:r>
      <w:r>
        <w:t xml:space="preserve"> </w:t>
      </w:r>
      <m:oMath>
        <m:r>
          <m:rPr>
            <m:sty m:val="p"/>
          </m:rPr>
          <m:t>[</m:t>
        </m:r>
        <m:r>
          <m:rPr>
            <m:sty m:val="p"/>
          </m:rPr>
          <m:t>−</m:t>
        </m:r>
        <m:r>
          <m:t>0.017</m:t>
        </m:r>
        <m:r>
          <m:rPr>
            <m:sty m:val="p"/>
          </m:rPr>
          <m:t>,</m:t>
        </m:r>
        <m:r>
          <m:rPr>
            <m:sty m:val="p"/>
          </m:rPr>
          <m:t>−</m:t>
        </m:r>
        <m:r>
          <m:t>0.001</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400–900 ms,</w:t>
      </w:r>
      <w:r>
        <w:t xml:space="preserve"> </w:t>
      </w:r>
      <m:oMath>
        <m:r>
          <m:t>b</m:t>
        </m:r>
        <m:r>
          <m:rPr>
            <m:sty m:val="p"/>
          </m:rPr>
          <m:t>=</m:t>
        </m:r>
        <m:r>
          <m:rPr>
            <m:sty m:val="p"/>
          </m:rPr>
          <m:t>−</m:t>
        </m:r>
        <m:r>
          <m:t>0.011</m:t>
        </m:r>
      </m:oMath>
      <w:r>
        <w:t xml:space="preserve">, 95% CrI</w:t>
      </w:r>
      <w:r>
        <w:t xml:space="preserve"> </w:t>
      </w:r>
      <m:oMath>
        <m:r>
          <m:rPr>
            <m:sty m:val="p"/>
          </m:rPr>
          <m:t>[</m:t>
        </m:r>
        <m:r>
          <m:rPr>
            <m:sty m:val="p"/>
          </m:rPr>
          <m:t>−</m:t>
        </m:r>
        <m:r>
          <m:t>0.020</m:t>
        </m:r>
        <m:r>
          <m:rPr>
            <m:sty m:val="p"/>
          </m:rPr>
          <m:t>,</m:t>
        </m:r>
        <m:r>
          <m:rPr>
            <m:sty m:val="p"/>
          </m:rPr>
          <m:t>−</m:t>
        </m:r>
        <m:r>
          <m:t>0.003</m:t>
        </m:r>
        <m:r>
          <m:rPr>
            <m:sty m:val="p"/>
          </m:rPr>
          <m:t>]</m:t>
        </m:r>
      </m:oMath>
      <w:r>
        <w:t xml:space="preserve">,</w:t>
      </w:r>
      <w:r>
        <w:t xml:space="preserve"> </w:t>
      </w:r>
      <m:oMath>
        <m:sSub>
          <m:e>
            <m:r>
              <m:t>p</m:t>
            </m:r>
          </m:e>
          <m:sub>
            <m:r>
              <m:t>d</m:t>
            </m:r>
          </m:sub>
        </m:sSub>
        <m:r>
          <m:rPr>
            <m:sty m:val="p"/>
          </m:rPr>
          <m:t>=</m:t>
        </m:r>
        <m:r>
          <m:t>.997</m:t>
        </m:r>
      </m:oMath>
      <w:r>
        <w:t xml:space="preserve">).</w:t>
      </w:r>
      <w:r>
        <w:t xml:space="preserve"> </w:t>
      </w:r>
      <w:r>
        <w:t xml:space="preserve">The effect carried the same negative sign (a development smaller for the Mini-Norwegian</w:t>
      </w:r>
      <w:r>
        <w:t xml:space="preserve"> </w:t>
      </w:r>
      <w:r>
        <w:t xml:space="preserve">group, given the coding above) in all six cells and did not reach credibility on</w:t>
      </w:r>
      <w:r>
        <w:t xml:space="preserve"> </w:t>
      </w:r>
      <w:r>
        <w:t xml:space="preserve">the midline (400–900 ms,</w:t>
      </w:r>
      <w:r>
        <w:t xml:space="preserve"> </w:t>
      </w:r>
      <m:oMath>
        <m:r>
          <m:t>b</m:t>
        </m:r>
        <m:r>
          <m:rPr>
            <m:sty m:val="p"/>
          </m:rPr>
          <m:t>=</m:t>
        </m:r>
        <m:r>
          <m:rPr>
            <m:sty m:val="p"/>
          </m:rPr>
          <m:t>−</m:t>
        </m:r>
        <m:r>
          <m:t>0.007</m:t>
        </m:r>
      </m:oMath>
      <w:r>
        <w:t xml:space="preserve">, 95% CrI</w:t>
      </w:r>
      <w:r>
        <w:t xml:space="preserve"> </w:t>
      </w:r>
      <m:oMath>
        <m:r>
          <m:rPr>
            <m:sty m:val="p"/>
          </m:rPr>
          <m:t>[</m:t>
        </m:r>
        <m:r>
          <m:rPr>
            <m:sty m:val="p"/>
          </m:rPr>
          <m:t>−</m:t>
        </m:r>
        <m:r>
          <m:t>0.018</m:t>
        </m:r>
        <m:r>
          <m:rPr>
            <m:sty m:val="p"/>
          </m:rPr>
          <m:t>,</m:t>
        </m:r>
        <m:r>
          <m:t>0.005</m:t>
        </m:r>
        <m:r>
          <m:rPr>
            <m:sty m:val="p"/>
          </m:rPr>
          <m:t>]</m:t>
        </m:r>
      </m:oMath>
      <w:r>
        <w:t xml:space="preserve">,</w:t>
      </w:r>
      <w:r>
        <w:t xml:space="preserve"> </w:t>
      </w:r>
      <m:oMath>
        <m:sSub>
          <m:e>
            <m:r>
              <m:t>p</m:t>
            </m:r>
          </m:e>
          <m:sub>
            <m:r>
              <m:t>d</m:t>
            </m:r>
          </m:sub>
        </m:sSub>
        <m:r>
          <m:rPr>
            <m:sty m:val="p"/>
          </m:rPr>
          <m:t>=</m:t>
        </m:r>
        <m:r>
          <m:t>.86</m:t>
        </m:r>
      </m:oMath>
      <w:r>
        <w:t xml:space="preserve">), so it</w:t>
      </w:r>
      <w:r>
        <w:t xml:space="preserve"> </w:t>
      </w:r>
      <w:r>
        <w:t xml:space="preserve">forms a coherent lateral, late-window pattern that spans several cells. Its sign is</w:t>
      </w:r>
      <w:r>
        <w:t xml:space="preserve"> </w:t>
      </w:r>
      <w:r>
        <w:t xml:space="preserve">opposite to the verb–object transfer effect reported next, so the two properties diverge</w:t>
      </w:r>
      <w:r>
        <w:t xml:space="preserve"> </w:t>
      </w:r>
      <w:r>
        <w:t xml:space="preserve">in direction as well as in magnitude.</w:t>
      </w:r>
    </w:p>
    <w:bookmarkEnd w:id="103"/>
    <w:bookmarkStart w:id="104" w:name="verbobject-number-agreement"/>
    <w:p>
      <w:pPr>
        <w:pStyle w:val="Heading3"/>
      </w:pPr>
      <w:r>
        <w:t xml:space="preserve">Verb–object number agreement</w:t>
      </w:r>
    </w:p>
    <w:p>
      <w:pPr>
        <w:pStyle w:val="FirstParagraph"/>
      </w:pPr>
      <w:r>
        <w:t xml:space="preserve">Verb–object number agreement, the latest-introduced property, developed only in the late</w:t>
      </w:r>
      <w:r>
        <w:t xml:space="preserve"> </w:t>
      </w:r>
      <w:r>
        <w:t xml:space="preserve">window (</w:t>
      </w:r>
      <w:hyperlink w:anchor="fig-erp-forest">
        <w:r>
          <w:rPr>
            <w:rStyle w:val="Hyperlink"/>
          </w:rPr>
          <w:t xml:space="preserve">Figure 7</w:t>
        </w:r>
      </w:hyperlink>
      <w:r>
        <w:t xml:space="preserve">), and there it bore a source-language signal. The grammaticality</w:t>
      </w:r>
      <w:r>
        <w:t xml:space="preserve"> </w:t>
      </w:r>
      <m:oMath>
        <m:r>
          <m:rPr>
            <m:sty m:val="p"/>
          </m:rPr>
          <m:t>×</m:t>
        </m:r>
      </m:oMath>
      <w:r>
        <w:t xml:space="preserve"> </w:t>
      </w:r>
      <w:r>
        <w:t xml:space="preserve">session</w:t>
      </w:r>
      <w:r>
        <w:t xml:space="preserve"> </w:t>
      </w:r>
      <w:r>
        <w:t xml:space="preserve">interaction was credible laterally (400–900 ms,</w:t>
      </w:r>
      <w:r>
        <w:t xml:space="preserve"> </w:t>
      </w:r>
      <m:oMath>
        <m:r>
          <m:t>b</m:t>
        </m:r>
        <m:r>
          <m:rPr>
            <m:sty m:val="p"/>
          </m:rPr>
          <m:t>=</m:t>
        </m:r>
        <m:r>
          <m:t>0.015</m:t>
        </m:r>
      </m:oMath>
      <w:r>
        <w:t xml:space="preserve">, 95% CrI</w:t>
      </w:r>
      <w:r>
        <w:t xml:space="preserve"> </w:t>
      </w:r>
      <m:oMath>
        <m:r>
          <m:rPr>
            <m:sty m:val="p"/>
          </m:rPr>
          <m:t>[</m:t>
        </m:r>
        <m:r>
          <m:t>0.004</m:t>
        </m:r>
        <m:r>
          <m:rPr>
            <m:sty m:val="p"/>
          </m:rPr>
          <m:t>,</m:t>
        </m:r>
        <m:r>
          <m:t>0.026</m:t>
        </m:r>
        <m:r>
          <m:rPr>
            <m:sty m:val="p"/>
          </m:rPr>
          <m:t>]</m:t>
        </m:r>
      </m:oMath>
      <w:r>
        <w:t xml:space="preserve">,</w:t>
      </w:r>
      <w:r>
        <w:t xml:space="preserve"> </w:t>
      </w:r>
      <m:oMath>
        <m:sSub>
          <m:e>
            <m:r>
              <m:t>p</m:t>
            </m:r>
          </m:e>
          <m:sub>
            <m:r>
              <m:t>d</m:t>
            </m:r>
          </m:sub>
        </m:sSub>
        <m:r>
          <m:rPr>
            <m:sty m:val="p"/>
          </m:rPr>
          <m:t>=</m:t>
        </m:r>
        <m:r>
          <m:t>.997</m:t>
        </m:r>
      </m:oMath>
      <w:r>
        <w:t xml:space="preserve">), as was the</w:t>
      </w:r>
      <w:r>
        <w:t xml:space="preserve"> </w:t>
      </w:r>
      <w:r>
        <w:t xml:space="preserve">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transfer interaction</w:t>
      </w:r>
      <w:r>
        <w:t xml:space="preserve"> </w:t>
      </w:r>
      <w:r>
        <w:t xml:space="preserve">(</w:t>
      </w:r>
      <m:oMath>
        <m:r>
          <m:t>b</m:t>
        </m:r>
        <m:r>
          <m:rPr>
            <m:sty m:val="p"/>
          </m:rPr>
          <m:t>=</m:t>
        </m:r>
        <m:r>
          <m:t>0.012</m:t>
        </m:r>
      </m:oMath>
      <w:r>
        <w:t xml:space="preserve">, 95% CrI</w:t>
      </w:r>
      <w:r>
        <w:t xml:space="preserve"> </w:t>
      </w:r>
      <m:oMath>
        <m:r>
          <m:rPr>
            <m:sty m:val="p"/>
          </m:rPr>
          <m:t>[</m:t>
        </m:r>
        <m:r>
          <m:t>0.002</m:t>
        </m:r>
        <m:r>
          <m:rPr>
            <m:sty m:val="p"/>
          </m:rPr>
          <m:t>,</m:t>
        </m:r>
        <m:r>
          <m:t>0.023</m:t>
        </m:r>
        <m:r>
          <m:rPr>
            <m:sty m:val="p"/>
          </m:rPr>
          <m:t>]</m:t>
        </m:r>
      </m:oMath>
      <w:r>
        <w:t xml:space="preserve">,</w:t>
      </w:r>
      <w:r>
        <w:t xml:space="preserve"> </w:t>
      </w:r>
      <m:oMath>
        <m:sSub>
          <m:e>
            <m:r>
              <m:t>p</m:t>
            </m:r>
          </m:e>
          <m:sub>
            <m:r>
              <m:t>d</m:t>
            </m:r>
          </m:sub>
        </m:sSub>
        <m:r>
          <m:rPr>
            <m:sty m:val="p"/>
          </m:rPr>
          <m:t>=</m:t>
        </m:r>
        <m:r>
          <m:t>.99</m:t>
        </m:r>
      </m:oMath>
      <w:r>
        <w:t xml:space="preserve">). On the midline,</w:t>
      </w:r>
      <w:r>
        <w:t xml:space="preserve"> </w:t>
      </w:r>
      <w:r>
        <w:t xml:space="preserve">the same interaction was not credible</w:t>
      </w:r>
      <w:r>
        <w:t xml:space="preserve"> </w:t>
      </w:r>
      <w:r>
        <w:t xml:space="preserve">(</w:t>
      </w:r>
      <m:oMath>
        <m:r>
          <m:t>b</m:t>
        </m:r>
        <m:r>
          <m:rPr>
            <m:sty m:val="p"/>
          </m:rPr>
          <m:t>=</m:t>
        </m:r>
        <m:r>
          <m:t>0.012</m:t>
        </m:r>
      </m:oMath>
      <w:r>
        <w:t xml:space="preserve">, 95% CrI</w:t>
      </w:r>
      <w:r>
        <w:t xml:space="preserve"> </w:t>
      </w:r>
      <m:oMath>
        <m:r>
          <m:rPr>
            <m:sty m:val="p"/>
          </m:rPr>
          <m:t>[</m:t>
        </m:r>
        <m:r>
          <m:rPr>
            <m:sty m:val="p"/>
          </m:rPr>
          <m:t>−</m:t>
        </m:r>
        <m:r>
          <m:t>0.003</m:t>
        </m:r>
        <m:r>
          <m:rPr>
            <m:sty m:val="p"/>
          </m:rPr>
          <m:t>,</m:t>
        </m:r>
        <m:r>
          <m:t>0.028</m:t>
        </m:r>
        <m:r>
          <m:rPr>
            <m:sty m:val="p"/>
          </m:rPr>
          <m:t>]</m:t>
        </m:r>
      </m:oMath>
      <w:r>
        <w:t xml:space="preserve">,</w:t>
      </w:r>
      <w:r>
        <w:t xml:space="preserve"> </w:t>
      </w:r>
      <m:oMath>
        <m:sSub>
          <m:e>
            <m:r>
              <m:t>p</m:t>
            </m:r>
          </m:e>
          <m:sub>
            <m:r>
              <m:t>d</m:t>
            </m:r>
          </m:sub>
        </m:sSub>
        <m:r>
          <m:rPr>
            <m:sty m:val="p"/>
          </m:rPr>
          <m:t>=</m:t>
        </m:r>
        <m:r>
          <m:t>.95</m:t>
        </m:r>
      </m:oMath>
      <w:r>
        <w:t xml:space="preserve">). The lateral effect</w:t>
      </w:r>
      <w:r>
        <w:t xml:space="preserve"> </w:t>
      </w:r>
      <w:r>
        <w:t xml:space="preserve">is the only positive one among the 3 of 18</w:t>
      </w:r>
      <w:r>
        <w:t xml:space="preserve"> </w:t>
      </w:r>
      <w:r>
        <w:t xml:space="preserve">cells in which a transfer interaction is credible, and every one of those cells is</w:t>
      </w:r>
      <w:r>
        <w:t xml:space="preserve"> </w:t>
      </w:r>
      <w:r>
        <w:t xml:space="preserve">lateral.</w:t>
      </w:r>
      <w:r>
        <w:t xml:space="preserve"> </w:t>
      </w:r>
      <w:r>
        <w:t xml:space="preserve">Midline intervals are wider throughout the grid because the three midline clusters</w:t>
      </w:r>
      <w:r>
        <w:t xml:space="preserve"> </w:t>
      </w:r>
      <w:r>
        <w:t xml:space="preserve">supply half as many observations as the six lateral ones.</w:t>
      </w:r>
    </w:p>
    <w:p>
      <w:pPr>
        <w:pStyle w:val="BodyText"/>
      </w:pPr>
      <w:r>
        <w:t xml:space="preserve">One reading caveat applies to this property alone. Verb–object number agreement is</w:t>
      </w:r>
      <w:r>
        <w:t xml:space="preserve"> </w:t>
      </w:r>
      <w:r>
        <w:t xml:space="preserve">measured at Sessions 4 and 6 only, and the interval between them is the unrehearsed</w:t>
      </w:r>
      <w:r>
        <w:t xml:space="preserve"> </w:t>
      </w:r>
      <w:r>
        <w:t xml:space="preserve">retention gap, so for this property the session term is the change across that gap and</w:t>
      </w:r>
      <w:r>
        <w:t xml:space="preserve"> </w:t>
      </w:r>
      <w:r>
        <w:t xml:space="preserve">contains no further exposure. Its grammaticality</w:t>
      </w:r>
      <w:r>
        <w:t xml:space="preserve"> </w:t>
      </w:r>
      <m:oMath>
        <m:r>
          <m:rPr>
            <m:sty m:val="p"/>
          </m:rPr>
          <m:t>×</m:t>
        </m:r>
      </m:oMath>
      <w:r>
        <w:t xml:space="preserve"> </w:t>
      </w:r>
      <w:r>
        <w:t xml:space="preserve">session and three-way terms are</w:t>
      </w:r>
      <w:r>
        <w:t xml:space="preserve"> </w:t>
      </w:r>
      <w:r>
        <w:t xml:space="preserve">therefore offline-interval changes, and the</w:t>
      </w:r>
      <w:r>
        <w:t xml:space="preserve"> </w:t>
      </w:r>
      <w:r>
        <w:rPr>
          <w:i/>
          <w:iCs/>
        </w:rPr>
        <w:t xml:space="preserve">learning</w:t>
      </w:r>
      <w:r>
        <w:t xml:space="preserve"> </w:t>
      </w:r>
      <w:r>
        <w:t xml:space="preserve">and</w:t>
      </w:r>
      <w:r>
        <w:t xml:space="preserve"> </w:t>
      </w:r>
      <w:r>
        <w:rPr>
          <w:i/>
          <w:iCs/>
        </w:rPr>
        <w:t xml:space="preserve">transfer</w:t>
      </w:r>
      <w:r>
        <w:t xml:space="preserve"> </w:t>
      </w:r>
      <w:r>
        <w:t xml:space="preserve">glosses that the</w:t>
      </w:r>
      <w:r>
        <w:t xml:space="preserve"> </w:t>
      </w:r>
      <w:r>
        <w:t xml:space="preserve">operationalisation gives those terms for the other two properties do not carry over</w:t>
      </w:r>
      <w:r>
        <w:t xml:space="preserve"> </w:t>
      </w:r>
      <w:r>
        <w:t xml:space="preserve">unaltered here. We read them accordingly throughout.</w:t>
      </w:r>
    </w:p>
    <w:bookmarkEnd w:id="104"/>
    <w:bookmarkStart w:id="109" w:name="topography"/>
    <w:p>
      <w:pPr>
        <w:pStyle w:val="Heading3"/>
      </w:pPr>
      <w:r>
        <w:t xml:space="preserve">Topography</w:t>
      </w:r>
    </w:p>
    <w:p>
      <w:pPr>
        <w:pStyle w:val="FirstParagraph"/>
      </w:pPr>
      <w:r>
        <w:t xml:space="preserve">Grammaticality interacted with hemisphere for differential object marking (200–500 ms,</w:t>
      </w:r>
      <w:r>
        <w:t xml:space="preserve"> </w:t>
      </w:r>
      <m:oMath>
        <m:r>
          <m:t>b</m:t>
        </m:r>
        <m:r>
          <m:rPr>
            <m:sty m:val="p"/>
          </m:rPr>
          <m:t>=</m:t>
        </m:r>
        <m:r>
          <m:t>0.019</m:t>
        </m:r>
      </m:oMath>
      <w:r>
        <w:t xml:space="preserve">, 95% CrI</w:t>
      </w:r>
      <w:r>
        <w:t xml:space="preserve"> </w:t>
      </w:r>
      <m:oMath>
        <m:r>
          <m:rPr>
            <m:sty m:val="p"/>
          </m:rPr>
          <m:t>[</m:t>
        </m:r>
        <m:r>
          <m:t>0.012</m:t>
        </m:r>
        <m:r>
          <m:rPr>
            <m:sty m:val="p"/>
          </m:rPr>
          <m:t>,</m:t>
        </m:r>
        <m:r>
          <m:t>0.026</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the effect being larger over the right hemisphere (hemisphere is coded right</w:t>
      </w:r>
      <w:r>
        <w:t xml:space="preserve"> </w:t>
      </w:r>
      <m:oMath>
        <m:r>
          <m:rPr>
            <m:sty m:val="p"/>
          </m:rPr>
          <m:t>=</m:t>
        </m:r>
        <m:r>
          <m:rPr>
            <m:sty m:val="p"/>
          </m:rPr>
          <m:t>+</m:t>
        </m:r>
        <m:r>
          <m:t>0.5</m:t>
        </m:r>
      </m:oMath>
      <w:r>
        <w:t xml:space="preserve">).</w:t>
      </w:r>
      <w:r>
        <w:t xml:space="preserve"> </w:t>
      </w:r>
      <w:r>
        <w:t xml:space="preserve">The priors were neutral on this asymmetry (zero-centred, because the one lateralised</w:t>
      </w:r>
      <w:r>
        <w:t xml:space="preserve"> </w:t>
      </w:r>
      <w:r>
        <w:t xml:space="preserve">component is too heterogeneous to sign a priori), so nothing about it was predicted, and</w:t>
      </w:r>
      <w:r>
        <w:t xml:space="preserve"> </w:t>
      </w:r>
      <w:r>
        <w:t xml:space="preserve">no by-participant slope was estimated for it. The</w:t>
      </w:r>
      <w:r>
        <w:t xml:space="preserve"> </w:t>
      </w:r>
      <w:r>
        <w:t xml:space="preserve">grammaticality</w:t>
      </w:r>
      <w:r>
        <w:t xml:space="preserve"> </w:t>
      </w:r>
      <m:oMath>
        <m:r>
          <m:rPr>
            <m:sty m:val="p"/>
          </m:rPr>
          <m:t>×</m:t>
        </m:r>
      </m:oMath>
      <w:r>
        <w:t xml:space="preserve"> </w:t>
      </w:r>
      <w:r>
        <w:t xml:space="preserve">caudality interaction, by contrast, was not credible in the late</w:t>
      </w:r>
      <w:r>
        <w:t xml:space="preserve"> </w:t>
      </w:r>
      <w:r>
        <w:t xml:space="preserve">window for any property (all</w:t>
      </w:r>
      <w:r>
        <w:t xml:space="preserve"> </w:t>
      </w:r>
      <m:oMath>
        <m:sSub>
          <m:e>
            <m:r>
              <m:t>p</m:t>
            </m:r>
          </m:e>
          <m:sub>
            <m:r>
              <m:t>d</m:t>
            </m:r>
          </m:sub>
        </m:sSub>
      </m:oMath>
      <w:r>
        <w:t xml:space="preserve"> </w:t>
      </w:r>
      <w:r>
        <w:t xml:space="preserve">between</w:t>
      </w:r>
      <w:r>
        <w:t xml:space="preserve"> </w:t>
      </w:r>
      <w:r>
        <w:t xml:space="preserve">.52 and .87). Raw</w:t>
      </w:r>
      <w:r>
        <w:t xml:space="preserve"> </w:t>
      </w:r>
      <w:r>
        <w:t xml:space="preserve">voltage varies with anterior–posterior position, as it does across any scalp</w:t>
      </w:r>
      <w:r>
        <w:t xml:space="preserve"> </w:t>
      </w:r>
      <w:r>
        <w:t xml:space="preserve">recording, but the grammaticality effect itself was no more pronounced posteriorly than</w:t>
      </w:r>
      <w:r>
        <w:t xml:space="preserve"> </w:t>
      </w:r>
      <w:r>
        <w:t xml:space="preserve">anteriorly, so the topography does not confirm a canonical posterior-maximal P600</w:t>
      </w:r>
      <w:r>
        <w:t xml:space="preserve"> </w:t>
      </w:r>
      <w:r>
        <w:t xml:space="preserve">distribution (</w:t>
      </w:r>
      <w:hyperlink w:anchor="fig-erp-topography">
        <w:r>
          <w:rPr>
            <w:rStyle w:val="Hyperlink"/>
          </w:rPr>
          <w:t xml:space="preserve">Figure 9</w:t>
        </w:r>
      </w:hyperlink>
      <w:r>
        <w:t xml:space="preserve">).</w:t>
      </w:r>
    </w:p>
    <w:bookmarkStart w:id="108" w:name="fig-erp-topography"/>
    <w:p>
      <w:pPr>
        <w:pStyle w:val="FigureTitle"/>
      </w:pPr>
      <w:r>
        <w:t xml:space="preserve">Figure 9</w:t>
      </w:r>
    </w:p>
    <w:p>
      <w:pPr>
        <w:pStyle w:val="Caption"/>
      </w:pPr>
      <w:r>
        <w:t xml:space="preserve">Scalp Topography of the Grammaticality Effect in the 400–900 ms Window, per Property</w:t>
      </w:r>
    </w:p>
    <w:p>
      <w:pPr>
        <w:pStyle w:val="FigureWithNote"/>
      </w:pPr>
      <w:r>
        <w:drawing>
          <wp:inline>
            <wp:extent cx="5943600" cy="1920239"/>
            <wp:effectExtent b="0" l="0" r="0" t="0"/>
            <wp:docPr descr="" title="" id="106" name="Picture"/>
            <a:graphic>
              <a:graphicData uri="http://schemas.openxmlformats.org/drawingml/2006/picture">
                <pic:pic>
                  <pic:nvPicPr>
                    <pic:cNvPr descr="paper_1_morphosyntax_files/figure-docx/fig-erp-topography-1.png" id="107" name="Picture"/>
                    <pic:cNvPicPr>
                      <a:picLocks noChangeArrowheads="1" noChangeAspect="1"/>
                    </pic:cNvPicPr>
                  </pic:nvPicPr>
                  <pic:blipFill>
                    <a:blip r:embed="rId105"/>
                    <a:stretch>
                      <a:fillRect/>
                    </a:stretch>
                  </pic:blipFill>
                  <pic:spPr bwMode="auto">
                    <a:xfrm>
                      <a:off x="0" y="0"/>
                      <a:ext cx="5943600" cy="1920239"/>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topography is the grammatical minus ungrammatical mean amplitude, averaged over all retained trials and so weighted by each participant’s retained-trial count, with no baseline correction. As with the waveforms, the average is taken over the full sample, including the four mis-filtered Session-3 datasets that the models exclude. The field is interpolated by thin-plate spline across the 30 electrodes assigned to the analysis regions (dots; nose at the top) and masked to the head, so no value is shown for scalp the montage did not sample. Sensor positions are the study’s own recorded montage, read from the BrainVision headers. The outline marks the equator, and ears are drawn for orientation. The two low-temporal sites that sit below the equator (FT9/FT10) therefore fall outside the outline and are drawn as open circles. They inform the interpolation at the rim but no value is plotted beyond the equator. Warmer values indicate a larger grammatical-trial amplitude. The colour scale is symmetric about zero and shared across properties, and the grey line is the zero contour, so the sign of a region can be read without the colour. The distribution is diffuse and not posterior-maximal, consistent with the model-based grammaticality-by-caudality interaction not being credible for any property in this window (see main text).</w:t>
      </w:r>
    </w:p>
    <w:bookmarkEnd w:id="109"/>
    <w:bookmarkStart w:id="110" w:name="Xe4d5742d97dcf9f59157263b922c3ef33c8672d"/>
    <w:p>
      <w:pPr>
        <w:pStyle w:val="Heading3"/>
      </w:pPr>
      <w:r>
        <w:t xml:space="preserve">Dependence on the by-item random-effect structure</w:t>
      </w:r>
    </w:p>
    <w:p>
      <w:pPr>
        <w:pStyle w:val="FirstParagraph"/>
      </w:pPr>
      <w:r>
        <w:t xml:space="preserve">Everything above comes from the maximal structure, with crossed by-participant and</w:t>
      </w:r>
      <w:r>
        <w:t xml:space="preserve"> </w:t>
      </w:r>
      <w:r>
        <w:t xml:space="preserve">by-item random effects each carrying a grammaticality slope. Refitting the whole grid</w:t>
      </w:r>
      <w:r>
        <w:t xml:space="preserve"> </w:t>
      </w:r>
      <w:r>
        <w:t xml:space="preserve">without the by-item grammaticality slope leaves every transfer conclusion unchanged</w:t>
      </w:r>
      <w:r>
        <w:t xml:space="preserve"> </w:t>
      </w:r>
      <w:r>
        <w:t xml:space="preserve">(3 of 18</w:t>
      </w:r>
      <w:r>
        <w:t xml:space="preserve"> </w:t>
      </w:r>
      <w:r>
        <w:t xml:space="preserve">credible cells against</w:t>
      </w:r>
      <w:r>
        <w:t xml:space="preserve"> </w:t>
      </w:r>
      <w:r>
        <w:t xml:space="preserve">2 of 18)</w:t>
      </w:r>
      <w:r>
        <w:t xml:space="preserve"> </w:t>
      </w:r>
      <w:r>
        <w:t xml:space="preserve">but narrows the grammaticality main effect’s intervals by about</w:t>
      </w:r>
      <w:r>
        <w:t xml:space="preserve"> </w:t>
      </w:r>
      <w:r>
        <w:t xml:space="preserve">1.13 times, so the breadth of that</w:t>
      </w:r>
      <w:r>
        <w:t xml:space="preserve"> </w:t>
      </w:r>
      <w:r>
        <w:t xml:space="preserve">effect across cells is structure-dependent while its existence and direction hold under</w:t>
      </w:r>
      <w:r>
        <w:t xml:space="preserve"> </w:t>
      </w:r>
      <w:r>
        <w:t xml:space="preserve">both. The comparison is set out in full in</w:t>
      </w:r>
      <w:r>
        <w:t xml:space="preserve"> </w:t>
      </w:r>
      <w:hyperlink w:anchor="apx-analytic-decisions-in-detail">
        <w:r>
          <w:rPr>
            <w:rStyle w:val="Hyperlink"/>
          </w:rPr>
          <w:t xml:space="preserve">Appendix A</w:t>
        </w:r>
      </w:hyperlink>
      <w:r>
        <w:t xml:space="preserve">.</w:t>
      </w:r>
    </w:p>
    <w:bookmarkEnd w:id="110"/>
    <w:bookmarkEnd w:id="111"/>
    <w:bookmarkStart w:id="112" w:name="retention-session-4-to-session-6"/>
    <w:p>
      <w:pPr>
        <w:pStyle w:val="Heading2"/>
      </w:pPr>
      <w:r>
        <w:t xml:space="preserve">Retention (Session 4 to Session 6)</w:t>
      </w:r>
    </w:p>
    <w:p>
      <w:pPr>
        <w:pStyle w:val="FirstParagraph"/>
      </w:pPr>
      <w:r>
        <w:t xml:space="preserve">The retention contrast quantifies the change in the grammaticality effect between Sessions</w:t>
      </w:r>
      <w:r>
        <w:t xml:space="preserve"> </w:t>
      </w:r>
      <w:r>
        <w:t xml:space="preserve">4 and 6, positive values indicating an effect that strengthened over the interval and</w:t>
      </w:r>
      <w:r>
        <w:t xml:space="preserve"> </w:t>
      </w:r>
      <w:r>
        <w:t xml:space="preserve">values near zero an effect that held steady. Its derivation bounds what it can show. Session</w:t>
      </w:r>
      <w:r>
        <w:t xml:space="preserve"> </w:t>
      </w:r>
      <w:r>
        <w:t xml:space="preserve">enters the models as a single linear predictor, so the contrast is the per-session change</w:t>
      </w:r>
      <w:r>
        <w:t xml:space="preserve"> </w:t>
      </w:r>
      <w:r>
        <w:t xml:space="preserve">in the grammaticality effect rescaled to the width of the retention step. Every session in</w:t>
      </w:r>
      <w:r>
        <w:t xml:space="preserve"> </w:t>
      </w:r>
      <w:r>
        <w:t xml:space="preserve">the series informs that estimate, including those outside the retention interval. For</w:t>
      </w:r>
      <w:r>
        <w:t xml:space="preserve"> </w:t>
      </w:r>
      <w:r>
        <w:t xml:space="preserve">gender agreement, sampled from Session 2, and for differential object marking, sampled</w:t>
      </w:r>
      <w:r>
        <w:t xml:space="preserve"> </w:t>
      </w:r>
      <w:r>
        <w:t xml:space="preserve">from Session 3, the contrast describes the fitted trajectory evaluated over the retention</w:t>
      </w:r>
      <w:r>
        <w:t xml:space="preserve"> </w:t>
      </w:r>
      <w:r>
        <w:t xml:space="preserve">interval. It cannot by itself separate an offline gain specific to that interval</w:t>
      </w:r>
      <w:r>
        <w:t xml:space="preserve"> </w:t>
      </w:r>
      <w:r>
        <w:t xml:space="preserve">from continued improvement at the rate the training sessions established. Verb–object</w:t>
      </w:r>
      <w:r>
        <w:t xml:space="preserve"> </w:t>
      </w:r>
      <w:r>
        <w:t xml:space="preserve">number agreement is the exception, being present at Sessions 4 and 6 only, so for that</w:t>
      </w:r>
      <w:r>
        <w:t xml:space="preserve"> </w:t>
      </w:r>
      <w:r>
        <w:t xml:space="preserve">property the linear session term is precisely the change across those two sessions and the</w:t>
      </w:r>
      <w:r>
        <w:t xml:space="preserve"> </w:t>
      </w:r>
      <w:r>
        <w:t xml:space="preserve">contrast is estimated directly from them.</w:t>
      </w:r>
      <w:r>
        <w:t xml:space="preserve"> </w:t>
      </w:r>
      <w:hyperlink w:anchor="tbl-retention">
        <w:r>
          <w:rPr>
            <w:rStyle w:val="Hyperlink"/>
          </w:rPr>
          <w:t xml:space="preserve">Table B1</w:t>
        </w:r>
      </w:hyperlink>
      <w:r>
        <w:t xml:space="preserve">, in</w:t>
      </w:r>
      <w:r>
        <w:t xml:space="preserve"> </w:t>
      </w:r>
      <w:hyperlink w:anchor="apx-retention-tables">
        <w:r>
          <w:rPr>
            <w:rStyle w:val="Hyperlink"/>
          </w:rPr>
          <w:t xml:space="preserve">Appendix B</w:t>
        </w:r>
      </w:hyperlink>
      <w:r>
        <w:t xml:space="preserve">,</w:t>
      </w:r>
      <w:r>
        <w:t xml:space="preserve"> </w:t>
      </w:r>
      <w:r>
        <w:t xml:space="preserve">reports every contrast overall, within each language and, where derived, as the</w:t>
      </w:r>
      <w:r>
        <w:t xml:space="preserve"> </w:t>
      </w:r>
      <w:r>
        <w:t xml:space="preserve">between-language difference; the text below reports the ones that carry the argument.</w:t>
      </w:r>
    </w:p>
    <w:p>
      <w:pPr>
        <w:pStyle w:val="BodyText"/>
      </w:pPr>
      <w:r>
        <w:t xml:space="preserve">For gender agreement and differential object marking, that limitation is addressed</w:t>
      </w:r>
      <w:r>
        <w:t xml:space="preserve"> </w:t>
      </w:r>
      <w:r>
        <w:t xml:space="preserve">directly. Both properties were refitted with an indicator for the retention session,</w:t>
      </w:r>
      <w:r>
        <w:t xml:space="preserve"> </w:t>
      </w:r>
      <w:r>
        <w:t xml:space="preserve">interacted with grammaticality and language, so that the linear term carries the training</w:t>
      </w:r>
      <w:r>
        <w:t xml:space="preserve"> </w:t>
      </w:r>
      <w:r>
        <w:t xml:space="preserve">trend and the indicator the deviation at Session 6.</w:t>
      </w:r>
      <w:r>
        <w:t xml:space="preserve"> </w:t>
      </w:r>
      <w:hyperlink w:anchor="tbl-retention-free">
        <w:r>
          <w:rPr>
            <w:rStyle w:val="Hyperlink"/>
          </w:rPr>
          <w:t xml:space="preserve">Table B2</w:t>
        </w:r>
      </w:hyperlink>
      <w:r>
        <w:t xml:space="preserve">, in the same</w:t>
      </w:r>
      <w:r>
        <w:t xml:space="preserve"> </w:t>
      </w:r>
      <w:r>
        <w:t xml:space="preserve">appendix, reports those freed contrasts. They answer a different question from</w:t>
      </w:r>
      <w:r>
        <w:t xml:space="preserve"> </w:t>
      </w:r>
      <w:hyperlink w:anchor="tbl-retention">
        <w:r>
          <w:rPr>
            <w:rStyle w:val="Hyperlink"/>
          </w:rPr>
          <w:t xml:space="preserve">Table B1</w:t>
        </w:r>
      </w:hyperlink>
      <w:r>
        <w:t xml:space="preserve">, and where the two</w:t>
      </w:r>
      <w:r>
        <w:t xml:space="preserve"> </w:t>
      </w:r>
      <w:r>
        <w:t xml:space="preserve">disagree, the freed estimate is the one that bears on consolidation. Verb–object number</w:t>
      </w:r>
      <w:r>
        <w:t xml:space="preserve"> </w:t>
      </w:r>
      <w:r>
        <w:t xml:space="preserve">agreement admits no such refit, for the reason given under</w:t>
      </w:r>
      <w:r>
        <w:t xml:space="preserve"> </w:t>
      </w:r>
      <w:r>
        <w:rPr>
          <w:i/>
          <w:iCs/>
        </w:rPr>
        <w:t xml:space="preserve">Model structure</w:t>
      </w:r>
      <w:r>
        <w:t xml:space="preserve">.</w:t>
      </w:r>
    </w:p>
    <w:p>
      <w:pPr>
        <w:pStyle w:val="BodyText"/>
      </w:pPr>
      <w:r>
        <w:t xml:space="preserve">The retention contrasts reveal a property- and language-specific pattern. The</w:t>
      </w:r>
      <w:r>
        <w:t xml:space="preserve"> </w:t>
      </w:r>
      <w:r>
        <w:t xml:space="preserve">gender-agreement grammaticality effect strengthened across the interval, credibly and in</w:t>
      </w:r>
      <w:r>
        <w:t xml:space="preserve"> </w:t>
      </w:r>
      <w:r>
        <w:t xml:space="preserve">both languages (midline 400–900 ms,</w:t>
      </w:r>
      <w:r>
        <w:t xml:space="preserve"> </w:t>
      </w:r>
      <m:oMath>
        <m:r>
          <m:rPr>
            <m:sty m:val="p"/>
          </m:rPr>
          <m:t>Δ</m:t>
        </m:r>
        <m:r>
          <m:rPr>
            <m:sty m:val="p"/>
          </m:rPr>
          <m:t>=</m:t>
        </m:r>
        <m:r>
          <m:t>0.019</m:t>
        </m:r>
      </m:oMath>
      <w:r>
        <w:t xml:space="preserve">, 95% CrI</w:t>
      </w:r>
      <w:r>
        <w:t xml:space="preserve"> </w:t>
      </w:r>
      <m:oMath>
        <m:r>
          <m:rPr>
            <m:sty m:val="p"/>
          </m:rPr>
          <m:t>[</m:t>
        </m:r>
        <m:r>
          <m:t>0.010</m:t>
        </m:r>
        <m:r>
          <m:rPr>
            <m:sty m:val="p"/>
          </m:rPr>
          <m:t>,</m:t>
        </m:r>
        <m:r>
          <m:t>0.028</m:t>
        </m:r>
        <m:r>
          <m:rPr>
            <m:sty m:val="p"/>
          </m:rPr>
          <m:t>]</m:t>
        </m:r>
      </m:oMath>
      <w:r>
        <w:t xml:space="preserve">,</w:t>
      </w:r>
      <w:r>
        <w:t xml:space="preserve"> </w:t>
      </w:r>
      <m:oMath>
        <m:sSub>
          <m:e>
            <m:r>
              <m:t>p</m:t>
            </m:r>
          </m:e>
          <m:sub>
            <m:r>
              <m:t>d</m:t>
            </m:r>
          </m:sub>
        </m:sSub>
        <m:r>
          <m:rPr>
            <m:sty m:val="p"/>
          </m:rPr>
          <m:t>&gt;</m:t>
        </m:r>
        <m:r>
          <m:t>.999</m:t>
        </m:r>
      </m:oMath>
      <w:r>
        <w:t xml:space="preserve">). Verb–object number agreement</w:t>
      </w:r>
      <w:r>
        <w:t xml:space="preserve"> </w:t>
      </w:r>
      <w:r>
        <w:t xml:space="preserve">strengthened overall (lateral 400–900 ms,</w:t>
      </w:r>
      <w:r>
        <w:t xml:space="preserve"> </w:t>
      </w:r>
      <m:oMath>
        <m:r>
          <m:rPr>
            <m:sty m:val="p"/>
          </m:rPr>
          <m:t>Δ</m:t>
        </m:r>
        <m:r>
          <m:rPr>
            <m:sty m:val="p"/>
          </m:rPr>
          <m:t>=</m:t>
        </m:r>
        <m:r>
          <m:t>0.031</m:t>
        </m:r>
      </m:oMath>
      <w:r>
        <w:t xml:space="preserve">, 95% CrI</w:t>
      </w:r>
      <w:r>
        <w:t xml:space="preserve"> </w:t>
      </w:r>
      <m:oMath>
        <m:r>
          <m:rPr>
            <m:sty m:val="p"/>
          </m:rPr>
          <m:t>[</m:t>
        </m:r>
        <m:r>
          <m:t>0.008</m:t>
        </m:r>
        <m:r>
          <m:rPr>
            <m:sty m:val="p"/>
          </m:rPr>
          <m:t>,</m:t>
        </m:r>
        <m:r>
          <m:t>0.053</m:t>
        </m:r>
        <m:r>
          <m:rPr>
            <m:sty m:val="p"/>
          </m:rPr>
          <m:t>]</m:t>
        </m:r>
      </m:oMath>
      <w:r>
        <w:t xml:space="preserve">,</w:t>
      </w:r>
      <w:r>
        <w:t xml:space="preserve"> </w:t>
      </w:r>
      <m:oMath>
        <m:sSub>
          <m:e>
            <m:r>
              <m:t>p</m:t>
            </m:r>
          </m:e>
          <m:sub>
            <m:r>
              <m:t>d</m:t>
            </m:r>
          </m:sub>
        </m:sSub>
        <m:r>
          <m:rPr>
            <m:sty m:val="p"/>
          </m:rPr>
          <m:t>=</m:t>
        </m:r>
        <m:r>
          <m:t>.997</m:t>
        </m:r>
      </m:oMath>
      <w:r>
        <w:t xml:space="preserve">), but</w:t>
      </w:r>
      <w:r>
        <w:t xml:space="preserve"> </w:t>
      </w:r>
      <w:r>
        <w:t xml:space="preserve">that gain was carried by the Mini-Norwegian group</w:t>
      </w:r>
      <w:r>
        <w:t xml:space="preserve"> </w:t>
      </w:r>
      <w:r>
        <w:t xml:space="preserve">(</w:t>
      </w:r>
      <m:oMath>
        <m:r>
          <m:rPr>
            <m:sty m:val="p"/>
          </m:rPr>
          <m:t>Δ</m:t>
        </m:r>
        <m:r>
          <m:rPr>
            <m:sty m:val="p"/>
          </m:rPr>
          <m:t>=</m:t>
        </m:r>
        <m:r>
          <m:t>0.055</m:t>
        </m:r>
      </m:oMath>
      <w:r>
        <w:t xml:space="preserve">, 95% CrI</w:t>
      </w:r>
      <w:r>
        <w:t xml:space="preserve"> </w:t>
      </w:r>
      <m:oMath>
        <m:r>
          <m:rPr>
            <m:sty m:val="p"/>
          </m:rPr>
          <m:t>[</m:t>
        </m:r>
        <m:r>
          <m:t>0.024</m:t>
        </m:r>
        <m:r>
          <m:rPr>
            <m:sty m:val="p"/>
          </m:rPr>
          <m:t>,</m:t>
        </m:r>
        <m:r>
          <m:t>0.087</m:t>
        </m:r>
        <m:r>
          <m:rPr>
            <m:sty m:val="p"/>
          </m:rPr>
          <m:t>]</m:t>
        </m:r>
      </m:oMath>
      <w:r>
        <w:t xml:space="preserve">,</w:t>
      </w:r>
      <w:r>
        <w:t xml:space="preserve"> </w:t>
      </w:r>
      <m:oMath>
        <m:sSub>
          <m:e>
            <m:r>
              <m:t>p</m:t>
            </m:r>
          </m:e>
          <m:sub>
            <m:r>
              <m:t>d</m:t>
            </m:r>
          </m:sub>
        </m:sSub>
        <m:r>
          <m:rPr>
            <m:sty m:val="p"/>
          </m:rPr>
          <m:t>&gt;</m:t>
        </m:r>
        <m:r>
          <m:t>.999</m:t>
        </m:r>
      </m:oMath>
      <w:r>
        <w:t xml:space="preserve">; Mini-English</w:t>
      </w:r>
      <w:r>
        <w:t xml:space="preserve"> </w:t>
      </w:r>
      <m:oMath>
        <m:r>
          <m:rPr>
            <m:sty m:val="p"/>
          </m:rPr>
          <m:t>Δ</m:t>
        </m:r>
        <m:r>
          <m:rPr>
            <m:sty m:val="p"/>
          </m:rPr>
          <m:t>=</m:t>
        </m:r>
        <m:r>
          <m:t>0.004</m:t>
        </m:r>
      </m:oMath>
      <w:r>
        <w:t xml:space="preserve">, 95% CrI</w:t>
      </w:r>
      <w:r>
        <w:t xml:space="preserve"> </w:t>
      </w:r>
      <m:oMath>
        <m:r>
          <m:rPr>
            <m:sty m:val="p"/>
          </m:rPr>
          <m:t>[</m:t>
        </m:r>
        <m:r>
          <m:rPr>
            <m:sty m:val="p"/>
          </m:rPr>
          <m:t>−</m:t>
        </m:r>
        <m:r>
          <m:t>0.027</m:t>
        </m:r>
        <m:r>
          <m:rPr>
            <m:sty m:val="p"/>
          </m:rPr>
          <m:t>,</m:t>
        </m:r>
        <m:r>
          <m:t>0.036</m:t>
        </m:r>
        <m:r>
          <m:rPr>
            <m:sty m:val="p"/>
          </m:rPr>
          <m:t>]</m:t>
        </m:r>
      </m:oMath>
      <w:r>
        <w:t xml:space="preserve">,</w:t>
      </w:r>
      <w:r>
        <w:t xml:space="preserve"> </w:t>
      </w:r>
      <m:oMath>
        <m:sSub>
          <m:e>
            <m:r>
              <m:t>p</m:t>
            </m:r>
          </m:e>
          <m:sub>
            <m:r>
              <m:t>d</m:t>
            </m:r>
          </m:sub>
        </m:sSub>
        <m:r>
          <m:rPr>
            <m:sty m:val="p"/>
          </m:rPr>
          <m:t>=</m:t>
        </m:r>
        <m:r>
          <m:t>.61</m:t>
        </m:r>
      </m:oMath>
      <w:r>
        <w:t xml:space="preserve">), and the</w:t>
      </w:r>
      <w:r>
        <w:t xml:space="preserve"> </w:t>
      </w:r>
      <w:r>
        <w:t xml:space="preserve">difference between the languages is itself credible</w:t>
      </w:r>
      <w:r>
        <w:t xml:space="preserve"> </w:t>
      </w:r>
      <w:r>
        <w:t xml:space="preserve">(</w:t>
      </w:r>
      <m:oMath>
        <m:r>
          <m:rPr>
            <m:sty m:val="p"/>
          </m:rPr>
          <m:t>Δ</m:t>
        </m:r>
        <m:r>
          <m:rPr>
            <m:sty m:val="p"/>
          </m:rPr>
          <m:t>=</m:t>
        </m:r>
        <m:r>
          <m:t>0.051</m:t>
        </m:r>
      </m:oMath>
      <w:r>
        <w:t xml:space="preserve">, 95% CrI</w:t>
      </w:r>
      <w:r>
        <w:t xml:space="preserve"> </w:t>
      </w:r>
      <m:oMath>
        <m:r>
          <m:rPr>
            <m:sty m:val="p"/>
          </m:rPr>
          <m:t>[</m:t>
        </m:r>
        <m:r>
          <m:t>0.007</m:t>
        </m:r>
        <m:r>
          <m:rPr>
            <m:sty m:val="p"/>
          </m:rPr>
          <m:t>,</m:t>
        </m:r>
        <m:r>
          <m:t>0.095</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Differential object marking showed no credible overall ERP retention in any cell, but its</w:t>
      </w:r>
      <w:r>
        <w:t xml:space="preserve"> </w:t>
      </w:r>
      <w:r>
        <w:t xml:space="preserve">grammaticality effect strengthened within Mini-English in the two later lateral windows</w:t>
      </w:r>
      <w:r>
        <w:t xml:space="preserve"> </w:t>
      </w:r>
      <w:r>
        <w:t xml:space="preserve">(300–600 ms,</w:t>
      </w:r>
      <w:r>
        <w:t xml:space="preserve"> </w:t>
      </w:r>
      <m:oMath>
        <m:r>
          <m:rPr>
            <m:sty m:val="p"/>
          </m:rPr>
          <m:t>Δ</m:t>
        </m:r>
        <m:r>
          <m:rPr>
            <m:sty m:val="p"/>
          </m:rPr>
          <m:t>=</m:t>
        </m:r>
        <m:r>
          <m:t>0.016</m:t>
        </m:r>
      </m:oMath>
      <w:r>
        <w:t xml:space="preserve">, 95% CrI</w:t>
      </w:r>
      <w:r>
        <w:t xml:space="preserve"> </w:t>
      </w:r>
      <m:oMath>
        <m:r>
          <m:rPr>
            <m:sty m:val="p"/>
          </m:rPr>
          <m:t>[</m:t>
        </m:r>
        <m:r>
          <m:t>0.001</m:t>
        </m:r>
        <m:r>
          <m:rPr>
            <m:sty m:val="p"/>
          </m:rPr>
          <m:t>,</m:t>
        </m:r>
        <m:r>
          <m:t>0.030</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400–900 ms,</w:t>
      </w:r>
      <w:r>
        <w:t xml:space="preserve"> </w:t>
      </w:r>
      <m:oMath>
        <m:r>
          <m:rPr>
            <m:sty m:val="p"/>
          </m:rPr>
          <m:t>Δ</m:t>
        </m:r>
        <m:r>
          <m:rPr>
            <m:sty m:val="p"/>
          </m:rPr>
          <m:t>=</m:t>
        </m:r>
        <m:r>
          <m:t>0.021</m:t>
        </m:r>
      </m:oMath>
      <w:r>
        <w:t xml:space="preserve">, 95% CrI</w:t>
      </w:r>
      <w:r>
        <w:t xml:space="preserve"> </w:t>
      </w:r>
      <m:oMath>
        <m:r>
          <m:rPr>
            <m:sty m:val="p"/>
          </m:rPr>
          <m:t>[</m:t>
        </m:r>
        <m:r>
          <m:t>0.007</m:t>
        </m:r>
        <m:r>
          <m:rPr>
            <m:sty m:val="p"/>
          </m:rPr>
          <m:t>,</m:t>
        </m:r>
        <m:r>
          <m:t>0.036</m:t>
        </m:r>
        <m:r>
          <m:rPr>
            <m:sty m:val="p"/>
          </m:rPr>
          <m:t>]</m:t>
        </m:r>
      </m:oMath>
      <w:r>
        <w:t xml:space="preserve">,</w:t>
      </w:r>
      <w:r>
        <w:t xml:space="preserve"> </w:t>
      </w:r>
      <m:oMath>
        <m:sSub>
          <m:e>
            <m:r>
              <m:t>p</m:t>
            </m:r>
          </m:e>
          <m:sub>
            <m:r>
              <m:t>d</m:t>
            </m:r>
          </m:sub>
        </m:sSub>
        <m:r>
          <m:rPr>
            <m:sty m:val="p"/>
          </m:rPr>
          <m:t>=</m:t>
        </m:r>
        <m:r>
          <m:t>.998</m:t>
        </m:r>
      </m:oMath>
      <w:r>
        <w:t xml:space="preserve">),</w:t>
      </w:r>
      <w:r>
        <w:t xml:space="preserve"> </w:t>
      </w:r>
      <w:r>
        <w:t xml:space="preserve">with the Mini-Norwegian contrasts not credible in either.</w:t>
      </w:r>
    </w:p>
    <w:bookmarkEnd w:id="112"/>
    <w:bookmarkStart w:id="113" w:name="judgement-accuracy"/>
    <w:p>
      <w:pPr>
        <w:pStyle w:val="Heading2"/>
      </w:pPr>
      <w:r>
        <w:t xml:space="preserve">Judgement accuracy</w:t>
      </w:r>
    </w:p>
    <w:p>
      <w:pPr>
        <w:pStyle w:val="FirstParagraph"/>
      </w:pPr>
      <w:r>
        <w:t xml:space="preserve">Overall judgement accuracy fell across sessions, credibly and substantially, for every</w:t>
      </w:r>
      <w:r>
        <w:t xml:space="preserve"> </w:t>
      </w:r>
      <w:r>
        <w:t xml:space="preserve">property (gender agreement</w:t>
      </w:r>
      <w:r>
        <w:t xml:space="preserve"> </w:t>
      </w:r>
      <m:oMath>
        <m:r>
          <m:t>b</m:t>
        </m:r>
        <m:r>
          <m:rPr>
            <m:sty m:val="p"/>
          </m:rPr>
          <m:t>=</m:t>
        </m:r>
        <m:r>
          <m:rPr>
            <m:sty m:val="p"/>
          </m:rPr>
          <m:t>−</m:t>
        </m:r>
        <m:r>
          <m:t>0.53</m:t>
        </m:r>
      </m:oMath>
      <w:r>
        <w:t xml:space="preserve">, 95% CrI</w:t>
      </w:r>
      <w:r>
        <w:t xml:space="preserve"> </w:t>
      </w:r>
      <m:oMath>
        <m:r>
          <m:rPr>
            <m:sty m:val="p"/>
          </m:rPr>
          <m:t>[</m:t>
        </m:r>
        <m:r>
          <m:rPr>
            <m:sty m:val="p"/>
          </m:rPr>
          <m:t>−</m:t>
        </m:r>
        <m:r>
          <m:t>0.72</m:t>
        </m:r>
        <m:r>
          <m:rPr>
            <m:sty m:val="p"/>
          </m:rPr>
          <m:t>,</m:t>
        </m:r>
        <m:r>
          <m:rPr>
            <m:sty m:val="p"/>
          </m:rPr>
          <m:t>−</m:t>
        </m:r>
        <m:r>
          <m:t>0.34</m:t>
        </m:r>
        <m:r>
          <m:rPr>
            <m:sty m:val="p"/>
          </m:rPr>
          <m:t>]</m:t>
        </m:r>
      </m:oMath>
      <w:r>
        <w:t xml:space="preserve">,</w:t>
      </w:r>
      <w:r>
        <w:t xml:space="preserve"> </w:t>
      </w:r>
      <m:oMath>
        <m:sSub>
          <m:e>
            <m:r>
              <m:t>p</m:t>
            </m:r>
          </m:e>
          <m:sub>
            <m:r>
              <m:t>d</m:t>
            </m:r>
          </m:sub>
        </m:sSub>
        <m:r>
          <m:rPr>
            <m:sty m:val="p"/>
          </m:rPr>
          <m:t>&gt;</m:t>
        </m:r>
        <m:r>
          <m:t>.999</m:t>
        </m:r>
      </m:oMath>
      <w:r>
        <w:t xml:space="preserve">; differential object marking</w:t>
      </w:r>
      <w:r>
        <w:t xml:space="preserve"> </w:t>
      </w:r>
      <m:oMath>
        <m:r>
          <m:t>b</m:t>
        </m:r>
        <m:r>
          <m:rPr>
            <m:sty m:val="p"/>
          </m:rPr>
          <m:t>=</m:t>
        </m:r>
        <m:r>
          <m:rPr>
            <m:sty m:val="p"/>
          </m:rPr>
          <m:t>−</m:t>
        </m:r>
        <m:r>
          <m:t>1.20</m:t>
        </m:r>
      </m:oMath>
      <w:r>
        <w:t xml:space="preserve">, 95% CrI</w:t>
      </w:r>
      <w:r>
        <w:t xml:space="preserve"> </w:t>
      </w:r>
      <m:oMath>
        <m:r>
          <m:rPr>
            <m:sty m:val="p"/>
          </m:rPr>
          <m:t>[</m:t>
        </m:r>
        <m:r>
          <m:rPr>
            <m:sty m:val="p"/>
          </m:rPr>
          <m:t>−</m:t>
        </m:r>
        <m:r>
          <m:t>1.58</m:t>
        </m:r>
        <m:r>
          <m:rPr>
            <m:sty m:val="p"/>
          </m:rPr>
          <m:t>,</m:t>
        </m:r>
        <m:r>
          <m:rPr>
            <m:sty m:val="p"/>
          </m:rPr>
          <m:t>−</m:t>
        </m:r>
        <m:r>
          <m:t>0.81</m:t>
        </m:r>
        <m:r>
          <m:rPr>
            <m:sty m:val="p"/>
          </m:rPr>
          <m:t>]</m:t>
        </m:r>
      </m:oMath>
      <w:r>
        <w:t xml:space="preserve">,</w:t>
      </w:r>
      <w:r>
        <w:t xml:space="preserve"> </w:t>
      </w:r>
      <m:oMath>
        <m:sSub>
          <m:e>
            <m:r>
              <m:t>p</m:t>
            </m:r>
          </m:e>
          <m:sub>
            <m:r>
              <m:t>d</m:t>
            </m:r>
          </m:sub>
        </m:sSub>
        <m:r>
          <m:rPr>
            <m:sty m:val="p"/>
          </m:rPr>
          <m:t>&gt;</m:t>
        </m:r>
        <m:r>
          <m:t>.999</m:t>
        </m:r>
      </m:oMath>
      <w:r>
        <w:t xml:space="preserve">; verb–object number agreement</w:t>
      </w:r>
      <w:r>
        <w:t xml:space="preserve"> </w:t>
      </w:r>
      <m:oMath>
        <m:r>
          <m:t>b</m:t>
        </m:r>
        <m:r>
          <m:rPr>
            <m:sty m:val="p"/>
          </m:rPr>
          <m:t>=</m:t>
        </m:r>
        <m:r>
          <m:rPr>
            <m:sty m:val="p"/>
          </m:rPr>
          <m:t>−</m:t>
        </m:r>
        <m:r>
          <m:t>0.65</m:t>
        </m:r>
      </m:oMath>
      <w:r>
        <w:t xml:space="preserve">, 95% CrI</w:t>
      </w:r>
      <w:r>
        <w:t xml:space="preserve"> </w:t>
      </w:r>
      <m:oMath>
        <m:r>
          <m:rPr>
            <m:sty m:val="p"/>
          </m:rPr>
          <m:t>[</m:t>
        </m:r>
        <m:r>
          <m:rPr>
            <m:sty m:val="p"/>
          </m:rPr>
          <m:t>−</m:t>
        </m:r>
        <m:r>
          <m:t>0.98</m:t>
        </m:r>
        <m:r>
          <m:rPr>
            <m:sty m:val="p"/>
          </m:rPr>
          <m:t>,</m:t>
        </m:r>
        <m:r>
          <m:rPr>
            <m:sty m:val="p"/>
          </m:rPr>
          <m:t>−</m:t>
        </m:r>
        <m:r>
          <m:t>0.32</m:t>
        </m:r>
        <m:r>
          <m:rPr>
            <m:sty m:val="p"/>
          </m:rPr>
          <m:t>]</m:t>
        </m:r>
      </m:oMath>
      <w:r>
        <w:t xml:space="preserve">,</w:t>
      </w:r>
      <w:r>
        <w:t xml:space="preserve"> </w:t>
      </w:r>
      <m:oMath>
        <m:sSub>
          <m:e>
            <m:r>
              <m:t>p</m:t>
            </m:r>
          </m:e>
          <m:sub>
            <m:r>
              <m:t>d</m:t>
            </m:r>
          </m:sub>
        </m:sSub>
        <m:r>
          <m:rPr>
            <m:sty m:val="p"/>
          </m:rPr>
          <m:t>&gt;</m:t>
        </m:r>
        <m:r>
          <m:t>.999</m:t>
        </m:r>
      </m:oMath>
      <w:r>
        <w:t xml:space="preserve">). This runs against the direction we had</w:t>
      </w:r>
      <w:r>
        <w:t xml:space="preserve"> </w:t>
      </w:r>
      <w:r>
        <w:t xml:space="preserve">assumed in setting a positive prior on that term. What fell was the</w:t>
      </w:r>
      <w:r>
        <w:t xml:space="preserve"> </w:t>
      </w:r>
      <w:r>
        <w:rPr>
          <w:i/>
          <w:iCs/>
        </w:rPr>
        <w:t xml:space="preserve">level</w:t>
      </w:r>
      <w:r>
        <w:t xml:space="preserve"> </w:t>
      </w:r>
      <w:r>
        <w:t xml:space="preserve">of</w:t>
      </w:r>
      <w:r>
        <w:t xml:space="preserve"> </w:t>
      </w:r>
      <w:r>
        <w:t xml:space="preserve">performance, while the ability to discriminate held. The grammaticality</w:t>
      </w:r>
      <w:r>
        <w:t xml:space="preserve"> </w:t>
      </w:r>
      <w:r>
        <w:t xml:space="preserve">effect, which is what indexes knowledge of the property, is credibly positive for</w:t>
      </w:r>
      <w:r>
        <w:t xml:space="preserve"> </w:t>
      </w:r>
      <w:r>
        <w:t xml:space="preserve">differential object marking</w:t>
      </w:r>
      <w:r>
        <w:t xml:space="preserve"> </w:t>
      </w:r>
      <w:r>
        <w:t xml:space="preserve">(</w:t>
      </w:r>
      <m:oMath>
        <m:r>
          <m:t>b</m:t>
        </m:r>
        <m:r>
          <m:rPr>
            <m:sty m:val="p"/>
          </m:rPr>
          <m:t>=</m:t>
        </m:r>
        <m:r>
          <m:t>0.87</m:t>
        </m:r>
      </m:oMath>
      <w:r>
        <w:t xml:space="preserve">, 95% CrI</w:t>
      </w:r>
      <w:r>
        <w:t xml:space="preserve"> </w:t>
      </w:r>
      <m:oMath>
        <m:r>
          <m:rPr>
            <m:sty m:val="p"/>
          </m:rPr>
          <m:t>[</m:t>
        </m:r>
        <m:r>
          <m:t>0.46</m:t>
        </m:r>
        <m:r>
          <m:rPr>
            <m:sty m:val="p"/>
          </m:rPr>
          <m:t>,</m:t>
        </m:r>
        <m:r>
          <m:t>1.29</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and verb–object number agreement</w:t>
      </w:r>
      <w:r>
        <w:t xml:space="preserve"> </w:t>
      </w:r>
      <w:r>
        <w:t xml:space="preserve">(</w:t>
      </w:r>
      <m:oMath>
        <m:r>
          <m:t>b</m:t>
        </m:r>
        <m:r>
          <m:rPr>
            <m:sty m:val="p"/>
          </m:rPr>
          <m:t>=</m:t>
        </m:r>
        <m:r>
          <m:t>0.80</m:t>
        </m:r>
      </m:oMath>
      <w:r>
        <w:t xml:space="preserve">, 95% CrI</w:t>
      </w:r>
      <w:r>
        <w:t xml:space="preserve"> </w:t>
      </w:r>
      <m:oMath>
        <m:r>
          <m:rPr>
            <m:sty m:val="p"/>
          </m:rPr>
          <m:t>[</m:t>
        </m:r>
        <m:r>
          <m:t>0.45</m:t>
        </m:r>
        <m:r>
          <m:rPr>
            <m:sty m:val="p"/>
          </m:rPr>
          <m:t>,</m:t>
        </m:r>
        <m:r>
          <m:t>1.15</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For gender agreement, the average effect is small</w:t>
      </w:r>
      <w:r>
        <w:t xml:space="preserve"> </w:t>
      </w:r>
      <w:r>
        <w:t xml:space="preserve">(</w:t>
      </w:r>
      <m:oMath>
        <m:r>
          <m:t>b</m:t>
        </m:r>
        <m:r>
          <m:rPr>
            <m:sty m:val="p"/>
          </m:rPr>
          <m:t>=</m:t>
        </m:r>
        <m:r>
          <m:t>0.11</m:t>
        </m:r>
      </m:oMath>
      <w:r>
        <w:t xml:space="preserve">, 95% CrI</w:t>
      </w:r>
      <w:r>
        <w:t xml:space="preserve"> </w:t>
      </w:r>
      <m:oMath>
        <m:r>
          <m:rPr>
            <m:sty m:val="p"/>
          </m:rPr>
          <m:t>[</m:t>
        </m:r>
        <m:r>
          <m:rPr>
            <m:sty m:val="p"/>
          </m:rPr>
          <m:t>−</m:t>
        </m:r>
        <m:r>
          <m:t>0.18</m:t>
        </m:r>
        <m:r>
          <m:rPr>
            <m:sty m:val="p"/>
          </m:rPr>
          <m:t>,</m:t>
        </m:r>
        <m:r>
          <m:t>0.40</m:t>
        </m:r>
        <m:r>
          <m:rPr>
            <m:sty m:val="p"/>
          </m:rPr>
          <m:t>]</m:t>
        </m:r>
      </m:oMath>
      <w:r>
        <w:t xml:space="preserve">,</w:t>
      </w:r>
      <w:r>
        <w:t xml:space="preserve"> </w:t>
      </w:r>
      <m:oMath>
        <m:sSub>
          <m:e>
            <m:r>
              <m:t>p</m:t>
            </m:r>
          </m:e>
          <m:sub>
            <m:r>
              <m:t>d</m:t>
            </m:r>
          </m:sub>
        </m:sSub>
        <m:r>
          <m:rPr>
            <m:sty m:val="p"/>
          </m:rPr>
          <m:t>=</m:t>
        </m:r>
        <m:r>
          <m:t>.78</m:t>
        </m:r>
      </m:oMath>
      <w:r>
        <w:t xml:space="preserve">), but it grows</w:t>
      </w:r>
      <w:r>
        <w:t xml:space="preserve"> </w:t>
      </w:r>
      <w:r>
        <w:t xml:space="preserve">credibly across sessions (see below). Discrimination is therefore present, and improving,</w:t>
      </w:r>
      <w:r>
        <w:t xml:space="preserve"> </w:t>
      </w:r>
      <w:r>
        <w:t xml:space="preserve">where the level falls. Two features of the design bear on the decline. Properties accumulate</w:t>
      </w:r>
      <w:r>
        <w:t xml:space="preserve"> </w:t>
      </w:r>
      <w:r>
        <w:t xml:space="preserve">across sessions, so a judgement made at Session 4 is made against a grammar with three</w:t>
      </w:r>
      <w:r>
        <w:t xml:space="preserve"> </w:t>
      </w:r>
      <w:r>
        <w:t xml:space="preserve">manipulated properties instead of one. The final session, moreover, follows a months-long</w:t>
      </w:r>
      <w:r>
        <w:t xml:space="preserve"> </w:t>
      </w:r>
      <w:r>
        <w:t xml:space="preserve">interval without exposure, over which some forgetting is expected. We cannot separate these</w:t>
      </w:r>
      <w:r>
        <w:t xml:space="preserve"> </w:t>
      </w:r>
      <w:r>
        <w:t xml:space="preserve">from a general drift in response criterion, because the design has no condition in which</w:t>
      </w:r>
      <w:r>
        <w:t xml:space="preserve"> </w:t>
      </w:r>
      <w:r>
        <w:t xml:space="preserve">task demands are held constant while sessions advance. The decline is therefore treated as background against which the discrimination measures</w:t>
      </w:r>
      <w:r>
        <w:t xml:space="preserve"> </w:t>
      </w:r>
      <w:r>
        <w:t xml:space="preserve">are read, and we draw no conclusion about learning from it.</w:t>
      </w:r>
    </w:p>
    <w:p>
      <w:pPr>
        <w:pStyle w:val="BodyText"/>
      </w:pPr>
      <w:r>
        <w:t xml:space="preserve">Against that background, accuracy converged with the ERP development for gender agreement</w:t>
      </w:r>
      <w:r>
        <w:t xml:space="preserve"> </w:t>
      </w:r>
      <w:r>
        <w:t xml:space="preserve">and diverged for differential object marking. For gender agreement, the learning effect was</w:t>
      </w:r>
      <w:r>
        <w:t xml:space="preserve"> </w:t>
      </w:r>
      <w:r>
        <w:t xml:space="preserve">credible (grammaticality</w:t>
      </w:r>
      <w:r>
        <w:t xml:space="preserve"> </w:t>
      </w:r>
      <m:oMath>
        <m:r>
          <m:rPr>
            <m:sty m:val="p"/>
          </m:rPr>
          <m:t>×</m:t>
        </m:r>
      </m:oMath>
      <w:r>
        <w:t xml:space="preserve"> </w:t>
      </w:r>
      <w:r>
        <w:t xml:space="preserve">session,</w:t>
      </w:r>
      <w:r>
        <w:t xml:space="preserve"> </w:t>
      </w:r>
      <m:oMath>
        <m:r>
          <m:t>b</m:t>
        </m:r>
        <m:r>
          <m:rPr>
            <m:sty m:val="p"/>
          </m:rPr>
          <m:t>=</m:t>
        </m:r>
        <m:r>
          <m:t>0.21</m:t>
        </m:r>
      </m:oMath>
      <w:r>
        <w:t xml:space="preserve">, 95% CrI</w:t>
      </w:r>
      <w:r>
        <w:t xml:space="preserve"> </w:t>
      </w:r>
      <m:oMath>
        <m:r>
          <m:rPr>
            <m:sty m:val="p"/>
          </m:rPr>
          <m:t>[</m:t>
        </m:r>
        <m:r>
          <m:t>0.13</m:t>
        </m:r>
        <m:r>
          <m:rPr>
            <m:sty m:val="p"/>
          </m:rPr>
          <m:t>,</m:t>
        </m:r>
        <m:r>
          <m:t>0.28</m:t>
        </m:r>
        <m:r>
          <m:rPr>
            <m:sty m:val="p"/>
          </m:rPr>
          <m:t>]</m:t>
        </m:r>
      </m:oMath>
      <w:r>
        <w:t xml:space="preserve">,</w:t>
      </w:r>
      <w:r>
        <w:t xml:space="preserve"> </w:t>
      </w:r>
      <m:oMath>
        <m:sSub>
          <m:e>
            <m:r>
              <m:t>p</m:t>
            </m:r>
          </m:e>
          <m:sub>
            <m:r>
              <m:t>d</m:t>
            </m:r>
          </m:sub>
        </m:sSub>
        <m:r>
          <m:rPr>
            <m:sty m:val="p"/>
          </m:rPr>
          <m:t>&gt;</m:t>
        </m:r>
        <m:r>
          <m:t>.999</m:t>
        </m:r>
      </m:oMath>
      <w:r>
        <w:t xml:space="preserve">), as was a</w:t>
      </w:r>
      <w:r>
        <w:t xml:space="preserve"> </w:t>
      </w:r>
      <w:r>
        <w:t xml:space="preserve">language modulation of it (</w:t>
      </w:r>
      <m:oMath>
        <m:r>
          <m:t>b</m:t>
        </m:r>
        <m:r>
          <m:rPr>
            <m:sty m:val="p"/>
          </m:rPr>
          <m:t>=</m:t>
        </m:r>
        <m:r>
          <m:t>0.16</m:t>
        </m:r>
      </m:oMath>
      <w:r>
        <w:t xml:space="preserve">, 95% CrI</w:t>
      </w:r>
      <w:r>
        <w:t xml:space="preserve"> </w:t>
      </w:r>
      <m:oMath>
        <m:r>
          <m:rPr>
            <m:sty m:val="p"/>
          </m:rPr>
          <m:t>[</m:t>
        </m:r>
        <m:r>
          <m:t>0.09</m:t>
        </m:r>
        <m:r>
          <m:rPr>
            <m:sty m:val="p"/>
          </m:rPr>
          <m:t>,</m:t>
        </m:r>
        <m:r>
          <m:t>0.24</m:t>
        </m:r>
        <m:r>
          <m:rPr>
            <m:sty m:val="p"/>
          </m:rPr>
          <m:t>]</m:t>
        </m:r>
      </m:oMath>
      <w:r>
        <w:t xml:space="preserve">,</w:t>
      </w:r>
      <w:r>
        <w:t xml:space="preserve"> </w:t>
      </w:r>
      <m:oMath>
        <m:sSub>
          <m:e>
            <m:r>
              <m:t>p</m:t>
            </m:r>
          </m:e>
          <m:sub>
            <m:r>
              <m:t>d</m:t>
            </m:r>
          </m:sub>
        </m:sSub>
        <m:r>
          <m:rPr>
            <m:sty m:val="p"/>
          </m:rPr>
          <m:t>&gt;</m:t>
        </m:r>
        <m:r>
          <m:t>.999</m:t>
        </m:r>
      </m:oMath>
      <w:r>
        <w:t xml:space="preserve">), advantaging</w:t>
      </w:r>
      <w:r>
        <w:t xml:space="preserve"> </w:t>
      </w:r>
      <w:r>
        <w:t xml:space="preserve">Mini-Norwegian. The gender effect also strengthened at retention, driven by that group</w:t>
      </w:r>
      <w:r>
        <w:t xml:space="preserve"> </w:t>
      </w:r>
      <w:r>
        <w:t xml:space="preserve">(within Mini-Norwegian</w:t>
      </w:r>
      <w:r>
        <w:t xml:space="preserve"> </w:t>
      </w:r>
      <m:oMath>
        <m:r>
          <m:rPr>
            <m:sty m:val="p"/>
          </m:rPr>
          <m:t>Δ</m:t>
        </m:r>
        <m:r>
          <m:rPr>
            <m:sty m:val="p"/>
          </m:rPr>
          <m:t>=</m:t>
        </m:r>
        <m:r>
          <m:t>0.34</m:t>
        </m:r>
      </m:oMath>
      <w:r>
        <w:t xml:space="preserve">, 95% CrI</w:t>
      </w:r>
      <w:r>
        <w:t xml:space="preserve"> </w:t>
      </w:r>
      <m:oMath>
        <m:r>
          <m:rPr>
            <m:sty m:val="p"/>
          </m:rPr>
          <m:t>[</m:t>
        </m:r>
        <m:r>
          <m:t>0.26</m:t>
        </m:r>
        <m:r>
          <m:rPr>
            <m:sty m:val="p"/>
          </m:rPr>
          <m:t>,</m:t>
        </m:r>
        <m:r>
          <m:t>0.43</m:t>
        </m:r>
        <m:r>
          <m:rPr>
            <m:sty m:val="p"/>
          </m:rPr>
          <m:t>]</m:t>
        </m:r>
      </m:oMath>
      <w:r>
        <w:t xml:space="preserve">,</w:t>
      </w:r>
      <w:r>
        <w:t xml:space="preserve"> </w:t>
      </w:r>
      <m:oMath>
        <m:sSub>
          <m:e>
            <m:r>
              <m:t>p</m:t>
            </m:r>
          </m:e>
          <m:sub>
            <m:r>
              <m:t>d</m:t>
            </m:r>
          </m:sub>
        </m:sSub>
        <m:r>
          <m:rPr>
            <m:sty m:val="p"/>
          </m:rPr>
          <m:t>&gt;</m:t>
        </m:r>
        <m:r>
          <m:t>.999</m:t>
        </m:r>
      </m:oMath>
      <w:r>
        <w:t xml:space="preserve">; Mini-English</w:t>
      </w:r>
      <w:r>
        <w:t xml:space="preserve"> </w:t>
      </w:r>
      <m:oMath>
        <m:r>
          <m:rPr>
            <m:sty m:val="p"/>
          </m:rPr>
          <m:t>Δ</m:t>
        </m:r>
        <m:r>
          <m:rPr>
            <m:sty m:val="p"/>
          </m:rPr>
          <m:t>=</m:t>
        </m:r>
        <m:r>
          <m:t>0.04</m:t>
        </m:r>
      </m:oMath>
      <w:r>
        <w:t xml:space="preserve">, 95% CrI</w:t>
      </w:r>
      <w:r>
        <w:t xml:space="preserve"> </w:t>
      </w:r>
      <m:oMath>
        <m:r>
          <m:rPr>
            <m:sty m:val="p"/>
          </m:rPr>
          <m:t>[</m:t>
        </m:r>
        <m:r>
          <m:rPr>
            <m:sty m:val="p"/>
          </m:rPr>
          <m:t>−</m:t>
        </m:r>
        <m:r>
          <m:t>0.07</m:t>
        </m:r>
        <m:r>
          <m:rPr>
            <m:sty m:val="p"/>
          </m:rPr>
          <m:t>,</m:t>
        </m:r>
        <m:r>
          <m:t>0.14</m:t>
        </m:r>
        <m:r>
          <m:rPr>
            <m:sty m:val="p"/>
          </m:rPr>
          <m:t>]</m:t>
        </m:r>
      </m:oMath>
      <w:r>
        <w:t xml:space="preserve">,</w:t>
      </w:r>
      <w:r>
        <w:t xml:space="preserve"> </w:t>
      </w:r>
      <m:oMath>
        <m:sSub>
          <m:e>
            <m:r>
              <m:t>p</m:t>
            </m:r>
          </m:e>
          <m:sub>
            <m:r>
              <m:t>d</m:t>
            </m:r>
          </m:sub>
        </m:sSub>
        <m:r>
          <m:rPr>
            <m:sty m:val="p"/>
          </m:rPr>
          <m:t>=</m:t>
        </m:r>
        <m:r>
          <m:t>.76</m:t>
        </m:r>
      </m:oMath>
      <w:r>
        <w:t xml:space="preserve">). Differential object marking elicited a large grammaticality effect</w:t>
      </w:r>
      <w:r>
        <w:t xml:space="preserve"> </w:t>
      </w:r>
      <w:r>
        <w:t xml:space="preserve">(</w:t>
      </w:r>
      <m:oMath>
        <m:r>
          <m:t>b</m:t>
        </m:r>
        <m:r>
          <m:rPr>
            <m:sty m:val="p"/>
          </m:rPr>
          <m:t>=</m:t>
        </m:r>
        <m:r>
          <m:t>0.87</m:t>
        </m:r>
      </m:oMath>
      <w:r>
        <w:t xml:space="preserve">, 95% CrI</w:t>
      </w:r>
      <w:r>
        <w:t xml:space="preserve"> </w:t>
      </w:r>
      <m:oMath>
        <m:r>
          <m:rPr>
            <m:sty m:val="p"/>
          </m:rPr>
          <m:t>[</m:t>
        </m:r>
        <m:r>
          <m:t>0.46</m:t>
        </m:r>
        <m:r>
          <m:rPr>
            <m:sty m:val="p"/>
          </m:rPr>
          <m:t>,</m:t>
        </m:r>
        <m:r>
          <m:t>1.29</m:t>
        </m:r>
        <m:r>
          <m:rPr>
            <m:sty m:val="p"/>
          </m:rPr>
          <m:t>]</m:t>
        </m:r>
      </m:oMath>
      <w:r>
        <w:t xml:space="preserve">,</w:t>
      </w:r>
      <w:r>
        <w:t xml:space="preserve"> </w:t>
      </w:r>
      <m:oMath>
        <m:sSub>
          <m:e>
            <m:r>
              <m:t>p</m:t>
            </m:r>
          </m:e>
          <m:sub>
            <m:r>
              <m:t>d</m:t>
            </m:r>
          </m:sub>
        </m:sSub>
        <m:r>
          <m:rPr>
            <m:sty m:val="p"/>
          </m:rPr>
          <m:t>&gt;</m:t>
        </m:r>
        <m:r>
          <m:t>.999</m:t>
        </m:r>
      </m:oMath>
      <w:r>
        <w:t xml:space="preserve">) that nonetheless declined across the retention interval in both</w:t>
      </w:r>
      <w:r>
        <w:t xml:space="preserve"> </w:t>
      </w:r>
      <w:r>
        <w:t xml:space="preserve">groups (overall</w:t>
      </w:r>
      <w:r>
        <w:t xml:space="preserve"> </w:t>
      </w:r>
      <m:oMath>
        <m:r>
          <m:rPr>
            <m:sty m:val="p"/>
          </m:rPr>
          <m:t>Δ</m:t>
        </m:r>
        <m:r>
          <m:rPr>
            <m:sty m:val="p"/>
          </m:rPr>
          <m:t>=</m:t>
        </m:r>
        <m:r>
          <m:rPr>
            <m:sty m:val="p"/>
          </m:rPr>
          <m:t>−</m:t>
        </m:r>
        <m:r>
          <m:t>0.31</m:t>
        </m:r>
      </m:oMath>
      <w:r>
        <w:t xml:space="preserve">, 95% CrI</w:t>
      </w:r>
      <w:r>
        <w:t xml:space="preserve"> </w:t>
      </w:r>
      <m:oMath>
        <m:r>
          <m:rPr>
            <m:sty m:val="p"/>
          </m:rPr>
          <m:t>[</m:t>
        </m:r>
        <m:r>
          <m:rPr>
            <m:sty m:val="p"/>
          </m:rPr>
          <m:t>−</m:t>
        </m:r>
        <m:r>
          <m:t>0.41</m:t>
        </m:r>
        <m:r>
          <m:rPr>
            <m:sty m:val="p"/>
          </m:rPr>
          <m:t>,</m:t>
        </m:r>
        <m:r>
          <m:rPr>
            <m:sty m:val="p"/>
          </m:rPr>
          <m:t>−</m:t>
        </m:r>
        <m:r>
          <m:t>0.21</m:t>
        </m:r>
        <m:r>
          <m:rPr>
            <m:sty m:val="p"/>
          </m:rPr>
          <m:t>]</m:t>
        </m:r>
      </m:oMath>
      <w:r>
        <w:t xml:space="preserve">,</w:t>
      </w:r>
      <w:r>
        <w:t xml:space="preserve"> </w:t>
      </w:r>
      <m:oMath>
        <m:sSub>
          <m:e>
            <m:r>
              <m:t>p</m:t>
            </m:r>
          </m:e>
          <m:sub>
            <m:r>
              <m:t>d</m:t>
            </m:r>
          </m:sub>
        </m:sSub>
        <m:r>
          <m:rPr>
            <m:sty m:val="p"/>
          </m:rPr>
          <m:t>&gt;</m:t>
        </m:r>
        <m:r>
          <m:t>.999</m:t>
        </m:r>
      </m:oMath>
      <w:r>
        <w:t xml:space="preserve">). Verb–object number agreement showed a strong</w:t>
      </w:r>
      <w:r>
        <w:t xml:space="preserve"> </w:t>
      </w:r>
      <w:r>
        <w:t xml:space="preserve">grammaticality effect (</w:t>
      </w:r>
      <m:oMath>
        <m:r>
          <m:t>b</m:t>
        </m:r>
        <m:r>
          <m:rPr>
            <m:sty m:val="p"/>
          </m:rPr>
          <m:t>=</m:t>
        </m:r>
        <m:r>
          <m:t>0.80</m:t>
        </m:r>
      </m:oMath>
      <w:r>
        <w:t xml:space="preserve">, 95% CrI</w:t>
      </w:r>
      <w:r>
        <w:t xml:space="preserve"> </w:t>
      </w:r>
      <m:oMath>
        <m:r>
          <m:rPr>
            <m:sty m:val="p"/>
          </m:rPr>
          <m:t>[</m:t>
        </m:r>
        <m:r>
          <m:t>0.45</m:t>
        </m:r>
        <m:r>
          <m:rPr>
            <m:sty m:val="p"/>
          </m:rPr>
          <m:t>,</m:t>
        </m:r>
        <m:r>
          <m:t>1.15</m:t>
        </m:r>
        <m:r>
          <m:rPr>
            <m:sty m:val="p"/>
          </m:rPr>
          <m:t>]</m:t>
        </m:r>
      </m:oMath>
      <w:r>
        <w:t xml:space="preserve">,</w:t>
      </w:r>
      <w:r>
        <w:t xml:space="preserve"> </w:t>
      </w:r>
      <m:oMath>
        <m:sSub>
          <m:e>
            <m:r>
              <m:t>p</m:t>
            </m:r>
          </m:e>
          <m:sub>
            <m:r>
              <m:t>d</m:t>
            </m:r>
          </m:sub>
        </m:sSub>
        <m:r>
          <m:rPr>
            <m:sty m:val="p"/>
          </m:rPr>
          <m:t>&gt;</m:t>
        </m:r>
        <m:r>
          <m:t>.999</m:t>
        </m:r>
      </m:oMath>
      <w:r>
        <w:t xml:space="preserve">) with little net change at retention</w:t>
      </w:r>
      <w:r>
        <w:t xml:space="preserve"> </w:t>
      </w:r>
      <w:r>
        <w:t xml:space="preserve">(</w:t>
      </w:r>
      <m:oMath>
        <m:r>
          <m:rPr>
            <m:sty m:val="p"/>
          </m:rPr>
          <m:t>Δ</m:t>
        </m:r>
        <m:r>
          <m:rPr>
            <m:sty m:val="p"/>
          </m:rPr>
          <m:t>=</m:t>
        </m:r>
        <m:r>
          <m:rPr>
            <m:sty m:val="p"/>
          </m:rPr>
          <m:t>−</m:t>
        </m:r>
        <m:r>
          <m:t>0.11</m:t>
        </m:r>
      </m:oMath>
      <w:r>
        <w:t xml:space="preserve">, 95% CrI</w:t>
      </w:r>
      <w:r>
        <w:t xml:space="preserve"> </w:t>
      </w:r>
      <m:oMath>
        <m:r>
          <m:rPr>
            <m:sty m:val="p"/>
          </m:rPr>
          <m:t>[</m:t>
        </m:r>
        <m:r>
          <m:rPr>
            <m:sty m:val="p"/>
          </m:rPr>
          <m:t>−</m:t>
        </m:r>
        <m:r>
          <m:t>0.27</m:t>
        </m:r>
        <m:r>
          <m:rPr>
            <m:sty m:val="p"/>
          </m:rPr>
          <m:t>,</m:t>
        </m:r>
        <m:r>
          <m:t>0.06</m:t>
        </m:r>
        <m:r>
          <m:rPr>
            <m:sty m:val="p"/>
          </m:rPr>
          <m:t>]</m:t>
        </m:r>
      </m:oMath>
      <w:r>
        <w:t xml:space="preserve">,</w:t>
      </w:r>
      <w:r>
        <w:t xml:space="preserve"> </w:t>
      </w:r>
      <m:oMath>
        <m:sSub>
          <m:e>
            <m:r>
              <m:t>p</m:t>
            </m:r>
          </m:e>
          <m:sub>
            <m:r>
              <m:t>d</m:t>
            </m:r>
          </m:sub>
        </m:sSub>
        <m:r>
          <m:rPr>
            <m:sty m:val="p"/>
          </m:rPr>
          <m:t>=</m:t>
        </m:r>
        <m:r>
          <m:t>.89</m:t>
        </m:r>
      </m:oMath>
      <w:r>
        <w:t xml:space="preserve">).</w:t>
      </w:r>
    </w:p>
    <w:bookmarkEnd w:id="113"/>
    <w:bookmarkStart w:id="118" w:name="X73cfc9f61bbd58eea69c4c192b93eda5b8ec668"/>
    <w:p>
      <w:pPr>
        <w:pStyle w:val="Heading2"/>
      </w:pPr>
      <w:r>
        <w:t xml:space="preserve">Multivariate decoding of grammaticality</w:t>
      </w:r>
    </w:p>
    <w:p>
      <w:pPr>
        <w:pStyle w:val="FirstParagraph"/>
      </w:pPr>
      <w:r>
        <w:t xml:space="preserve">We decoded</w:t>
      </w:r>
      <w:r>
        <w:t xml:space="preserve"> </w:t>
      </w:r>
      <w:r>
        <w:t xml:space="preserve">Grammatical from Ungrammatical trials at each time sample (leave-one-participant-out</w:t>
      </w:r>
      <w:r>
        <w:t xml:space="preserve"> </w:t>
      </w:r>
      <w:r>
        <w:t xml:space="preserve">AUC;</w:t>
      </w:r>
      <w:r>
        <w:t xml:space="preserve"> </w:t>
      </w:r>
      <w:hyperlink w:anchor="fig-decoding">
        <w:r>
          <w:rPr>
            <w:rStyle w:val="Hyperlink"/>
          </w:rPr>
          <w:t xml:space="preserve">Figure 10</w:t>
        </w:r>
      </w:hyperlink>
      <w:r>
        <w:t xml:space="preserve">). Error was controlled across time within each analysis by</w:t>
      </w:r>
      <w:r>
        <w:t xml:space="preserve"> </w:t>
      </w:r>
      <w:r>
        <w:t xml:space="preserve">cluster-based permutation and, within each property, across the clusters of its pooled</w:t>
      </w:r>
      <w:r>
        <w:t xml:space="preserve"> </w:t>
      </w:r>
      <w:r>
        <w:t xml:space="preserve">overall time-course by Benjamini–Hochberg FDR (the confirmatory correction family; see</w:t>
      </w:r>
      <w:r>
        <w:t xml:space="preserve"> </w:t>
      </w:r>
      <w:r>
        <w:rPr>
          <w:i/>
          <w:iCs/>
        </w:rPr>
        <w:t xml:space="preserve">Transparency, preregistration and analysis status</w:t>
      </w:r>
      <w:r>
        <w:t xml:space="preserve">). A significant</w:t>
      </w:r>
      <w:r>
        <w:t xml:space="preserve"> </w:t>
      </w:r>
      <w:r>
        <w:t xml:space="preserve">cluster licenses only that the grammaticality time-course as a whole departs from</w:t>
      </w:r>
      <w:r>
        <w:t xml:space="preserve"> </w:t>
      </w:r>
      <w:r>
        <w:t xml:space="preserve">chance. The temporal boundaries of a surviving cluster are not themselves inferential</w:t>
      </w:r>
      <w:r>
        <w:t xml:space="preserve"> </w:t>
      </w:r>
      <w:r>
        <w:t xml:space="preserve">claims about the onset, offset or duration of the effect</w:t>
      </w:r>
      <w:r>
        <w:t xml:space="preserve"> </w:t>
      </w:r>
      <w:r>
        <w:t xml:space="preserve">(</w:t>
      </w:r>
      <w:hyperlink w:anchor="ref-sassenhagen2019cluster">
        <w:r>
          <w:rPr>
            <w:rStyle w:val="Hyperlink"/>
          </w:rPr>
          <w:t xml:space="preserve">Sassenhagen &amp; Draschkow, 2019</w:t>
        </w:r>
      </w:hyperlink>
      <w:r>
        <w:t xml:space="preserve">)</w:t>
      </w:r>
      <w:r>
        <w:t xml:space="preserve">, and</w:t>
      </w:r>
      <w:r>
        <w:t xml:space="preserve"> </w:t>
      </w:r>
      <w:r>
        <w:t xml:space="preserve">we do not read them as such. One qualification attaches to this section. The confirmatory cluster-level decisions are final. The session-resolved breakdowns for gender agreement still rest on the earlier, coarser permutation null, so their cluster-level</w:t>
      </w:r>
      <w:r>
        <w:t xml:space="preserve"> </w:t>
      </w:r>
      <m:oMath>
        <m:r>
          <m:t>p</m:t>
        </m:r>
      </m:oMath>
      <w:r>
        <w:t xml:space="preserve"> </w:t>
      </w:r>
      <w:r>
        <w:t xml:space="preserve">values resolve less finely, and the rerun that will bring them to the same null is still running.</w:t>
      </w:r>
      <w:r>
        <w:t xml:space="preserve"> </w:t>
      </w:r>
    </w:p>
    <w:bookmarkStart w:id="117" w:name="fig-decoding"/>
    <w:p>
      <w:pPr>
        <w:pStyle w:val="FigureTitle"/>
      </w:pPr>
      <w:r>
        <w:t xml:space="preserve">Figure 10</w:t>
      </w:r>
    </w:p>
    <w:p>
      <w:pPr>
        <w:pStyle w:val="Caption"/>
      </w:pPr>
      <w:r>
        <w:t xml:space="preserve">Time-Resolved Multivariate Decoding of Grammaticality per Property</w:t>
      </w:r>
    </w:p>
    <w:p>
      <w:pPr>
        <w:pStyle w:val="FigureWithNote"/>
      </w:pPr>
      <w:r>
        <w:drawing>
          <wp:inline>
            <wp:extent cx="5943600" cy="4754879"/>
            <wp:effectExtent b="0" l="0" r="0" t="0"/>
            <wp:docPr descr="" title="" id="115" name="Picture"/>
            <a:graphic>
              <a:graphicData uri="http://schemas.openxmlformats.org/drawingml/2006/picture">
                <pic:pic>
                  <pic:nvPicPr>
                    <pic:cNvPr descr="paper_1_morphosyntax_files/figure-docx/fig-decoding-1.png" id="116" name="Picture"/>
                    <pic:cNvPicPr>
                      <a:picLocks noChangeArrowheads="1" noChangeAspect="1"/>
                    </pic:cNvPicPr>
                  </pic:nvPicPr>
                  <pic:blipFill>
                    <a:blip r:embed="rId114"/>
                    <a:stretch>
                      <a:fillRect/>
                    </a:stretch>
                  </pic:blipFill>
                  <pic:spPr bwMode="auto">
                    <a:xfrm>
                      <a:off x="0" y="0"/>
                      <a:ext cx="5943600" cy="4754879"/>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Lines are leave-one-participant-out AUC for the Grammatical against Ungrammatical contrast (overall analysis, all sessions pooled). The dashed line is chance (0.5). The dotted line is the cluster-forming threshold used by the permutation test (the 95th percentile of the pooled within-participant null). Horizontal orange bars mark the temporal extent of clusters in the pooled overall time-course that survive Benjamini–Hochberg FDR correction (q &lt; .05) across that property’s overall clusters (each property’s family corrected separately), annotated with the cluster-level q, the Benjamini–Hochberg adjusted cluster-level p value. The bars denote cluster membership, not sample-by-sample significance. The session-resolved breakdowns are secondary and carry only their own cluster-level p values (see Transparency, preregistration and analysis status). The AUC line is a point estimate. The pipeline records no per-fold dispersion, so no uncertainty band is available and none is drawn. The pre-stimulus baseline (before critical-word onset at 0 ms) is shaded grey and serves as a negative control: above-chance decoding there indicates a confound and not a violation response. The cluster-level decisions shown are those of the confirmatory family, at the permutation count each artefact records.</w:t>
      </w:r>
    </w:p>
    <w:p>
      <w:pPr>
        <w:pStyle w:val="BodyText"/>
      </w:pPr>
      <w:r>
        <w:t xml:space="preserve">The three properties differed here too, though the ordering of their raw separability has</w:t>
      </w:r>
      <w:r>
        <w:t xml:space="preserve"> </w:t>
      </w:r>
      <w:r>
        <w:t xml:space="preserve">to be read against the pre-stimulus baseline.</w:t>
      </w:r>
      <w:r>
        <w:t xml:space="preserve"> </w:t>
      </w:r>
      <w:r>
        <w:t xml:space="preserve">Differential object marking, whose univariate signature was the weakest and</w:t>
      </w:r>
      <w:r>
        <w:t xml:space="preserve"> </w:t>
      </w:r>
      <w:r>
        <w:t xml:space="preserve">shortest-lived, was by far the most separable, though not necessarily by a violation</w:t>
      </w:r>
      <w:r>
        <w:t xml:space="preserve"> </w:t>
      </w:r>
      <w:r>
        <w:t xml:space="preserve">response: its overall time-course carried</w:t>
      </w:r>
      <w:r>
        <w:t xml:space="preserve"> </w:t>
      </w:r>
      <w:r>
        <w:t xml:space="preserve">two clusters surviving FDR correction, peaking post-stimulus at AUC</w:t>
      </w:r>
      <w:r>
        <w:t xml:space="preserve"> </w:t>
      </w:r>
      <w:r>
        <w:t xml:space="preserve">0.58 (at 246 ms;</w:t>
      </w:r>
      <w:r>
        <w:t xml:space="preserve"> </w:t>
      </w:r>
      <w:hyperlink w:anchor="fig-decoding">
        <w:r>
          <w:rPr>
            <w:rStyle w:val="Hyperlink"/>
          </w:rPr>
          <w:t xml:space="preserve">Figure 10</w:t>
        </w:r>
      </w:hyperlink>
      <w:r>
        <w:t xml:space="preserve">). The pre-stimulus baseline, which should sit at chance, did so for the</w:t>
      </w:r>
      <w:r>
        <w:t xml:space="preserve"> </w:t>
      </w:r>
      <w:r>
        <w:t xml:space="preserve">other properties but not for differential object marking, whose pre-stimulus AUC</w:t>
      </w:r>
      <w:r>
        <w:t xml:space="preserve"> </w:t>
      </w:r>
      <w:r>
        <w:t xml:space="preserve">averaged 0.55 with</w:t>
      </w:r>
      <w:r>
        <w:t xml:space="preserve"> </w:t>
      </w:r>
      <w:r>
        <w:t xml:space="preserve">20 samples surviving FDR before the critical word. Its</w:t>
      </w:r>
      <w:r>
        <w:t xml:space="preserve"> </w:t>
      </w:r>
      <w:r>
        <w:t xml:space="preserve">highest AUC anywhere in the epoch falls in that baseline</w:t>
      </w:r>
      <w:r>
        <w:t xml:space="preserve"> </w:t>
      </w:r>
      <w:r>
        <w:t xml:space="preserve">(0.60), above its post-stimulus peak.</w:t>
      </w:r>
      <w:r>
        <w:t xml:space="preserve"> </w:t>
      </w:r>
      <w:r>
        <w:t xml:space="preserve">Part of the differential-object-marking separability therefore precedes the stimulus</w:t>
      </w:r>
      <w:r>
        <w:t xml:space="preserve"> </w:t>
      </w:r>
      <w:r>
        <w:t xml:space="preserve">and may reflect a low-level difference between conditions, for instance the physical</w:t>
      </w:r>
      <w:r>
        <w:t xml:space="preserve"> </w:t>
      </w:r>
      <w:r>
        <w:t xml:space="preserve">presence of the object marker in the preceding region, and need not reflect a violation</w:t>
      </w:r>
      <w:r>
        <w:t xml:space="preserve"> </w:t>
      </w:r>
      <w:r>
        <w:t xml:space="preserve">response. Peak AUCs are quoted on the post-stimulus axis for this reason. The extents</w:t>
      </w:r>
      <w:r>
        <w:t xml:space="preserve"> </w:t>
      </w:r>
      <w:r>
        <w:t xml:space="preserve">of the surviving clusters make the limit concrete: one lies wholly before the critical</w:t>
      </w:r>
      <w:r>
        <w:t xml:space="preserve"> </w:t>
      </w:r>
      <w:r>
        <w:t xml:space="preserve">word (-98 to -62 ms) and the other begins just before</w:t>
      </w:r>
      <w:r>
        <w:t xml:space="preserve"> </w:t>
      </w:r>
      <w:r>
        <w:t xml:space="preserve">onset and spans the epoch (-38 to 1098 ms). The</w:t>
      </w:r>
      <w:r>
        <w:t xml:space="preserve"> </w:t>
      </w:r>
      <w:r>
        <w:t xml:space="preserve">cluster test cannot attribute any part of the surviving separability specifically to a</w:t>
      </w:r>
      <w:r>
        <w:t xml:space="preserve"> </w:t>
      </w:r>
      <w:r>
        <w:t xml:space="preserve">violation response. What it establishes is that the conditions are separable throughout</w:t>
      </w:r>
      <w:r>
        <w:t xml:space="preserve"> </w:t>
      </w:r>
      <w:r>
        <w:t xml:space="preserve">the trial, and the post-stimulus peak set against the pre-stimulus mean bounds how</w:t>
      </w:r>
      <w:r>
        <w:t xml:space="preserve"> </w:t>
      </w:r>
      <w:r>
        <w:t xml:space="preserve">much separability the violation response could add. A decoder trained at one latency</w:t>
      </w:r>
      <w:r>
        <w:t xml:space="preserve"> </w:t>
      </w:r>
      <w:r>
        <w:t xml:space="preserve">also classified neighbouring latencies. No null distribution was computed for that</w:t>
      </w:r>
      <w:r>
        <w:t xml:space="preserve"> </w:t>
      </w:r>
      <w:r>
        <w:t xml:space="preserve">temporal-generalisation pattern, so we describe it without interpreting it.</w:t>
      </w:r>
      <w:r>
        <w:t xml:space="preserve"> </w:t>
      </w:r>
      <w:r>
        <w:t xml:space="preserve">Gender agreement, whose amplitude effect was credible in the region-averaged models,</w:t>
      </w:r>
      <w:r>
        <w:t xml:space="preserve"> </w:t>
      </w:r>
      <w:r>
        <w:t xml:space="preserve">produced six clusters in its pooled time-course</w:t>
      </w:r>
      <w:r>
        <w:t xml:space="preserve"> </w:t>
      </w:r>
      <w:r>
        <w:t xml:space="preserve">surviving the confirmatory correction (</w:t>
      </w:r>
      <w:hyperlink w:anchor="fig-decoding">
        <w:r>
          <w:rPr>
            <w:rStyle w:val="Hyperlink"/>
          </w:rPr>
          <w:t xml:space="preserve">Figure 10</w:t>
        </w:r>
      </w:hyperlink>
      <w:r>
        <w:t xml:space="preserve">), spanning</w:t>
      </w:r>
      <w:r>
        <w:t xml:space="preserve"> </w:t>
      </w:r>
      <w:r>
        <w:t xml:space="preserve">378 to 418 ms, 438 to 478 ms, 530 to 602 ms, 710 to 754 ms, 850 to 926 ms, 950 to 1046 ms. Its smallest cluster-level</w:t>
      </w:r>
      <w:r>
        <w:t xml:space="preserve"> </w:t>
      </w:r>
      <m:oMath>
        <m:r>
          <m:t>p</m:t>
        </m:r>
        <m:r>
          <m:rPr>
            <m:sty m:val="p"/>
          </m:rPr>
          <m:t>=</m:t>
        </m:r>
        <m:r>
          <m:t>.001</m:t>
        </m:r>
      </m:oMath>
      <w:r>
        <w:t xml:space="preserve"> </w:t>
      </w:r>
      <w:r>
        <w:t xml:space="preserve">in that pooled time-course, which is the smallest value the permutation null can return, reached by</w:t>
      </w:r>
      <w:r>
        <w:t xml:space="preserve"> </w:t>
      </w:r>
      <w:r>
        <w:t xml:space="preserve">one of its clusters, and it peaked post-stimulus at AUC</w:t>
      </w:r>
      <w:r>
        <w:t xml:space="preserve"> </w:t>
      </w:r>
      <w:r>
        <w:t xml:space="preserve">0.53 (at 966 ms).</w:t>
      </w:r>
      <w:r>
        <w:t xml:space="preserve"> </w:t>
      </w:r>
      <w:r>
        <w:t xml:space="preserve">Its pre-stimulus baseline sat at chance, so, unlike differential object marking, it carries</w:t>
      </w:r>
      <w:r>
        <w:t xml:space="preserve"> </w:t>
      </w:r>
      <w:r>
        <w:t xml:space="preserve">no separability that precedes the critical word, and its post-stimulus clusters cannot be</w:t>
      </w:r>
      <w:r>
        <w:t xml:space="preserve"> </w:t>
      </w:r>
      <w:r>
        <w:t xml:space="preserve">attributed to a difference in the region before it. Verb–object number agreement produced</w:t>
      </w:r>
      <w:r>
        <w:t xml:space="preserve"> </w:t>
      </w:r>
      <w:r>
        <w:t xml:space="preserve">no clusters surviving correction in its pooled</w:t>
      </w:r>
      <w:r>
        <w:t xml:space="preserve"> </w:t>
      </w:r>
      <w:r>
        <w:t xml:space="preserve">time-course (smallest cluster-level</w:t>
      </w:r>
      <w:r>
        <w:t xml:space="preserve"> </w:t>
      </w:r>
      <m:oMath>
        <m:r>
          <m:t>p</m:t>
        </m:r>
        <m:r>
          <m:rPr>
            <m:sty m:val="p"/>
          </m:rPr>
          <m:t>=</m:t>
        </m:r>
        <m:r>
          <m:t>.079</m:t>
        </m:r>
      </m:oMath>
      <w:r>
        <w:t xml:space="preserve"> </w:t>
      </w:r>
      <w:r>
        <w:t xml:space="preserve">across all its analyses,</w:t>
      </w:r>
      <w:r>
        <w:t xml:space="preserve"> </w:t>
      </w:r>
      <w:r>
        <w:t xml:space="preserve">before or after correction; peak overall AUC</w:t>
      </w:r>
      <w:r>
        <w:t xml:space="preserve"> </w:t>
      </w:r>
      <w:r>
        <w:t xml:space="preserve">0.53). Cross-language generalisation, in which the</w:t>
      </w:r>
      <w:r>
        <w:t xml:space="preserve"> </w:t>
      </w:r>
      <w:r>
        <w:t xml:space="preserve">decoder is trained on one mini-language and tested on the other, peaked post-stimulus at</w:t>
      </w:r>
      <w:r>
        <w:t xml:space="preserve"> </w:t>
      </w:r>
      <w:r>
        <w:t xml:space="preserve">AUC 0.53 for gender agreement,</w:t>
      </w:r>
      <w:r>
        <w:t xml:space="preserve"> </w:t>
      </w:r>
      <w:r>
        <w:t xml:space="preserve">0.58 for differential object marking and</w:t>
      </w:r>
      <w:r>
        <w:t xml:space="preserve"> </w:t>
      </w:r>
      <w:r>
        <w:t xml:space="preserve">0.53 for verb–object number agreement. Those</w:t>
      </w:r>
      <w:r>
        <w:t xml:space="preserve"> </w:t>
      </w:r>
      <w:r>
        <w:t xml:space="preserve">values, and the temporal-generalisation ones, are descriptive. No permutation null was</w:t>
      </w:r>
      <w:r>
        <w:t xml:space="preserve"> </w:t>
      </w:r>
      <w:r>
        <w:t xml:space="preserve">computed for them, so we treat them as converging context and do not read the transfer</w:t>
      </w:r>
      <w:r>
        <w:t xml:space="preserve"> </w:t>
      </w:r>
      <w:r>
        <w:t xml:space="preserve">question off them.</w:t>
      </w:r>
      <w:r>
        <w:t xml:space="preserve"> </w:t>
      </w:r>
      <w:r>
        <w:t xml:space="preserve">Cross-property generalisation was near chance in every direction (peak post-stimulus</w:t>
      </w:r>
      <w:r>
        <w:t xml:space="preserve"> </w:t>
      </w:r>
      <w:r>
        <w:t xml:space="preserve">AUC 0.53 across all six train–test pairs). This too is descriptive. It has</w:t>
      </w:r>
      <w:r>
        <w:t xml:space="preserve"> </w:t>
      </w:r>
      <w:r>
        <w:t xml:space="preserve">no permutation null, and because every participant contributes trials to all</w:t>
      </w:r>
      <w:r>
        <w:t xml:space="preserve"> </w:t>
      </w:r>
      <w:r>
        <w:t xml:space="preserve">three properties, the train and test sets are not participant-independent. Its</w:t>
      </w:r>
      <w:r>
        <w:t xml:space="preserve"> </w:t>
      </w:r>
      <w:r>
        <w:t xml:space="preserve">theoretical reading is taken up in the Discussion. Because each per-cell decoding</w:t>
      </w:r>
      <w:r>
        <w:t xml:space="preserve"> </w:t>
      </w:r>
      <w:r>
        <w:t xml:space="preserve">score is a mean cross-validated AUC estimated on cells of differing and sometimes</w:t>
      </w:r>
      <w:r>
        <w:t xml:space="preserve"> </w:t>
      </w:r>
      <w:r>
        <w:t xml:space="preserve">small participant numbers, the</w:t>
      </w:r>
      <w:r>
        <w:t xml:space="preserve"> </w:t>
      </w:r>
      <w:r>
        <w:t xml:space="preserve">ordering across properties is provisional, and every cluster-level decision reported here</w:t>
      </w:r>
      <w:r>
        <w:t xml:space="preserve"> </w:t>
      </w:r>
      <w:r>
        <w:t xml:space="preserve">rests on the well-populated pooled time-course</w:t>
      </w:r>
      <w:r>
        <w:t xml:space="preserve"> </w:t>
      </w:r>
      <w:r>
        <w:t xml:space="preserve">(</w:t>
      </w:r>
      <w:hyperlink w:anchor="ref-varoquaux2018">
        <w:r>
          <w:rPr>
            <w:rStyle w:val="Hyperlink"/>
          </w:rPr>
          <w:t xml:space="preserve">Varoquaux, 2018</w:t>
        </w:r>
      </w:hyperlink>
      <w:r>
        <w:t xml:space="preserve">)</w:t>
      </w:r>
      <w:r>
        <w:t xml:space="preserve">.</w:t>
      </w:r>
    </w:p>
    <w:bookmarkEnd w:id="118"/>
    <w:bookmarkEnd w:id="119"/>
    <w:bookmarkStart w:id="128" w:name="discussion"/>
    <w:p>
      <w:pPr>
        <w:pStyle w:val="Heading1"/>
      </w:pPr>
      <w:r>
        <w:t xml:space="preserve">Discussion</w:t>
      </w:r>
    </w:p>
    <w:p>
      <w:pPr>
        <w:pStyle w:val="FirstParagraph"/>
      </w:pPr>
      <w:r>
        <w:t xml:space="preserve">We set out to decide whether prior-language influence on early L3</w:t>
      </w:r>
      <w:r>
        <w:t xml:space="preserve"> </w:t>
      </w:r>
      <w:r>
        <w:t xml:space="preserve">morphosyntax is wholesale or property-by-property. The answer these data return is</w:t>
      </w:r>
      <w:r>
        <w:t xml:space="preserve"> </w:t>
      </w:r>
      <w:r>
        <w:t xml:space="preserve">selective. Gender agreement, the one property with a first-language analogue, was the</w:t>
      </w:r>
      <w:r>
        <w:t xml:space="preserve"> </w:t>
      </w:r>
      <w:r>
        <w:t xml:space="preserve">one whose behavioural advantage tracked that analogue, and that advantage grew</w:t>
      </w:r>
      <w:r>
        <w:t xml:space="preserve"> </w:t>
      </w:r>
      <w:r>
        <w:t xml:space="preserve">credibly across sessions. The two properties novel to both prior languages showed</w:t>
      </w:r>
      <w:r>
        <w:t xml:space="preserve"> </w:t>
      </w:r>
      <w:r>
        <w:t xml:space="preserve">no such advantage, and their electrophysiological modulations ran in opposite</w:t>
      </w:r>
      <w:r>
        <w:t xml:space="preserve"> </w:t>
      </w:r>
      <w:r>
        <w:t xml:space="preserve">directions, which neither account predicts. Both families expect any</w:t>
      </w:r>
      <w:r>
        <w:t xml:space="preserve"> </w:t>
      </w:r>
      <w:r>
        <w:t xml:space="preserve">first-language-congruent advantage to fall on gender agreement, and it did. Their</w:t>
      </w:r>
      <w:r>
        <w:t xml:space="preserve"> </w:t>
      </w:r>
      <w:r>
        <w:t xml:space="preserve">predictions differ on when it should appear, which the sections below take up.</w:t>
      </w:r>
    </w:p>
    <w:p>
      <w:pPr>
        <w:pStyle w:val="BodyText"/>
      </w:pPr>
      <w:r>
        <w:t xml:space="preserve">The three structures were thus acquired on three different trajectories</w:t>
      </w:r>
      <w:r>
        <w:t xml:space="preserve"> </w:t>
      </w:r>
      <w:r>
        <w:t xml:space="preserve">(the full estimates are in the Results and</w:t>
      </w:r>
      <w:r>
        <w:t xml:space="preserve"> </w:t>
      </w:r>
      <w:hyperlink w:anchor="fig-erp-forest">
        <w:r>
          <w:rPr>
            <w:rStyle w:val="Hyperlink"/>
          </w:rPr>
          <w:t xml:space="preserve">Figure 7</w:t>
        </w:r>
      </w:hyperlink>
      <w:r>
        <w:t xml:space="preserve">). Uneven trajectories alone</w:t>
      </w:r>
      <w:r>
        <w:t xml:space="preserve"> </w:t>
      </w:r>
      <w:r>
        <w:t xml:space="preserve">do not decide between the accounts, since wholesale transfer constrains the initial</w:t>
      </w:r>
      <w:r>
        <w:t xml:space="preserve"> </w:t>
      </w:r>
      <w:r>
        <w:t xml:space="preserve">state and says nothing about the rate at which individual properties are subsequently</w:t>
      </w:r>
      <w:r>
        <w:t xml:space="preserve"> </w:t>
      </w:r>
      <w:r>
        <w:t xml:space="preserve">learned. The adjudication below rests on where and when the language effects</w:t>
      </w:r>
      <w:r>
        <w:t xml:space="preserve"> </w:t>
      </w:r>
      <w:r>
        <w:t xml:space="preserve">appeared. Divergent trajectories within the same learners are in any case an established</w:t>
      </w:r>
      <w:r>
        <w:t xml:space="preserve"> </w:t>
      </w:r>
      <w:r>
        <w:t xml:space="preserve">pattern. Number</w:t>
      </w:r>
      <w:r>
        <w:t xml:space="preserve"> </w:t>
      </w:r>
      <w:r>
        <w:t xml:space="preserve">and gender agreement dissociate across the proficiency spectrum in second-language</w:t>
      </w:r>
      <w:r>
        <w:t xml:space="preserve"> </w:t>
      </w:r>
      <w:r>
        <w:t xml:space="preserve">learners, the feature instantiated in the first language showing a violation response</w:t>
      </w:r>
      <w:r>
        <w:t xml:space="preserve"> </w:t>
      </w:r>
      <w:r>
        <w:t xml:space="preserve">at lower proficiency than the novel one</w:t>
      </w:r>
      <w:r>
        <w:t xml:space="preserve"> </w:t>
      </w:r>
      <w:r>
        <w:t xml:space="preserve">(</w:t>
      </w:r>
      <w:hyperlink w:anchor="ref-alemanbanon2018">
        <w:r>
          <w:rPr>
            <w:rStyle w:val="Hyperlink"/>
          </w:rPr>
          <w:t xml:space="preserve">Alemán Bañón et al., 2018</w:t>
        </w:r>
      </w:hyperlink>
      <w:r>
        <w:t xml:space="preserve">)</w:t>
      </w:r>
      <w:r>
        <w:t xml:space="preserve">. Brief training can also</w:t>
      </w:r>
      <w:r>
        <w:t xml:space="preserve"> </w:t>
      </w:r>
      <w:r>
        <w:t xml:space="preserve">produce a developing violation response for</w:t>
      </w:r>
      <w:r>
        <w:t xml:space="preserve"> </w:t>
      </w:r>
      <w:r>
        <w:t xml:space="preserve">one rule and none for another taught in the same protocol</w:t>
      </w:r>
      <w:r>
        <w:t xml:space="preserve"> </w:t>
      </w:r>
      <w:r>
        <w:t xml:space="preserve">(</w:t>
      </w:r>
      <w:hyperlink w:anchor="ref-davidson2009">
        <w:r>
          <w:rPr>
            <w:rStyle w:val="Hyperlink"/>
          </w:rPr>
          <w:t xml:space="preserve">Davidson &amp; Indefrey, 2009</w:t>
        </w:r>
      </w:hyperlink>
      <w:r>
        <w:t xml:space="preserve">)</w:t>
      </w:r>
      <w:r>
        <w:t xml:space="preserve">. Longitudinal</w:t>
      </w:r>
      <w:r>
        <w:t xml:space="preserve"> </w:t>
      </w:r>
      <w:r>
        <w:t xml:space="preserve">designs show that a P600 absent at the start of instruction can be present after a</w:t>
      </w:r>
      <w:r>
        <w:t xml:space="preserve"> </w:t>
      </w:r>
      <w:r>
        <w:t xml:space="preserve">short intensive course, with its magnitude tracking behavioural sensitivity</w:t>
      </w:r>
      <w:r>
        <w:t xml:space="preserve"> </w:t>
      </w:r>
      <w:r>
        <w:t xml:space="preserve">(</w:t>
      </w:r>
      <w:hyperlink w:anchor="ref-white2012">
        <w:r>
          <w:rPr>
            <w:rStyle w:val="Hyperlink"/>
          </w:rPr>
          <w:t xml:space="preserve">White et al., 2012</w:t>
        </w:r>
      </w:hyperlink>
      <w:r>
        <w:t xml:space="preserve">)</w:t>
      </w:r>
      <w:r>
        <w:t xml:space="preserve">.</w:t>
      </w:r>
      <w:r>
        <w:t xml:space="preserve"> </w:t>
      </w:r>
      <w:r>
        <w:t xml:space="preserve">That supports reading the present session effects as training-driven. Two features of</w:t>
      </w:r>
      <w:r>
        <w:t xml:space="preserve"> </w:t>
      </w:r>
      <w:r>
        <w:t xml:space="preserve">the design nonetheless limit the reading. Session and training are confounded, so nothing</w:t>
      </w:r>
      <w:r>
        <w:t xml:space="preserve"> </w:t>
      </w:r>
      <w:r>
        <w:t xml:space="preserve">in the design separates them, and every sentence frame recurs across sessions, so part of</w:t>
      </w:r>
      <w:r>
        <w:t xml:space="preserve"> </w:t>
      </w:r>
      <w:r>
        <w:t xml:space="preserve">the growth of the grammaticality effect could reflect memory for particular sentences.</w:t>
      </w:r>
      <w:r>
        <w:t xml:space="preserve"> </w:t>
      </w:r>
      <w:r>
        <w:t xml:space="preserve">The by-item session slopes absorb item-level change in amplitude but do not separate</w:t>
      </w:r>
      <w:r>
        <w:t xml:space="preserve"> </w:t>
      </w:r>
      <w:r>
        <w:t xml:space="preserve">rule learning from sentence familiarity.</w:t>
      </w:r>
    </w:p>
    <w:p>
      <w:pPr>
        <w:pStyle w:val="BodyText"/>
      </w:pPr>
      <w:r>
        <w:t xml:space="preserve">One feature of the grammaticality effect must be stated before its development is</w:t>
      </w:r>
      <w:r>
        <w:t xml:space="preserve"> </w:t>
      </w:r>
      <w:r>
        <w:t xml:space="preserve">interpreted: its polarity. With grammatical coded</w:t>
      </w:r>
      <w:r>
        <w:t xml:space="preserve"> </w:t>
      </w:r>
      <m:oMath>
        <m:r>
          <m:rPr>
            <m:sty m:val="p"/>
          </m:rPr>
          <m:t>+</m:t>
        </m:r>
        <m:r>
          <m:t>0.5</m:t>
        </m:r>
      </m:oMath>
      <w:r>
        <w:t xml:space="preserve">, a positive coefficient means</w:t>
      </w:r>
      <w:r>
        <w:t xml:space="preserve"> </w:t>
      </w:r>
      <w:r>
        <w:t xml:space="preserve">that ungrammatical critical words were the more negative-going. For gender agreement that</w:t>
      </w:r>
      <w:r>
        <w:t xml:space="preserve"> </w:t>
      </w:r>
      <w:r>
        <w:t xml:space="preserve">holds in every window, including 400–900 ms. That is a sustained violation negativity</w:t>
      </w:r>
      <w:r>
        <w:t xml:space="preserve"> </w:t>
      </w:r>
      <w:r>
        <w:t xml:space="preserve">where our informative prior anticipated a late positivity. The data overrode that prior,</w:t>
      </w:r>
      <w:r>
        <w:t xml:space="preserve"> </w:t>
      </w:r>
      <w:r>
        <w:t xml:space="preserve">and the shift under the weak priors was negligible</w:t>
      </w:r>
      <w:r>
        <w:t xml:space="preserve"> </w:t>
      </w:r>
      <w:r>
        <w:t xml:space="preserve">(see</w:t>
      </w:r>
      <w:r>
        <w:t xml:space="preserve"> </w:t>
      </w:r>
      <w:r>
        <w:rPr>
          <w:i/>
          <w:iCs/>
        </w:rPr>
        <w:t xml:space="preserve">Priors</w:t>
      </w:r>
      <w:r>
        <w:t xml:space="preserve">). For the two control properties, the effect is positive in the earlier</w:t>
      </w:r>
      <w:r>
        <w:t xml:space="preserve"> </w:t>
      </w:r>
      <w:r>
        <w:t xml:space="preserve">windows and turns slightly negative by 400–900 ms, though that reversal is not credible</w:t>
      </w:r>
      <w:r>
        <w:t xml:space="preserve"> </w:t>
      </w:r>
      <w:r>
        <w:t xml:space="preserve">in any cell. A violation negativity in learners at low proficiency has a natural</w:t>
      </w:r>
      <w:r>
        <w:t xml:space="preserve"> </w:t>
      </w:r>
      <w:r>
        <w:t xml:space="preserve">reading in the developmental ERP literature, where the early stages of morphosyntactic</w:t>
      </w:r>
      <w:r>
        <w:t xml:space="preserve"> </w:t>
      </w:r>
      <w:r>
        <w:t xml:space="preserve">learning are marked by N400-family negativities that give way to a P600 as proficiency</w:t>
      </w:r>
      <w:r>
        <w:t xml:space="preserve"> </w:t>
      </w:r>
      <w:r>
        <w:t xml:space="preserve">grows</w:t>
      </w:r>
      <w:r>
        <w:t xml:space="preserve"> </w:t>
      </w:r>
      <w:r>
        <w:t xml:space="preserve">(</w:t>
      </w:r>
      <w:hyperlink w:anchor="ref-osterhout2006">
        <w:r>
          <w:rPr>
            <w:rStyle w:val="Hyperlink"/>
          </w:rPr>
          <w:t xml:space="preserve">Osterhout et al., 2006</w:t>
        </w:r>
      </w:hyperlink>
      <w:r>
        <w:t xml:space="preserve">)</w:t>
      </w:r>
      <w:r>
        <w:t xml:space="preserve">. That literature also finds lexical ERP change within about</w:t>
      </w:r>
      <w:r>
        <w:t xml:space="preserve"> </w:t>
      </w:r>
      <w:r>
        <w:t xml:space="preserve">fourteen hours of instruction in novices</w:t>
      </w:r>
      <w:r>
        <w:t xml:space="preserve"> </w:t>
      </w:r>
      <w:r>
        <w:t xml:space="preserve">(</w:t>
      </w:r>
      <w:hyperlink w:anchor="ref-mclaughlin2004">
        <w:r>
          <w:rPr>
            <w:rStyle w:val="Hyperlink"/>
          </w:rPr>
          <w:t xml:space="preserve">McLaughlin et al., 2004</w:t>
        </w:r>
      </w:hyperlink>
      <w:r>
        <w:t xml:space="preserve">)</w:t>
      </w:r>
      <w:r>
        <w:t xml:space="preserve">, a morphosyntactic violation</w:t>
      </w:r>
      <w:r>
        <w:t xml:space="preserve"> </w:t>
      </w:r>
      <w:r>
        <w:t xml:space="preserve">response within a week of brief training</w:t>
      </w:r>
      <w:r>
        <w:t xml:space="preserve"> </w:t>
      </w:r>
      <w:r>
        <w:t xml:space="preserve">(</w:t>
      </w:r>
      <w:hyperlink w:anchor="ref-davidson2009">
        <w:r>
          <w:rPr>
            <w:rStyle w:val="Hyperlink"/>
          </w:rPr>
          <w:t xml:space="preserve">Davidson &amp; Indefrey, 2009</w:t>
        </w:r>
      </w:hyperlink>
      <w:r>
        <w:t xml:space="preserve">)</w:t>
      </w:r>
      <w:r>
        <w:t xml:space="preserve">, and individuals varying along a</w:t>
      </w:r>
      <w:r>
        <w:t xml:space="preserve"> </w:t>
      </w:r>
      <w:r>
        <w:t xml:space="preserve">negativity-to-positivity continuum in native processing</w:t>
      </w:r>
      <w:r>
        <w:t xml:space="preserve"> </w:t>
      </w:r>
      <w:r>
        <w:t xml:space="preserve">(</w:t>
      </w:r>
      <w:hyperlink w:anchor="ref-tanner2014">
        <w:r>
          <w:rPr>
            <w:rStyle w:val="Hyperlink"/>
          </w:rPr>
          <w:t xml:space="preserve">Tanner &amp; Van Hell, 2014</w:t>
        </w:r>
      </w:hyperlink>
      <w:r>
        <w:t xml:space="preserve">)</w:t>
      </w:r>
      <w:r>
        <w:t xml:space="preserve"> </w:t>
      </w:r>
      <w:r>
        <w:t xml:space="preserve">and in</w:t>
      </w:r>
      <w:r>
        <w:t xml:space="preserve"> </w:t>
      </w:r>
      <w:r>
        <w:t xml:space="preserve">learners</w:t>
      </w:r>
      <w:r>
        <w:t xml:space="preserve"> </w:t>
      </w:r>
      <w:r>
        <w:t xml:space="preserve">(</w:t>
      </w:r>
      <w:hyperlink w:anchor="ref-tanner2013">
        <w:r>
          <w:rPr>
            <w:rStyle w:val="Hyperlink"/>
          </w:rPr>
          <w:t xml:space="preserve">Tanner et al., 2013</w:t>
        </w:r>
      </w:hyperlink>
      <w:r>
        <w:t xml:space="preserve">)</w:t>
      </w:r>
      <w:r>
        <w:t xml:space="preserve">. On that reading, the growth of the</w:t>
      </w:r>
      <w:r>
        <w:t xml:space="preserve"> </w:t>
      </w:r>
      <w:r>
        <w:t xml:space="preserve">effect across sessions tracks a cohort still on the negativity side of that</w:t>
      </w:r>
      <w:r>
        <w:t xml:space="preserve"> </w:t>
      </w:r>
      <w:r>
        <w:t xml:space="preserve">trajectory, consistent with the diffuse, non-posterior topography. Averaging across</w:t>
      </w:r>
      <w:r>
        <w:t xml:space="preserve"> </w:t>
      </w:r>
      <w:r>
        <w:t xml:space="preserve">individuals who differ systematically in component dominance</w:t>
      </w:r>
      <w:r>
        <w:t xml:space="preserve"> </w:t>
      </w:r>
      <w:r>
        <w:t xml:space="preserve">(</w:t>
      </w:r>
      <w:hyperlink w:anchor="ref-tanner2014">
        <w:r>
          <w:rPr>
            <w:rStyle w:val="Hyperlink"/>
          </w:rPr>
          <w:t xml:space="preserve">Tanner &amp; Van Hell, 2014</w:t>
        </w:r>
      </w:hyperlink>
      <w:r>
        <w:t xml:space="preserve">)</w:t>
      </w:r>
      <w:r>
        <w:t xml:space="preserve"> </w:t>
      </w:r>
      <w:r>
        <w:t xml:space="preserve">would itself</w:t>
      </w:r>
      <w:r>
        <w:t xml:space="preserve"> </w:t>
      </w:r>
      <w:r>
        <w:t xml:space="preserve">flatten and diffuse the grand-average topography. The non-canonical distribution is</w:t>
      </w:r>
      <w:r>
        <w:t xml:space="preserve"> </w:t>
      </w:r>
      <w:r>
        <w:t xml:space="preserve">therefore also consistent with a mixture of negativity- and positivity-dominant</w:t>
      </w:r>
      <w:r>
        <w:t xml:space="preserve"> </w:t>
      </w:r>
      <w:r>
        <w:t xml:space="preserve">responders, and need not imply a single non-canonical generator.</w:t>
      </w:r>
    </w:p>
    <w:bookmarkStart w:id="120" w:name="X85c70bee77a7b55d5c51c1262c06b9ac3bceb47"/>
    <w:p>
      <w:pPr>
        <w:pStyle w:val="Heading2"/>
      </w:pPr>
      <w:r>
        <w:t xml:space="preserve">Relation to the initial-exposure antecedent</w:t>
      </w:r>
    </w:p>
    <w:p>
      <w:pPr>
        <w:pStyle w:val="FirstParagraph"/>
      </w:pPr>
      <w:r>
        <w:t xml:space="preserve">Against</w:t>
      </w:r>
      <w:r>
        <w:t xml:space="preserve"> </w:t>
      </w:r>
      <w:r>
        <w:t xml:space="preserve">González Alonso et al. (</w:t>
      </w:r>
      <w:hyperlink w:anchor="ref-gonzalezalonso2020">
        <w:r>
          <w:rPr>
            <w:rStyle w:val="Hyperlink"/>
          </w:rPr>
          <w:t xml:space="preserve">2020</w:t>
        </w:r>
      </w:hyperlink>
      <w:r>
        <w:t xml:space="preserve">)</w:t>
      </w:r>
      <w:r>
        <w:t xml:space="preserve">, the closest antecedent, these data replicate the general</w:t>
      </w:r>
      <w:r>
        <w:t xml:space="preserve"> </w:t>
      </w:r>
      <w:r>
        <w:t xml:space="preserve">profile but not its specifics. Two features carry over. Their learners produced no P600</w:t>
      </w:r>
      <w:r>
        <w:t xml:space="preserve"> </w:t>
      </w:r>
      <w:r>
        <w:t xml:space="preserve">to gender-agreement violations at first exposure, and neither did ours at any session.</w:t>
      </w:r>
      <w:r>
        <w:t xml:space="preserve"> </w:t>
      </w:r>
      <w:r>
        <w:t xml:space="preserve">The dominant signature for gender agreement here was a violation negativity in every</w:t>
      </w:r>
      <w:r>
        <w:t xml:space="preserve"> </w:t>
      </w:r>
      <w:r>
        <w:t xml:space="preserve">window, under a comparable artificial-language paradigm. The measurement occasion was not comparable, since their ERPs</w:t>
      </w:r>
      <w:r>
        <w:t xml:space="preserve"> </w:t>
      </w:r>
      <w:r>
        <w:t xml:space="preserve">come from a single first-exposure session, whereas ours begin only once a learner has passed</w:t>
      </w:r>
      <w:r>
        <w:t xml:space="preserve"> </w:t>
      </w:r>
      <w:r>
        <w:t xml:space="preserve">the 80% post-training criterion and continue across four sessions. An early negativity to</w:t>
      </w:r>
      <w:r>
        <w:t xml:space="preserve"> </w:t>
      </w:r>
      <w:r>
        <w:t xml:space="preserve">gender-agreement violations was likewise present in both studies. The specifics do not</w:t>
      </w:r>
      <w:r>
        <w:t xml:space="preserve"> </w:t>
      </w:r>
      <w:r>
        <w:t xml:space="preserve">carry over. Their negativity was confined to the English-lexicon group and to right-anterior</w:t>
      </w:r>
      <w:r>
        <w:t xml:space="preserve"> </w:t>
      </w:r>
      <w:r>
        <w:t xml:space="preserve">electrodes, whereas ours was credible on the midline, diffusely distributed, and not</w:t>
      </w:r>
      <w:r>
        <w:t xml:space="preserve"> </w:t>
      </w:r>
      <w:r>
        <w:t xml:space="preserve">credibly modulated by language in any window. Their Spanish-lexicon group showed a broad</w:t>
      </w:r>
      <w:r>
        <w:t xml:space="preserve"> </w:t>
      </w:r>
      <w:r>
        <w:t xml:space="preserve">positivity to violations at 300–600 ms, whereas in our gender-agreement data the</w:t>
      </w:r>
      <w:r>
        <w:t xml:space="preserve"> </w:t>
      </w:r>
      <w:r>
        <w:t xml:space="preserve">ungrammatical trials were the more negative-going in that window and in the other two.</w:t>
      </w:r>
    </w:p>
    <w:p>
      <w:pPr>
        <w:pStyle w:val="BodyText"/>
      </w:pPr>
      <w:r>
        <w:t xml:space="preserve">The divergences admit two kinds of explanation, and the literature on replication cautions</w:t>
      </w:r>
      <w:r>
        <w:t xml:space="preserve"> </w:t>
      </w:r>
      <w:r>
        <w:t xml:space="preserve">against reaching for the substantive kind first. Substantively, the designs differ in the</w:t>
      </w:r>
      <w:r>
        <w:t xml:space="preserve"> </w:t>
      </w:r>
      <w:r>
        <w:t xml:space="preserve">first language (Spanish against Norwegian), in the realisation of gender (concord across</w:t>
      </w:r>
      <w:r>
        <w:t xml:space="preserve"> </w:t>
      </w:r>
      <w:r>
        <w:t xml:space="preserve">the noun phrase against a suffixed determiner with predicate-adjective agreement), and in</w:t>
      </w:r>
      <w:r>
        <w:t xml:space="preserve"> </w:t>
      </w:r>
      <w:r>
        <w:t xml:space="preserve">the measurement occasion (a single first-exposure session against a trajectory whose first</w:t>
      </w:r>
      <w:r>
        <w:t xml:space="preserve"> </w:t>
      </w:r>
      <w:r>
        <w:t xml:space="preserve">ERP session follows a training gate). Statistically, their groups comprised 26 and 24</w:t>
      </w:r>
      <w:r>
        <w:t xml:space="preserve"> </w:t>
      </w:r>
      <w:r>
        <w:t xml:space="preserve">learners. Effects that reach significance in samples of that size systematically</w:t>
      </w:r>
      <w:r>
        <w:t xml:space="preserve"> </w:t>
      </w:r>
      <w:r>
        <w:t xml:space="preserve">overestimate their true magnitude and can even carry the wrong sign</w:t>
      </w:r>
      <w:r>
        <w:t xml:space="preserve"> </w:t>
      </w:r>
      <w:r>
        <w:t xml:space="preserve">(</w:t>
      </w:r>
      <w:hyperlink w:anchor="ref-gelmancarlin2014">
        <w:r>
          <w:rPr>
            <w:rStyle w:val="Hyperlink"/>
          </w:rPr>
          <w:t xml:space="preserve">Gelman &amp; Carlin, 2014</w:t>
        </w:r>
      </w:hyperlink>
      <w:r>
        <w:t xml:space="preserve">)</w:t>
      </w:r>
      <w:r>
        <w:t xml:space="preserve">.</w:t>
      </w:r>
      <w:r>
        <w:t xml:space="preserve"> </w:t>
      </w:r>
      <w:r>
        <w:t xml:space="preserve">The significance filter also makes published effects look more replicable than they are</w:t>
      </w:r>
      <w:r>
        <w:t xml:space="preserve"> </w:t>
      </w:r>
      <w:r>
        <w:t xml:space="preserve">(</w:t>
      </w:r>
      <w:hyperlink w:anchor="ref-vasishth2018">
        <w:r>
          <w:rPr>
            <w:rStyle w:val="Hyperlink"/>
          </w:rPr>
          <w:t xml:space="preserve">Vasishth et al., 2018</w:t>
        </w:r>
      </w:hyperlink>
      <w:r>
        <w:t xml:space="preserve">)</w:t>
      </w:r>
      <w:r>
        <w:t xml:space="preserve">, and trial-level measurement error can inflate as well as attenuate an</w:t>
      </w:r>
      <w:r>
        <w:t xml:space="preserve"> </w:t>
      </w:r>
      <w:r>
        <w:t xml:space="preserve">observed effect, producing spuriously large estimates in small samples</w:t>
      </w:r>
      <w:r>
        <w:t xml:space="preserve"> </w:t>
      </w:r>
      <w:r>
        <w:t xml:space="preserve">(</w:t>
      </w:r>
      <w:hyperlink w:anchor="ref-loken2017">
        <w:r>
          <w:rPr>
            <w:rStyle w:val="Hyperlink"/>
          </w:rPr>
          <w:t xml:space="preserve">Loken &amp; Gelman, 2017</w:t>
        </w:r>
      </w:hyperlink>
      <w:r>
        <w:t xml:space="preserve">)</w:t>
      </w:r>
      <w:r>
        <w:t xml:space="preserve">. ERP</w:t>
      </w:r>
      <w:r>
        <w:t xml:space="preserve"> </w:t>
      </w:r>
      <w:r>
        <w:t xml:space="preserve">effects compound the problem, since even systematic resampling finds the magnitude, onset</w:t>
      </w:r>
      <w:r>
        <w:t xml:space="preserve"> </w:t>
      </w:r>
      <w:r>
        <w:t xml:space="preserve">and scalp distribution of the P600 to vary widely across samples</w:t>
      </w:r>
      <w:r>
        <w:t xml:space="preserve"> </w:t>
      </w:r>
      <w:r>
        <w:t xml:space="preserve">(</w:t>
      </w:r>
      <w:hyperlink w:anchor="ref-kim2024">
        <w:r>
          <w:rPr>
            <w:rStyle w:val="Hyperlink"/>
          </w:rPr>
          <w:t xml:space="preserve">Kim et al., 2024</w:t>
        </w:r>
      </w:hyperlink>
      <w:r>
        <w:t xml:space="preserve">)</w:t>
      </w:r>
      <w:r>
        <w:t xml:space="preserve">, so the exact</w:t>
      </w:r>
      <w:r>
        <w:t xml:space="preserve"> </w:t>
      </w:r>
      <w:r>
        <w:t xml:space="preserve">topography and timing of a violation response are the quantities least likely to</w:t>
      </w:r>
      <w:r>
        <w:t xml:space="preserve"> </w:t>
      </w:r>
      <w:r>
        <w:t xml:space="preserve">reproduce in any replication, ours included. On that reading, the level at which replication should be assessed is the</w:t>
      </w:r>
      <w:r>
        <w:t xml:space="preserve"> </w:t>
      </w:r>
      <w:r>
        <w:t xml:space="preserve">qualitative one. There the two studies agree: early-stage learners of a miniature</w:t>
      </w:r>
      <w:r>
        <w:t xml:space="preserve"> </w:t>
      </w:r>
      <w:r>
        <w:t xml:space="preserve">language respond to morphosyntactic violations with attention-sensitive negativities, and</w:t>
      </w:r>
      <w:r>
        <w:t xml:space="preserve"> </w:t>
      </w:r>
      <w:r>
        <w:t xml:space="preserve">the canonical P600 is absent until proficiency has grown. The same arguments cut against</w:t>
      </w:r>
      <w:r>
        <w:t xml:space="preserve"> </w:t>
      </w:r>
      <w:r>
        <w:t xml:space="preserve">over-reading our own group-specific effects, several of which rest on comparably small</w:t>
      </w:r>
      <w:r>
        <w:t xml:space="preserve"> </w:t>
      </w:r>
      <w:r>
        <w:t xml:space="preserve">cells, and the Strength of evidence section holds them to that standard.</w:t>
      </w:r>
    </w:p>
    <w:bookmarkEnd w:id="120"/>
    <w:bookmarkStart w:id="121" w:name="Xd94c71ec54ed989eb7f93138df1e8e9795fd7f8"/>
    <w:p>
      <w:pPr>
        <w:pStyle w:val="Heading2"/>
      </w:pPr>
      <w:r>
        <w:t xml:space="preserve">A signature more property-by-property than wholesale</w:t>
      </w:r>
    </w:p>
    <w:p>
      <w:pPr>
        <w:pStyle w:val="FirstParagraph"/>
      </w:pPr>
      <w:r>
        <w:t xml:space="preserve">The two families were set out in the Introduction. The three properties behaved</w:t>
      </w:r>
      <w:r>
        <w:t xml:space="preserve"> </w:t>
      </w:r>
      <w:r>
        <w:t xml:space="preserve">differently from one another: strong, broadly</w:t>
      </w:r>
      <w:r>
        <w:t xml:space="preserve"> </w:t>
      </w:r>
      <w:r>
        <w:t xml:space="preserve">distributed learning for gender agreement; for differential object marking an early</w:t>
      </w:r>
      <w:r>
        <w:t xml:space="preserve"> </w:t>
      </w:r>
      <w:r>
        <w:t xml:space="preserve">grammaticality effect, possibly carrying a stimulus-driven component, that did not</w:t>
      </w:r>
      <w:r>
        <w:t xml:space="preserve"> </w:t>
      </w:r>
      <w:r>
        <w:t xml:space="preserve">consolidate; and a late, language-conditioned signal for verb–object number agreement.</w:t>
      </w:r>
      <w:r>
        <w:t xml:space="preserve"> </w:t>
      </w:r>
      <w:r>
        <w:t xml:space="preserve">That heterogeneity sits more naturally with the property-by-property family, though it is</w:t>
      </w:r>
      <w:r>
        <w:t xml:space="preserve"> </w:t>
      </w:r>
      <w:r>
        <w:t xml:space="preserve">not decisive on its own, for the reason just given. The discriminating observations follow.</w:t>
      </w:r>
    </w:p>
    <w:p>
      <w:pPr>
        <w:pStyle w:val="BodyText"/>
      </w:pPr>
      <w:r>
        <w:t xml:space="preserve">Transfer itself is distributed no more evenly than learning is. A credible source-language</w:t>
      </w:r>
      <w:r>
        <w:t xml:space="preserve"> </w:t>
      </w:r>
      <w:r>
        <w:t xml:space="preserve">modulation appeared for all three properties, but in different measures and with different</w:t>
      </w:r>
      <w:r>
        <w:t xml:space="preserve"> </w:t>
      </w:r>
      <w:r>
        <w:t xml:space="preserve">signs. For gender agreement, it was behavioural, advantaging the Mini-Norwegian group</w:t>
      </w:r>
      <w:r>
        <w:t xml:space="preserve"> </w:t>
      </w:r>
      <w:r>
        <w:t xml:space="preserve">(</w:t>
      </w:r>
      <m:oMath>
        <m:r>
          <m:t>b</m:t>
        </m:r>
        <m:r>
          <m:rPr>
            <m:sty m:val="p"/>
          </m:rPr>
          <m:t>=</m:t>
        </m:r>
        <m:r>
          <m:t>0.16</m:t>
        </m:r>
      </m:oMath>
      <w:r>
        <w:t xml:space="preserve">, 95% CrI</w:t>
      </w:r>
      <w:r>
        <w:t xml:space="preserve"> </w:t>
      </w:r>
      <m:oMath>
        <m:r>
          <m:rPr>
            <m:sty m:val="p"/>
          </m:rPr>
          <m:t>[</m:t>
        </m:r>
        <m:r>
          <m:t>0.09</m:t>
        </m:r>
        <m:r>
          <m:rPr>
            <m:sty m:val="p"/>
          </m:rPr>
          <m:t>,</m:t>
        </m:r>
        <m:r>
          <m:t>0.24</m:t>
        </m:r>
        <m:r>
          <m:rPr>
            <m:sty m:val="p"/>
          </m:rPr>
          <m:t>]</m:t>
        </m:r>
      </m:oMath>
      <w:r>
        <w:t xml:space="preserve">,</w:t>
      </w:r>
      <w:r>
        <w:t xml:space="preserve"> </w:t>
      </w:r>
      <m:oMath>
        <m:sSub>
          <m:e>
            <m:r>
              <m:t>p</m:t>
            </m:r>
          </m:e>
          <m:sub>
            <m:r>
              <m:t>d</m:t>
            </m:r>
          </m:sub>
        </m:sSub>
        <m:r>
          <m:rPr>
            <m:sty m:val="p"/>
          </m:rPr>
          <m:t>&gt;</m:t>
        </m:r>
        <m:r>
          <m:t>.999</m:t>
        </m:r>
      </m:oMath>
      <w:r>
        <w:t xml:space="preserve">), while its</w:t>
      </w:r>
      <w:r>
        <w:t xml:space="preserve"> </w:t>
      </w:r>
      <w:r>
        <w:t xml:space="preserve">ERP counterpart stayed near zero. For the other two, it was the reverse, credible in the ERP</w:t>
      </w:r>
      <w:r>
        <w:t xml:space="preserve"> </w:t>
      </w:r>
      <w:r>
        <w:t xml:space="preserve">signal and not behaviourally, and the two point in opposite directions: positive for</w:t>
      </w:r>
      <w:r>
        <w:t xml:space="preserve"> </w:t>
      </w:r>
      <w:r>
        <w:t xml:space="preserve">verb–object number agreement</w:t>
      </w:r>
      <w:r>
        <w:t xml:space="preserve"> </w:t>
      </w:r>
      <w:r>
        <w:t xml:space="preserve">(</w:t>
      </w:r>
      <m:oMath>
        <m:r>
          <m:t>b</m:t>
        </m:r>
        <m:r>
          <m:rPr>
            <m:sty m:val="p"/>
          </m:rPr>
          <m:t>=</m:t>
        </m:r>
        <m:r>
          <m:t>0.012</m:t>
        </m:r>
      </m:oMath>
      <w:r>
        <w:t xml:space="preserve">, 95% CrI</w:t>
      </w:r>
      <w:r>
        <w:t xml:space="preserve"> </w:t>
      </w:r>
      <m:oMath>
        <m:r>
          <m:rPr>
            <m:sty m:val="p"/>
          </m:rPr>
          <m:t>[</m:t>
        </m:r>
        <m:r>
          <m:t>0.002</m:t>
        </m:r>
        <m:r>
          <m:rPr>
            <m:sty m:val="p"/>
          </m:rPr>
          <m:t>,</m:t>
        </m:r>
        <m:r>
          <m:t>0.023</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and negative for differential object marking</w:t>
      </w:r>
      <w:r>
        <w:t xml:space="preserve"> </w:t>
      </w:r>
      <w:r>
        <w:t xml:space="preserve">(</w:t>
      </w:r>
      <m:oMath>
        <m:r>
          <m:t>b</m:t>
        </m:r>
        <m:r>
          <m:rPr>
            <m:sty m:val="p"/>
          </m:rPr>
          <m:t>=</m:t>
        </m:r>
        <m:r>
          <m:rPr>
            <m:sty m:val="p"/>
          </m:rPr>
          <m:t>−</m:t>
        </m:r>
        <m:r>
          <m:t>0.011</m:t>
        </m:r>
      </m:oMath>
      <w:r>
        <w:t xml:space="preserve">, 95% CrI</w:t>
      </w:r>
      <w:r>
        <w:t xml:space="preserve"> </w:t>
      </w:r>
      <m:oMath>
        <m:r>
          <m:rPr>
            <m:sty m:val="p"/>
          </m:rPr>
          <m:t>[</m:t>
        </m:r>
        <m:r>
          <m:rPr>
            <m:sty m:val="p"/>
          </m:rPr>
          <m:t>−</m:t>
        </m:r>
        <m:r>
          <m:t>0.020</m:t>
        </m:r>
        <m:r>
          <m:rPr>
            <m:sty m:val="p"/>
          </m:rPr>
          <m:t>,</m:t>
        </m:r>
        <m:r>
          <m:rPr>
            <m:sty m:val="p"/>
          </m:rPr>
          <m:t>−</m:t>
        </m:r>
        <m:r>
          <m:t>0.003</m:t>
        </m:r>
        <m:r>
          <m:rPr>
            <m:sty m:val="p"/>
          </m:rPr>
          <m:t>]</m:t>
        </m:r>
      </m:oMath>
      <w:r>
        <w:t xml:space="preserve">,</w:t>
      </w:r>
      <w:r>
        <w:t xml:space="preserve"> </w:t>
      </w:r>
      <m:oMath>
        <m:sSub>
          <m:e>
            <m:r>
              <m:t>p</m:t>
            </m:r>
          </m:e>
          <m:sub>
            <m:r>
              <m:t>d</m:t>
            </m:r>
          </m:sub>
        </m:sSub>
        <m:r>
          <m:rPr>
            <m:sty m:val="p"/>
          </m:rPr>
          <m:t>=</m:t>
        </m:r>
        <m:r>
          <m:t>.997</m:t>
        </m:r>
      </m:oMath>
      <w:r>
        <w:t xml:space="preserve">).</w:t>
      </w:r>
      <w:r>
        <w:t xml:space="preserve"> </w:t>
      </w:r>
      <w:r>
        <w:t xml:space="preserve">This is not the pattern we predicted. The design</w:t>
      </w:r>
      <w:r>
        <w:t xml:space="preserve"> </w:t>
      </w:r>
      <w:r>
        <w:t xml:space="preserve">treats both properties as controls, and neither family predicts a source-language</w:t>
      </w:r>
      <w:r>
        <w:t xml:space="preserve"> </w:t>
      </w:r>
      <w:r>
        <w:t xml:space="preserve">modulation on them (see</w:t>
      </w:r>
      <w:r>
        <w:t xml:space="preserve"> </w:t>
      </w:r>
      <w:r>
        <w:rPr>
          <w:i/>
          <w:iCs/>
        </w:rPr>
        <w:t xml:space="preserve">The present study</w:t>
      </w:r>
      <w:r>
        <w:t xml:space="preserve">), yet both showed one, in opposite</w:t>
      </w:r>
      <w:r>
        <w:t xml:space="preserve"> </w:t>
      </w:r>
      <w:r>
        <w:t xml:space="preserve">directions. The prediction failed, and we have no account of the pair. Another ERP test</w:t>
      </w:r>
      <w:r>
        <w:t xml:space="preserve"> </w:t>
      </w:r>
      <w:r>
        <w:t xml:space="preserve">of these models with a miniature language met a comparable outcome</w:t>
      </w:r>
      <w:r>
        <w:t xml:space="preserve"> </w:t>
      </w:r>
      <w:r>
        <w:t xml:space="preserve">(</w:t>
      </w:r>
      <w:hyperlink w:anchor="ref-pereirasoares2022">
        <w:r>
          <w:rPr>
            <w:rStyle w:val="Hyperlink"/>
          </w:rPr>
          <w:t xml:space="preserve">Pereira Soares et al., 2022</w:t>
        </w:r>
      </w:hyperlink>
      <w:r>
        <w:t xml:space="preserve">)</w:t>
      </w:r>
      <w:r>
        <w:t xml:space="preserve">. The L2 Status Factor derivation in the Introduction would favour</w:t>
      </w:r>
      <w:r>
        <w:t xml:space="preserve"> </w:t>
      </w:r>
      <w:r>
        <w:t xml:space="preserve">the Mini-English group on every property, which fits the differential-object-marking</w:t>
      </w:r>
      <w:r>
        <w:t xml:space="preserve"> </w:t>
      </w:r>
      <w:r>
        <w:t xml:space="preserve">modulation and contradicts the other two language effects, so it does not account for</w:t>
      </w:r>
      <w:r>
        <w:t xml:space="preserve"> </w:t>
      </w:r>
      <w:r>
        <w:t xml:space="preserve">the pair either. A general advantage of one training group is likewise hard to</w:t>
      </w:r>
      <w:r>
        <w:t xml:space="preserve"> </w:t>
      </w:r>
      <w:r>
        <w:t xml:space="preserve">reconcile with modulations of opposite sign on the two controls. The remaining</w:t>
      </w:r>
      <w:r>
        <w:t xml:space="preserve"> </w:t>
      </w:r>
      <w:r>
        <w:t xml:space="preserve">candidates, a difference in difficulty or in the amount of exposure each property had</w:t>
      </w:r>
      <w:r>
        <w:t xml:space="preserve"> </w:t>
      </w:r>
      <w:r>
        <w:t xml:space="preserve">received by Session 6 and a false positive among eighteen cells, are not distinguishable</w:t>
      </w:r>
      <w:r>
        <w:t xml:space="preserve"> </w:t>
      </w:r>
      <w:r>
        <w:t xml:space="preserve">in these data.</w:t>
      </w:r>
    </w:p>
    <w:p>
      <w:pPr>
        <w:pStyle w:val="BodyText"/>
      </w:pPr>
      <w:r>
        <w:t xml:space="preserve">The claim that survives is narrower, and it turns on timing. Under the source selection</w:t>
      </w:r>
      <w:r>
        <w:t xml:space="preserve"> </w:t>
      </w:r>
      <w:r>
        <w:t xml:space="preserve">the design supports, both families confine any advantage to gender agreement. Where they</w:t>
      </w:r>
      <w:r>
        <w:t xml:space="preserve"> </w:t>
      </w:r>
      <w:r>
        <w:t xml:space="preserve">differ is its onset: present from the property’s first session under wholesale</w:t>
      </w:r>
      <w:r>
        <w:t xml:space="preserve"> </w:t>
      </w:r>
      <w:r>
        <w:t xml:space="preserve">projection, accruing with exposure under property-by-property transfer. The behavioural</w:t>
      </w:r>
      <w:r>
        <w:t xml:space="preserve"> </w:t>
      </w:r>
      <w:r>
        <w:t xml:space="preserve">advantage carries both signatures: a credible advantage at the average session</w:t>
      </w:r>
      <w:r>
        <w:t xml:space="preserve"> </w:t>
      </w:r>
      <w:r>
        <w:t xml:space="preserve">(</w:t>
      </w:r>
      <m:oMath>
        <m:r>
          <m:t>b</m:t>
        </m:r>
        <m:r>
          <m:rPr>
            <m:sty m:val="p"/>
          </m:rPr>
          <m:t>=</m:t>
        </m:r>
        <m:r>
          <m:t>0.38</m:t>
        </m:r>
      </m:oMath>
      <w:r>
        <w:t xml:space="preserve">, 95% CrI</w:t>
      </w:r>
      <w:r>
        <w:t xml:space="preserve"> </w:t>
      </w:r>
      <m:oMath>
        <m:r>
          <m:rPr>
            <m:sty m:val="p"/>
          </m:rPr>
          <m:t>[</m:t>
        </m:r>
        <m:r>
          <m:t>0.10</m:t>
        </m:r>
        <m:r>
          <m:rPr>
            <m:sty m:val="p"/>
          </m:rPr>
          <m:t>,</m:t>
        </m:r>
        <m:r>
          <m:t>0.67</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and credible growth across sessions (the three-way interaction above). The quantity the</w:t>
      </w:r>
      <w:r>
        <w:t xml:space="preserve"> </w:t>
      </w:r>
      <w:r>
        <w:t xml:space="preserve">timing question needs is the advantage evaluated at the property’s first session, derived</w:t>
      </w:r>
      <w:r>
        <w:t xml:space="preserve"> </w:t>
      </w:r>
      <w:r>
        <w:t xml:space="preserve">from the same draws:</w:t>
      </w:r>
      <w:r>
        <w:t xml:space="preserve"> </w:t>
      </w:r>
      <m:oMath>
        <m:r>
          <m:t>b</m:t>
        </m:r>
        <m:r>
          <m:rPr>
            <m:sty m:val="p"/>
          </m:rPr>
          <m:t>=</m:t>
        </m:r>
        <m:r>
          <m:t>0.18</m:t>
        </m:r>
      </m:oMath>
      <w:r>
        <w:t xml:space="preserve">, 95% CrI</w:t>
      </w:r>
      <w:r>
        <w:t xml:space="preserve"> </w:t>
      </w:r>
      <m:oMath>
        <m:r>
          <m:rPr>
            <m:sty m:val="p"/>
          </m:rPr>
          <m:t>[</m:t>
        </m:r>
        <m:r>
          <m:rPr>
            <m:sty m:val="p"/>
          </m:rPr>
          <m:t>−</m:t>
        </m:r>
        <m:r>
          <m:t>0.12</m:t>
        </m:r>
        <m:r>
          <m:rPr>
            <m:sty m:val="p"/>
          </m:rPr>
          <m:t>,</m:t>
        </m:r>
        <m:r>
          <m:t>0.49</m:t>
        </m:r>
        <m:r>
          <m:rPr>
            <m:sty m:val="p"/>
          </m:rPr>
          <m:t>]</m:t>
        </m:r>
      </m:oMath>
      <w:r>
        <w:t xml:space="preserve">,</w:t>
      </w:r>
      <w:r>
        <w:t xml:space="preserve"> </w:t>
      </w:r>
      <m:oMath>
        <m:sSub>
          <m:e>
            <m:r>
              <m:t>p</m:t>
            </m:r>
          </m:e>
          <m:sub>
            <m:r>
              <m:t>d</m:t>
            </m:r>
          </m:sub>
        </m:sSub>
        <m:r>
          <m:rPr>
            <m:sty m:val="p"/>
          </m:rPr>
          <m:t>=</m:t>
        </m:r>
        <m:r>
          <m:t>.89</m:t>
        </m:r>
      </m:oMath>
      <w:r>
        <w:t xml:space="preserve">. That interval</w:t>
      </w:r>
      <w:r>
        <w:t xml:space="preserve"> </w:t>
      </w:r>
      <w:r>
        <w:t xml:space="preserve">includes zero, so the onset test is indeterminate on its own terms. It neither establishes</w:t>
      </w:r>
      <w:r>
        <w:t xml:space="preserve"> </w:t>
      </w:r>
      <w:r>
        <w:t xml:space="preserve">that the advantage was already in place when the property was first probed, which is the</w:t>
      </w:r>
      <w:r>
        <w:t xml:space="preserve"> </w:t>
      </w:r>
      <w:r>
        <w:t xml:space="preserve">wholesale signature, nor rules it out, and its central tendency leans towards presence.</w:t>
      </w:r>
      <w:r>
        <w:t xml:space="preserve"> </w:t>
      </w:r>
      <w:r>
        <w:t xml:space="preserve">As set out in the Introduction, growth is what the property-by-property account predicts</w:t>
      </w:r>
      <w:r>
        <w:t xml:space="preserve"> </w:t>
      </w:r>
      <w:r>
        <w:t xml:space="preserve">and what wholesale projection permits, so the timing evidence favours the former without</w:t>
      </w:r>
      <w:r>
        <w:t xml:space="preserve"> </w:t>
      </w:r>
      <w:r>
        <w:t xml:space="preserve">settling the contrast. As noted above, heterogeneity on its own is the weaker evidence,</w:t>
      </w:r>
      <w:r>
        <w:t xml:space="preserve"> </w:t>
      </w:r>
      <w:r>
        <w:t xml:space="preserve">since a sufficiently unconstrained selective account accommodates almost any pattern</w:t>
      </w:r>
      <w:r>
        <w:t xml:space="preserve"> </w:t>
      </w:r>
      <w:r>
        <w:t xml:space="preserve">(</w:t>
      </w:r>
      <w:hyperlink w:anchor="ref-schwartzsprouse2021">
        <w:r>
          <w:rPr>
            <w:rStyle w:val="Hyperlink"/>
          </w:rPr>
          <w:t xml:space="preserve">Schwartz &amp; Sprouse, 2021</w:t>
        </w:r>
      </w:hyperlink>
      <w:r>
        <w:t xml:space="preserve">)</w:t>
      </w:r>
      <w:r>
        <w:t xml:space="preserve">.</w:t>
      </w:r>
    </w:p>
    <w:p>
      <w:pPr>
        <w:pStyle w:val="BodyText"/>
      </w:pPr>
      <w:r>
        <w:t xml:space="preserve">The language factor sharpens the point. Grammatical gender, expressed in Mini-Norwegian</w:t>
      </w:r>
      <w:r>
        <w:t xml:space="preserve"> </w:t>
      </w:r>
      <w:r>
        <w:t xml:space="preserve">through a suffixed determiner, recapitulates a structure of the learners’ first language</w:t>
      </w:r>
      <w:r>
        <w:t xml:space="preserve"> </w:t>
      </w:r>
      <w:r>
        <w:t xml:space="preserve">(Norwegian has both grammatical gender and a suffixal definite article). The Mini-English</w:t>
      </w:r>
      <w:r>
        <w:t xml:space="preserve"> </w:t>
      </w:r>
      <w:r>
        <w:t xml:space="preserve">realisation, an English-like free determiner for a feature English does not encode, has no</w:t>
      </w:r>
      <w:r>
        <w:t xml:space="preserve"> </w:t>
      </w:r>
      <w:r>
        <w:t xml:space="preserve">such first-language support. Accordingly, the behavioural gender-agreement effect showed a</w:t>
      </w:r>
      <w:r>
        <w:t xml:space="preserve"> </w:t>
      </w:r>
      <w:r>
        <w:t xml:space="preserve">credible language modulation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w:t>
      </w:r>
      <w:r>
        <w:t xml:space="preserve"> </w:t>
      </w:r>
      <w:r>
        <w:t xml:space="preserve">interaction reported in the Results), advantaging the Mini-Norwegian group.</w:t>
      </w:r>
      <w:r>
        <w:t xml:space="preserve"> </w:t>
      </w:r>
      <w:r>
        <w:t xml:space="preserve">Differential object marking and verb–object number agreement are novel to both Norwegian</w:t>
      </w:r>
      <w:r>
        <w:t xml:space="preserve"> </w:t>
      </w:r>
      <w:r>
        <w:t xml:space="preserve">and English, and neither showed that first-language-aligned advantage in the behavioural</w:t>
      </w:r>
      <w:r>
        <w:t xml:space="preserve"> </w:t>
      </w:r>
      <w:r>
        <w:t xml:space="preserve">development. Their ERP modulations therefore cannot be read as first-language congruence</w:t>
      </w:r>
      <w:r>
        <w:t xml:space="preserve"> </w:t>
      </w:r>
      <w:r>
        <w:t xml:space="preserve">effects. The differential-object-marking one runs the other way: its grammaticality</w:t>
      </w:r>
      <w:r>
        <w:t xml:space="preserve"> </w:t>
      </w:r>
      <w:r>
        <w:t xml:space="preserve">effect held up across the retention interval for the Mini-English group and not for the</w:t>
      </w:r>
      <w:r>
        <w:t xml:space="preserve"> </w:t>
      </w:r>
      <w:r>
        <w:t xml:space="preserve">Mini-Norwegian one (</w:t>
      </w:r>
      <w:hyperlink w:anchor="tbl-retention">
        <w:r>
          <w:rPr>
            <w:rStyle w:val="Hyperlink"/>
          </w:rPr>
          <w:t xml:space="preserve">Table B1</w:t>
        </w:r>
      </w:hyperlink>
      <w:r>
        <w:t xml:space="preserve">). Both families predict that the one property with a</w:t>
      </w:r>
      <w:r>
        <w:t xml:space="preserve"> </w:t>
      </w:r>
      <w:r>
        <w:t xml:space="preserve">first-language analogue is the one whose advantage follows it. What neither predicts is</w:t>
      </w:r>
      <w:r>
        <w:t xml:space="preserve"> </w:t>
      </w:r>
      <w:r>
        <w:t xml:space="preserve">that the two properties without such an analogue should diverge from each other, and a</w:t>
      </w:r>
      <w:r>
        <w:t xml:space="preserve"> </w:t>
      </w:r>
      <w:r>
        <w:t xml:space="preserve">single grammar projected wholesale offers no more purchase on that divergence than a</w:t>
      </w:r>
      <w:r>
        <w:t xml:space="preserve"> </w:t>
      </w:r>
      <w:r>
        <w:t xml:space="preserve">property-by-property account does.</w:t>
      </w:r>
    </w:p>
    <w:p>
      <w:pPr>
        <w:pStyle w:val="BodyText"/>
      </w:pPr>
      <w:r>
        <w:t xml:space="preserve">The behavioural gender advantage also bears on the L2 Status Factor specifically. On the</w:t>
      </w:r>
      <w:r>
        <w:t xml:space="preserve"> </w:t>
      </w:r>
      <w:r>
        <w:t xml:space="preserve">derivation set out in the Introduction, an L2 default predicts either no group difference</w:t>
      </w:r>
      <w:r>
        <w:t xml:space="preserve"> </w:t>
      </w:r>
      <w:r>
        <w:t xml:space="preserve">or an advantage for Mini-English, never one for Mini-Norwegian. The credible Mini-Norwegian advantage on gender agreement therefore runs</w:t>
      </w:r>
      <w:r>
        <w:t xml:space="preserve"> </w:t>
      </w:r>
      <w:r>
        <w:t xml:space="preserve">directly against an L2 default source in this population, a stronger disconfirmation</w:t>
      </w:r>
      <w:r>
        <w:t xml:space="preserve"> </w:t>
      </w:r>
      <w:r>
        <w:t xml:space="preserve">than a violated null prediction.</w:t>
      </w:r>
    </w:p>
    <w:p>
      <w:pPr>
        <w:pStyle w:val="BodyText"/>
      </w:pPr>
      <w:r>
        <w:t xml:space="preserve">Within the property-by-property family, the data also begin to discriminate. The</w:t>
      </w:r>
      <w:r>
        <w:t xml:space="preserve"> </w:t>
      </w:r>
      <w:r>
        <w:t xml:space="preserve">Linguistic Proximity Model and the Scalpel Model both allow influence that is</w:t>
      </w:r>
      <w:r>
        <w:t xml:space="preserve"> </w:t>
      </w:r>
      <w:r>
        <w:t xml:space="preserve">property-specific and, where the match is misleading, non-facilitative, and are</w:t>
      </w:r>
      <w:r>
        <w:t xml:space="preserve"> </w:t>
      </w:r>
      <w:r>
        <w:t xml:space="preserve">compatible with everything observed. The Cumulative-Enhancement Model’s distinctive</w:t>
      </w:r>
      <w:r>
        <w:t xml:space="preserve"> </w:t>
      </w:r>
      <w:r>
        <w:t xml:space="preserve">claim, that prior languages facilitate or remain neutral, is harder to reconcile with a</w:t>
      </w:r>
      <w:r>
        <w:t xml:space="preserve"> </w:t>
      </w:r>
      <w:r>
        <w:t xml:space="preserve">modulation whose direction opposes first-language congruence, although on properties</w:t>
      </w:r>
      <w:r>
        <w:t xml:space="preserve"> </w:t>
      </w:r>
      <w:r>
        <w:t xml:space="preserve">without a source the model makes no clear commitment. We record this as a point on</w:t>
      </w:r>
      <w:r>
        <w:t xml:space="preserve"> </w:t>
      </w:r>
      <w:r>
        <w:t xml:space="preserve">which the family’s members differ, without treating it as a resolved contrast.</w:t>
      </w:r>
    </w:p>
    <w:bookmarkEnd w:id="121"/>
    <w:bookmarkStart w:id="122" w:name="change-across-the-retention-interval"/>
    <w:p>
      <w:pPr>
        <w:pStyle w:val="Heading2"/>
      </w:pPr>
      <w:r>
        <w:t xml:space="preserve">Change across the retention interval</w:t>
      </w:r>
    </w:p>
    <w:p>
      <w:pPr>
        <w:pStyle w:val="FirstParagraph"/>
      </w:pPr>
      <w:r>
        <w:t xml:space="preserve">What happened to these effects over the months without exposure depends on how the</w:t>
      </w:r>
      <w:r>
        <w:t xml:space="preserve"> </w:t>
      </w:r>
      <w:r>
        <w:t xml:space="preserve">retention step is modelled. Under the linear specification, the gender-agreement grammaticality effect was</w:t>
      </w:r>
      <w:r>
        <w:t xml:space="preserve"> </w:t>
      </w:r>
      <w:r>
        <w:t xml:space="preserve">larger at Session 6 than at Session 4 in both languages and to almost the same degree</w:t>
      </w:r>
      <w:r>
        <w:t xml:space="preserve"> </w:t>
      </w:r>
      <w:r>
        <w:t xml:space="preserve">(midline 400–900 ms, overall</w:t>
      </w:r>
      <w:r>
        <w:t xml:space="preserve"> </w:t>
      </w:r>
      <m:oMath>
        <m:r>
          <m:rPr>
            <m:sty m:val="p"/>
          </m:rPr>
          <m:t>Δ</m:t>
        </m:r>
        <m:r>
          <m:rPr>
            <m:sty m:val="p"/>
          </m:rPr>
          <m:t>=</m:t>
        </m:r>
        <m:r>
          <m:t>0.019</m:t>
        </m:r>
      </m:oMath>
      <w:r>
        <w:t xml:space="preserve">, 95% CrI</w:t>
      </w:r>
      <w:r>
        <w:t xml:space="preserve"> </w:t>
      </w:r>
      <m:oMath>
        <m:r>
          <m:rPr>
            <m:sty m:val="p"/>
          </m:rPr>
          <m:t>[</m:t>
        </m:r>
        <m:r>
          <m:t>0.010</m:t>
        </m:r>
        <m:r>
          <m:rPr>
            <m:sty m:val="p"/>
          </m:rPr>
          <m:t>,</m:t>
        </m:r>
        <m:r>
          <m:t>0.028</m:t>
        </m:r>
        <m:r>
          <m:rPr>
            <m:sty m:val="p"/>
          </m:rPr>
          <m:t>]</m:t>
        </m:r>
      </m:oMath>
      <w:r>
        <w:t xml:space="preserve">,</w:t>
      </w:r>
      <w:r>
        <w:t xml:space="preserve"> </w:t>
      </w:r>
      <m:oMath>
        <m:sSub>
          <m:e>
            <m:r>
              <m:t>p</m:t>
            </m:r>
          </m:e>
          <m:sub>
            <m:r>
              <m:t>d</m:t>
            </m:r>
          </m:sub>
        </m:sSub>
        <m:r>
          <m:rPr>
            <m:sty m:val="p"/>
          </m:rPr>
          <m:t>&gt;</m:t>
        </m:r>
        <m:r>
          <m:t>.999</m:t>
        </m:r>
      </m:oMath>
      <w:r>
        <w:t xml:space="preserve">; language difference</w:t>
      </w:r>
      <w:r>
        <w:t xml:space="preserve"> </w:t>
      </w:r>
      <w:r>
        <w:t xml:space="preserve">Mini-Norwegian minus Mini-English</w:t>
      </w:r>
      <w:r>
        <w:t xml:space="preserve"> </w:t>
      </w:r>
      <m:oMath>
        <m:r>
          <m:rPr>
            <m:sty m:val="p"/>
          </m:rPr>
          <m:t>Δ</m:t>
        </m:r>
        <m:r>
          <m:rPr>
            <m:sty m:val="p"/>
          </m:rPr>
          <m:t>=</m:t>
        </m:r>
        <m:r>
          <m:rPr>
            <m:sty m:val="p"/>
          </m:rPr>
          <m:t>−</m:t>
        </m:r>
        <m:r>
          <m:t>0.0002</m:t>
        </m:r>
      </m:oMath>
      <w:r>
        <w:t xml:space="preserve">, 95% CrI</w:t>
      </w:r>
      <w:r>
        <w:t xml:space="preserve"> </w:t>
      </w:r>
      <m:oMath>
        <m:r>
          <m:rPr>
            <m:sty m:val="p"/>
          </m:rPr>
          <m:t>[</m:t>
        </m:r>
        <m:r>
          <m:rPr>
            <m:sty m:val="p"/>
          </m:rPr>
          <m:t>−</m:t>
        </m:r>
        <m:r>
          <m:t>0.0184</m:t>
        </m:r>
        <m:r>
          <m:rPr>
            <m:sty m:val="p"/>
          </m:rPr>
          <m:t>,</m:t>
        </m:r>
        <m:r>
          <m:t>0.0179</m:t>
        </m:r>
        <m:r>
          <m:rPr>
            <m:sty m:val="p"/>
          </m:rPr>
          <m:t>]</m:t>
        </m:r>
      </m:oMath>
      <w:r>
        <w:t xml:space="preserve">,</w:t>
      </w:r>
      <w:r>
        <w:t xml:space="preserve"> </w:t>
      </w:r>
      <m:oMath>
        <m:sSub>
          <m:e>
            <m:r>
              <m:t>p</m:t>
            </m:r>
          </m:e>
          <m:sub>
            <m:r>
              <m:t>d</m:t>
            </m:r>
          </m:sub>
        </m:sSub>
        <m:r>
          <m:rPr>
            <m:sty m:val="p"/>
          </m:rPr>
          <m:t>=</m:t>
        </m:r>
        <m:r>
          <m:t>.51</m:t>
        </m:r>
      </m:oMath>
      <w:r>
        <w:t xml:space="preserve">). That reading is an extrapolation, since the contrast is the fitted</w:t>
      </w:r>
      <w:r>
        <w:t xml:space="preserve"> </w:t>
      </w:r>
      <w:r>
        <w:t xml:space="preserve">linear trajectory evaluated over the retention step (see Results) and so reports continued</w:t>
      </w:r>
      <w:r>
        <w:t xml:space="preserve"> </w:t>
      </w:r>
      <w:r>
        <w:t xml:space="preserve">growth at the training rate. The linear specification cannot express a change specific to the</w:t>
      </w:r>
      <w:r>
        <w:t xml:space="preserve"> </w:t>
      </w:r>
      <w:r>
        <w:t xml:space="preserve">interval.</w:t>
      </w:r>
    </w:p>
    <w:p>
      <w:pPr>
        <w:pStyle w:val="BodyText"/>
      </w:pPr>
      <w:r>
        <w:t xml:space="preserve">The refit that frees the Session-6 offset revises both halves of it.</w:t>
      </w:r>
      <w:r>
        <w:t xml:space="preserve"> </w:t>
      </w:r>
      <w:r>
        <w:t xml:space="preserve">A refit in which the retention step is free to differ from the training steps separates the two readings. For this cell the freed Session-6 offset, the deviation at retention, is</w:t>
      </w:r>
      <w:r>
        <w:t xml:space="preserve"> </w:t>
      </w:r>
      <m:oMath>
        <m:r>
          <m:rPr>
            <m:sty m:val="p"/>
          </m:rPr>
          <m:t>Δ</m:t>
        </m:r>
        <m:r>
          <m:rPr>
            <m:sty m:val="p"/>
          </m:rPr>
          <m:t>=</m:t>
        </m:r>
        <m:r>
          <m:rPr>
            <m:sty m:val="p"/>
          </m:rPr>
          <m:t>−</m:t>
        </m:r>
        <m:r>
          <m:t>0.012</m:t>
        </m:r>
      </m:oMath>
      <w:r>
        <w:t xml:space="preserve">, 95% CrI</w:t>
      </w:r>
      <w:r>
        <w:t xml:space="preserve"> </w:t>
      </w:r>
      <m:oMath>
        <m:r>
          <m:rPr>
            <m:sty m:val="p"/>
          </m:rPr>
          <m:t>[</m:t>
        </m:r>
        <m:r>
          <m:rPr>
            <m:sty m:val="p"/>
          </m:rPr>
          <m:t>−</m:t>
        </m:r>
        <m:r>
          <m:t>0.048</m:t>
        </m:r>
        <m:r>
          <m:rPr>
            <m:sty m:val="p"/>
          </m:rPr>
          <m:t>,</m:t>
        </m:r>
        <m:r>
          <m:t>0.024</m:t>
        </m:r>
        <m:r>
          <m:rPr>
            <m:sty m:val="p"/>
          </m:rPr>
          <m:t>]</m:t>
        </m:r>
      </m:oMath>
      <w:r>
        <w:t xml:space="preserve">,</w:t>
      </w:r>
      <w:r>
        <w:t xml:space="preserve"> </w:t>
      </w:r>
      <m:oMath>
        <m:sSub>
          <m:e>
            <m:r>
              <m:t>p</m:t>
            </m:r>
          </m:e>
          <m:sub>
            <m:r>
              <m:t>d</m:t>
            </m:r>
          </m:sub>
        </m:sSub>
        <m:r>
          <m:rPr>
            <m:sty m:val="p"/>
          </m:rPr>
          <m:t>=</m:t>
        </m:r>
        <m:r>
          <m:t>.74</m:t>
        </m:r>
      </m:oMath>
      <w:r>
        <w:t xml:space="preserve">. Averaged over languages, the freed offset is credible in</w:t>
      </w:r>
      <w:r>
        <w:t xml:space="preserve"> </w:t>
      </w:r>
      <w:r>
        <w:t xml:space="preserve">none of the six gender-agreement cells, so the</w:t>
      </w:r>
      <w:r>
        <w:t xml:space="preserve"> </w:t>
      </w:r>
      <w:r>
        <w:t xml:space="preserve">apparent strengthening was the training trend carried across the gap. What the freed model</w:t>
      </w:r>
      <w:r>
        <w:t xml:space="preserve"> </w:t>
      </w:r>
      <w:r>
        <w:t xml:space="preserve">does show, in</w:t>
      </w:r>
      <w:r>
        <w:t xml:space="preserve"> </w:t>
      </w:r>
      <w:r>
        <w:t xml:space="preserve">five of the six cells, is a credible</w:t>
      </w:r>
      <w:r>
        <w:t xml:space="preserve"> </w:t>
      </w:r>
      <w:r>
        <w:t xml:space="preserve">difference between the languages in how the effect changed over the interval (midline</w:t>
      </w:r>
      <w:r>
        <w:t xml:space="preserve"> </w:t>
      </w:r>
      <w:r>
        <w:t xml:space="preserve">400–900 ms, Mini-Norwegian minus Mini-English</w:t>
      </w:r>
      <w:r>
        <w:t xml:space="preserve"> </w:t>
      </w:r>
      <m:oMath>
        <m:r>
          <m:rPr>
            <m:sty m:val="p"/>
          </m:rPr>
          <m:t>Δ</m:t>
        </m:r>
        <m:r>
          <m:rPr>
            <m:sty m:val="p"/>
          </m:rPr>
          <m:t>=</m:t>
        </m:r>
        <m:r>
          <m:t>0.09</m:t>
        </m:r>
      </m:oMath>
      <w:r>
        <w:t xml:space="preserve">, 95% CrI</w:t>
      </w:r>
      <w:r>
        <w:t xml:space="preserve"> </w:t>
      </w:r>
      <m:oMath>
        <m:r>
          <m:rPr>
            <m:sty m:val="p"/>
          </m:rPr>
          <m:t>[</m:t>
        </m:r>
        <m:r>
          <m:t>0.01</m:t>
        </m:r>
        <m:r>
          <m:rPr>
            <m:sty m:val="p"/>
          </m:rPr>
          <m:t>,</m:t>
        </m:r>
        <m:r>
          <m:t>0.16</m:t>
        </m:r>
        <m:r>
          <m:rPr>
            <m:sty m:val="p"/>
          </m:rPr>
          <m:t>]</m:t>
        </m:r>
      </m:oMath>
      <w:r>
        <w:t xml:space="preserve">,</w:t>
      </w:r>
      <w:r>
        <w:t xml:space="preserve"> </w:t>
      </w:r>
      <m:oMath>
        <m:sSub>
          <m:e>
            <m:r>
              <m:t>p</m:t>
            </m:r>
          </m:e>
          <m:sub>
            <m:r>
              <m:t>d</m:t>
            </m:r>
          </m:sub>
        </m:sSub>
        <m:r>
          <m:rPr>
            <m:sty m:val="p"/>
          </m:rPr>
          <m:t>=</m:t>
        </m:r>
        <m:r>
          <m:t>.99</m:t>
        </m:r>
      </m:oMath>
      <w:r>
        <w:t xml:space="preserve">). The Mini-Norwegian estimate is positive in</w:t>
      </w:r>
      <w:r>
        <w:t xml:space="preserve"> </w:t>
      </w:r>
      <w:r>
        <w:t xml:space="preserve">every one of the six cells and the</w:t>
      </w:r>
      <w:r>
        <w:t xml:space="preserve"> </w:t>
      </w:r>
      <w:r>
        <w:t xml:space="preserve">Mini-English estimate negative in</w:t>
      </w:r>
      <w:r>
        <w:t xml:space="preserve"> </w:t>
      </w:r>
      <w:r>
        <w:t xml:space="preserve">every one of the six, although each</w:t>
      </w:r>
      <w:r>
        <w:t xml:space="preserve"> </w:t>
      </w:r>
      <w:r>
        <w:t xml:space="preserve">group’s own change is individually credible in fewer of them (Mini-Norwegian</w:t>
      </w:r>
      <w:r>
        <w:t xml:space="preserve"> </w:t>
      </w:r>
      <w:r>
        <w:t xml:space="preserve">two of the six, Mini-English</w:t>
      </w:r>
      <w:r>
        <w:t xml:space="preserve"> </w:t>
      </w:r>
      <w:r>
        <w:t xml:space="preserve">one of the six). The average null therefore</w:t>
      </w:r>
      <w:r>
        <w:t xml:space="preserve"> </w:t>
      </w:r>
      <w:r>
        <w:t xml:space="preserve">reflects two effects cancelling, and the direction of the divergence matters.</w:t>
      </w:r>
      <w:r>
        <w:t xml:space="preserve"> </w:t>
      </w:r>
      <w:r>
        <w:t xml:space="preserve">The effect was maintained where the learners’ first language supplies the same structure and</w:t>
      </w:r>
      <w:r>
        <w:t xml:space="preserve"> </w:t>
      </w:r>
      <w:r>
        <w:t xml:space="preserve">eroded where it does not. On this evidence, the retention behaviour of gender agreement tracks</w:t>
      </w:r>
      <w:r>
        <w:t xml:space="preserve"> </w:t>
      </w:r>
      <w:r>
        <w:t xml:space="preserve">the source grammar. We hold the conclusion at the level</w:t>
      </w:r>
      <w:r>
        <w:t xml:space="preserve"> </w:t>
      </w:r>
      <w:r>
        <w:t xml:space="preserve">the estimates support, which is the group difference and not either group’s separate</w:t>
      </w:r>
      <w:r>
        <w:t xml:space="preserve"> </w:t>
      </w:r>
      <w:r>
        <w:t xml:space="preserve">trajectory, a distinction that comparisons of separately tested effects routinely blur</w:t>
      </w:r>
      <w:r>
        <w:t xml:space="preserve"> </w:t>
      </w:r>
      <w:r>
        <w:t xml:space="preserve">(</w:t>
      </w:r>
      <w:hyperlink w:anchor="ref-gelmanstern2006">
        <w:r>
          <w:rPr>
            <w:rStyle w:val="Hyperlink"/>
          </w:rPr>
          <w:t xml:space="preserve">Gelman &amp; Stern, 2006</w:t>
        </w:r>
      </w:hyperlink>
      <w:r>
        <w:t xml:space="preserve">;</w:t>
      </w:r>
      <w:r>
        <w:t xml:space="preserve"> </w:t>
      </w:r>
      <w:hyperlink w:anchor="ref-nieuwenhuis2011">
        <w:r>
          <w:rPr>
            <w:rStyle w:val="Hyperlink"/>
          </w:rPr>
          <w:t xml:space="preserve">S. Nieuwenhuis et al., 2011</w:t>
        </w:r>
      </w:hyperlink>
      <w:r>
        <w:t xml:space="preserve">)</w:t>
      </w:r>
      <w:r>
        <w:t xml:space="preserve">. Verb–object number agreement, by contrast,</w:t>
      </w:r>
      <w:r>
        <w:t xml:space="preserve"> </w:t>
      </w:r>
      <w:r>
        <w:t xml:space="preserve">gained over the interval only within the Mini-Norwegian group (</w:t>
      </w:r>
      <w:hyperlink w:anchor="tbl-retention">
        <w:r>
          <w:rPr>
            <w:rStyle w:val="Hyperlink"/>
          </w:rPr>
          <w:t xml:space="preserve">Table B1</w:t>
        </w:r>
      </w:hyperlink>
      <w:r>
        <w:t xml:space="preserve">). The</w:t>
      </w:r>
      <w:r>
        <w:t xml:space="preserve"> </w:t>
      </w:r>
      <w:r>
        <w:t xml:space="preserve">latest-introduced property, novel to both prior</w:t>
      </w:r>
      <w:r>
        <w:t xml:space="preserve"> </w:t>
      </w:r>
      <w:r>
        <w:t xml:space="preserve">languages, strengthened for one training group only. That is a group difference on a</w:t>
      </w:r>
      <w:r>
        <w:t xml:space="preserve"> </w:t>
      </w:r>
      <w:r>
        <w:t xml:space="preserve">property where property-level congruence predicts none, so we group it with the</w:t>
      </w:r>
      <w:r>
        <w:t xml:space="preserve"> </w:t>
      </w:r>
      <w:r>
        <w:t xml:space="preserve">unexplained control modulations discussed above, separately from the gender-agreement</w:t>
      </w:r>
      <w:r>
        <w:t xml:space="preserve"> </w:t>
      </w:r>
      <w:r>
        <w:t xml:space="preserve">transfer effect. The candidate explanations listed there apply here too, and we do not</w:t>
      </w:r>
      <w:r>
        <w:t xml:space="preserve"> </w:t>
      </w:r>
      <w:r>
        <w:t xml:space="preserve">choose between them. Differential object marking, whose behavioural accuracy declined</w:t>
      </w:r>
      <w:r>
        <w:t xml:space="preserve"> </w:t>
      </w:r>
      <w:r>
        <w:t xml:space="preserve">across the interval in both groups (</w:t>
      </w:r>
      <w:hyperlink w:anchor="tbl-retention">
        <w:r>
          <w:rPr>
            <w:rStyle w:val="Hyperlink"/>
          </w:rPr>
          <w:t xml:space="preserve">Table B1</w:t>
        </w:r>
      </w:hyperlink>
      <w:r>
        <w:t xml:space="preserve">), diverges by language in the freed</w:t>
      </w:r>
      <w:r>
        <w:t xml:space="preserve"> </w:t>
      </w:r>
      <w:r>
        <w:t xml:space="preserve">model as gender agreement does, but in the opposite direction. Its</w:t>
      </w:r>
      <w:r>
        <w:t xml:space="preserve"> </w:t>
      </w:r>
      <w:r>
        <w:t xml:space="preserve">retention estimate is negative within Mini-Norwegian in</w:t>
      </w:r>
      <w:r>
        <w:t xml:space="preserve"> </w:t>
      </w:r>
      <w:r>
        <w:t xml:space="preserve">every one of the six cells, and the</w:t>
      </w:r>
      <w:r>
        <w:t xml:space="preserve"> </w:t>
      </w:r>
      <w:r>
        <w:t xml:space="preserve">language difference is credible in</w:t>
      </w:r>
      <w:r>
        <w:t xml:space="preserve"> </w:t>
      </w:r>
      <w:r>
        <w:t xml:space="preserve">five of the six cells (midline</w:t>
      </w:r>
      <w:r>
        <w:t xml:space="preserve"> </w:t>
      </w:r>
      <w:r>
        <w:t xml:space="preserve">400–900 ms, Mini-Norwegian minus Mini-English</w:t>
      </w:r>
      <w:r>
        <w:t xml:space="preserve"> </w:t>
      </w:r>
      <m:oMath>
        <m:r>
          <m:rPr>
            <m:sty m:val="p"/>
          </m:rPr>
          <m:t>Δ</m:t>
        </m:r>
        <m:r>
          <m:rPr>
            <m:sty m:val="p"/>
          </m:rPr>
          <m:t>=</m:t>
        </m:r>
        <m:r>
          <m:rPr>
            <m:sty m:val="p"/>
          </m:rPr>
          <m:t>−</m:t>
        </m:r>
        <m:r>
          <m:t>0.16</m:t>
        </m:r>
      </m:oMath>
      <w:r>
        <w:t xml:space="preserve">, 95% CrI</w:t>
      </w:r>
      <w:r>
        <w:t xml:space="preserve"> </w:t>
      </w:r>
      <m:oMath>
        <m:r>
          <m:rPr>
            <m:sty m:val="p"/>
          </m:rPr>
          <m:t>[</m:t>
        </m:r>
        <m:r>
          <m:rPr>
            <m:sty m:val="p"/>
          </m:rPr>
          <m:t>−</m:t>
        </m:r>
        <m:r>
          <m:t>0.25</m:t>
        </m:r>
        <m:r>
          <m:rPr>
            <m:sty m:val="p"/>
          </m:rPr>
          <m:t>,</m:t>
        </m:r>
        <m:r>
          <m:rPr>
            <m:sty m:val="p"/>
          </m:rPr>
          <m:t>−</m:t>
        </m:r>
        <m:r>
          <m:t>0.06</m:t>
        </m:r>
        <m:r>
          <m:rPr>
            <m:sty m:val="p"/>
          </m:rPr>
          <m:t>]</m:t>
        </m:r>
      </m:oMath>
      <w:r>
        <w:t xml:space="preserve">,</w:t>
      </w:r>
      <w:r>
        <w:t xml:space="preserve"> </w:t>
      </w:r>
      <m:oMath>
        <m:sSub>
          <m:e>
            <m:r>
              <m:t>p</m:t>
            </m:r>
          </m:e>
          <m:sub>
            <m:r>
              <m:t>d</m:t>
            </m:r>
          </m:sub>
        </m:sSub>
        <m:r>
          <m:rPr>
            <m:sty m:val="p"/>
          </m:rPr>
          <m:t>=</m:t>
        </m:r>
        <m:r>
          <m:t>.999</m:t>
        </m:r>
      </m:oMath>
      <w:r>
        <w:t xml:space="preserve">).</w:t>
      </w:r>
      <w:r>
        <w:t xml:space="preserve"> </w:t>
      </w:r>
      <w:r>
        <w:t xml:space="preserve">That is the same reversal of first-language congruence that its late-window transfer term</w:t>
      </w:r>
      <w:r>
        <w:t xml:space="preserve"> </w:t>
      </w:r>
      <w:r>
        <w:t xml:space="preserve">shows, which we could not account for there and cannot account for here. This property also</w:t>
      </w:r>
      <w:r>
        <w:t xml:space="preserve"> </w:t>
      </w:r>
      <w:r>
        <w:t xml:space="preserve">has a stimulus confound the others do not (see Results). We</w:t>
      </w:r>
      <w:r>
        <w:t xml:space="preserve"> </w:t>
      </w:r>
      <w:r>
        <w:t xml:space="preserve">therefore do not read its retention profile as consolidation of a durable representation.</w:t>
      </w:r>
    </w:p>
    <w:p>
      <w:pPr>
        <w:pStyle w:val="BodyText"/>
      </w:pPr>
      <w:r>
        <w:t xml:space="preserve">Consolidation is defined as the continued transformation of an experience-dependent</w:t>
      </w:r>
      <w:r>
        <w:t xml:space="preserve"> </w:t>
      </w:r>
      <w:r>
        <w:t xml:space="preserve">representation after acquisition, through recurrent reactivation during wake and sleep</w:t>
      </w:r>
      <w:r>
        <w:t xml:space="preserve"> </w:t>
      </w:r>
      <w:r>
        <w:t xml:space="preserve">and redistribution of the representation to additional sites</w:t>
      </w:r>
      <w:r>
        <w:t xml:space="preserve"> </w:t>
      </w:r>
      <w:r>
        <w:t xml:space="preserve">(</w:t>
      </w:r>
      <w:hyperlink w:anchor="ref-dudai2015">
        <w:r>
          <w:rPr>
            <w:rStyle w:val="Hyperlink"/>
          </w:rPr>
          <w:t xml:space="preserve">Dudai et al., 2015</w:t>
        </w:r>
      </w:hyperlink>
      <w:r>
        <w:t xml:space="preserve">)</w:t>
      </w:r>
      <w:r>
        <w:t xml:space="preserve">, so change</w:t>
      </w:r>
      <w:r>
        <w:t xml:space="preserve"> </w:t>
      </w:r>
      <w:r>
        <w:t xml:space="preserve">across an interval containing no further training cannot be a practice effect. The</w:t>
      </w:r>
      <w:r>
        <w:t xml:space="preserve"> </w:t>
      </w:r>
      <w:r>
        <w:t xml:space="preserve">complementary-systems account supplies the mechanism for language specifically: rapid</w:t>
      </w:r>
      <w:r>
        <w:t xml:space="preserve"> </w:t>
      </w:r>
      <w:r>
        <w:t xml:space="preserve">hippocampally supported familiarisation followed by slow neocortical consolidation, with</w:t>
      </w:r>
      <w:r>
        <w:t xml:space="preserve"> </w:t>
      </w:r>
      <w:r>
        <w:t xml:space="preserve">cortical responses becoming knowledge-like only where a consolidation opportunity</w:t>
      </w:r>
      <w:r>
        <w:t xml:space="preserve"> </w:t>
      </w:r>
      <w:r>
        <w:t xml:space="preserve">intervenes</w:t>
      </w:r>
      <w:r>
        <w:t xml:space="preserve"> </w:t>
      </w:r>
      <w:r>
        <w:t xml:space="preserve">(</w:t>
      </w:r>
      <w:hyperlink w:anchor="ref-davis2009">
        <w:r>
          <w:rPr>
            <w:rStyle w:val="Hyperlink"/>
          </w:rPr>
          <w:t xml:space="preserve">M. H. Davis &amp; Gaskell, 2009</w:t>
        </w:r>
      </w:hyperlink>
      <w:r>
        <w:t xml:space="preserve">)</w:t>
      </w:r>
      <w:r>
        <w:t xml:space="preserve">. In the closest precedent, adults trained on an artificial</w:t>
      </w:r>
      <w:r>
        <w:t xml:space="preserve"> </w:t>
      </w:r>
      <w:r>
        <w:t xml:space="preserve">language showed ERP responses that grew more native-like after months without exposure</w:t>
      </w:r>
      <w:r>
        <w:t xml:space="preserve"> </w:t>
      </w:r>
      <w:r>
        <w:t xml:space="preserve">while behaviour was unchanged</w:t>
      </w:r>
      <w:r>
        <w:t xml:space="preserve"> </w:t>
      </w:r>
      <w:r>
        <w:t xml:space="preserve">(</w:t>
      </w:r>
      <w:hyperlink w:anchor="ref-morganshort2012plos">
        <w:r>
          <w:rPr>
            <w:rStyle w:val="Hyperlink"/>
          </w:rPr>
          <w:t xml:space="preserve">Morgan-Short, Finger, et al., 2012</w:t>
        </w:r>
      </w:hyperlink>
      <w:r>
        <w:t xml:space="preserve">)</w:t>
      </w:r>
      <w:r>
        <w:t xml:space="preserve">, and responses to newly learned</w:t>
      </w:r>
      <w:r>
        <w:t xml:space="preserve"> </w:t>
      </w:r>
      <w:r>
        <w:t xml:space="preserve">words shift measurably across a single overnight interval</w:t>
      </w:r>
      <w:r>
        <w:t xml:space="preserve"> </w:t>
      </w:r>
      <w:r>
        <w:t xml:space="preserve">(</w:t>
      </w:r>
      <w:hyperlink w:anchor="ref-bakker2015">
        <w:r>
          <w:rPr>
            <w:rStyle w:val="Hyperlink"/>
          </w:rPr>
          <w:t xml:space="preserve">Bakker et al., 2015</w:t>
        </w:r>
      </w:hyperlink>
      <w:r>
        <w:t xml:space="preserve">)</w:t>
      </w:r>
      <w:r>
        <w:t xml:space="preserve">. The</w:t>
      </w:r>
      <w:r>
        <w:t xml:space="preserve"> </w:t>
      </w:r>
      <w:r>
        <w:t xml:space="preserve">stabilisation-versus-enhancement distinction drawn in the procedural literature</w:t>
      </w:r>
      <w:r>
        <w:t xml:space="preserve"> </w:t>
      </w:r>
      <w:r>
        <w:t xml:space="preserve">(</w:t>
      </w:r>
      <w:hyperlink w:anchor="ref-robertson2004">
        <w:r>
          <w:rPr>
            <w:rStyle w:val="Hyperlink"/>
          </w:rPr>
          <w:t xml:space="preserve">Robertson et al., 2004</w:t>
        </w:r>
      </w:hyperlink>
      <w:r>
        <w:t xml:space="preserve">)</w:t>
      </w:r>
      <w:r>
        <w:t xml:space="preserve"> </w:t>
      </w:r>
      <w:r>
        <w:t xml:space="preserve">frames the profiles here, once the freed estimates replace the</w:t>
      </w:r>
      <w:r>
        <w:t xml:space="preserve"> </w:t>
      </w:r>
      <w:r>
        <w:t xml:space="preserve">extrapolated ones. Gender agreement shows neither enhancement nor decay on average but a</w:t>
      </w:r>
      <w:r>
        <w:t xml:space="preserve"> </w:t>
      </w:r>
      <w:r>
        <w:t xml:space="preserve">divergence between the languages, verb–object number agreement gained in Mini-Norwegian</w:t>
      </w:r>
      <w:r>
        <w:t xml:space="preserve"> </w:t>
      </w:r>
      <w:r>
        <w:t xml:space="preserve">alone, and differential object marking diverged in the opposite direction to gender</w:t>
      </w:r>
      <w:r>
        <w:t xml:space="preserve"> </w:t>
      </w:r>
      <w:r>
        <w:t xml:space="preserve">agreement. An offline gain of this kind plausibly reflects rule abstraction</w:t>
      </w:r>
      <w:r>
        <w:t xml:space="preserve"> </w:t>
      </w:r>
      <w:r>
        <w:t xml:space="preserve">(</w:t>
      </w:r>
      <w:hyperlink w:anchor="ref-nieuwenhuis2013">
        <w:r>
          <w:rPr>
            <w:rStyle w:val="Hyperlink"/>
          </w:rPr>
          <w:t xml:space="preserve">I. L. C. Nieuwenhuis et al., 2013</w:t>
        </w:r>
      </w:hyperlink>
      <w:r>
        <w:t xml:space="preserve">;</w:t>
      </w:r>
      <w:r>
        <w:t xml:space="preserve"> </w:t>
      </w:r>
      <w:hyperlink w:anchor="ref-tamminen2015">
        <w:r>
          <w:rPr>
            <w:rStyle w:val="Hyperlink"/>
          </w:rPr>
          <w:t xml:space="preserve">Tamminen et al., 2015</w:t>
        </w:r>
      </w:hyperlink>
      <w:r>
        <w:t xml:space="preserve">)</w:t>
      </w:r>
      <w:r>
        <w:t xml:space="preserve">, though</w:t>
      </w:r>
      <w:r>
        <w:t xml:space="preserve"> </w:t>
      </w:r>
      <w:r>
        <w:t xml:space="preserve">Mirković and Gaskell (</w:t>
      </w:r>
      <w:hyperlink w:anchor="ref-mirkovic2016">
        <w:r>
          <w:rPr>
            <w:rStyle w:val="Hyperlink"/>
          </w:rPr>
          <w:t xml:space="preserve">2016</w:t>
        </w:r>
      </w:hyperlink>
      <w:r>
        <w:t xml:space="preserve">)</w:t>
      </w:r>
      <w:r>
        <w:t xml:space="preserve"> </w:t>
      </w:r>
      <w:r>
        <w:t xml:space="preserve">found no sleep benefit</w:t>
      </w:r>
      <w:r>
        <w:t xml:space="preserve"> </w:t>
      </w:r>
      <w:r>
        <w:t xml:space="preserve">for the systematic aspects of a comparable artificial gender language. That study used a</w:t>
      </w:r>
      <w:r>
        <w:t xml:space="preserve"> </w:t>
      </w:r>
      <w:r>
        <w:t xml:space="preserve">nap-length interval and behavioural measures, which a longer, electrophysiologically</w:t>
      </w:r>
      <w:r>
        <w:t xml:space="preserve"> </w:t>
      </w:r>
      <w:r>
        <w:t xml:space="preserve">measured interval may reach past without contradicting.</w:t>
      </w:r>
    </w:p>
    <w:bookmarkEnd w:id="122"/>
    <w:bookmarkStart w:id="123" w:name="Xc8f859ce1cc6b29ebc69912ddafa264c24aab2f"/>
    <w:p>
      <w:pPr>
        <w:pStyle w:val="Heading2"/>
      </w:pPr>
      <w:r>
        <w:t xml:space="preserve">Convergence and divergence of the two measures</w:t>
      </w:r>
    </w:p>
    <w:p>
      <w:pPr>
        <w:pStyle w:val="FirstParagraph"/>
      </w:pPr>
      <w:r>
        <w:t xml:space="preserve">The electrophysiological and behavioural measures converge for gender agreement in</w:t>
      </w:r>
      <w:r>
        <w:t xml:space="preserve"> </w:t>
      </w:r>
      <w:r>
        <w:t xml:space="preserve">indexing learning, and, on the derivation that bears on consolidation, at retention as</w:t>
      </w:r>
      <w:r>
        <w:t xml:space="preserve"> </w:t>
      </w:r>
      <w:r>
        <w:t xml:space="preserve">well. The behavioural gain was carried by the Mini-Norwegian group, and the freed</w:t>
      </w:r>
      <w:r>
        <w:t xml:space="preserve"> </w:t>
      </w:r>
      <w:r>
        <w:t xml:space="preserve">electrophysiological estimate shows the same language-dependent divergence, with no</w:t>
      </w:r>
      <w:r>
        <w:t xml:space="preserve"> </w:t>
      </w:r>
      <w:r>
        <w:t xml:space="preserve">credible average change but a credible difference between the languages in the same</w:t>
      </w:r>
      <w:r>
        <w:t xml:space="preserve"> </w:t>
      </w:r>
      <w:r>
        <w:t xml:space="preserve">direction. It</w:t>
      </w:r>
      <w:r>
        <w:t xml:space="preserve"> </w:t>
      </w:r>
      <w:r>
        <w:t xml:space="preserve">was the linear extrapolation, which reads the retention step off the training trend, that</w:t>
      </w:r>
      <w:r>
        <w:t xml:space="preserve"> </w:t>
      </w:r>
      <w:r>
        <w:t xml:space="preserve">made the electrophysiological pattern look language-general.</w:t>
      </w:r>
    </w:p>
    <w:p>
      <w:pPr>
        <w:pStyle w:val="BodyText"/>
      </w:pPr>
      <w:r>
        <w:t xml:space="preserve">The two measures diverge more sharply for differential object marking. It elicited a</w:t>
      </w:r>
      <w:r>
        <w:t xml:space="preserve"> </w:t>
      </w:r>
      <w:r>
        <w:t xml:space="preserve">large, credible behavioural grammaticality effect (Results) even as its ERP</w:t>
      </w:r>
      <w:r>
        <w:t xml:space="preserve"> </w:t>
      </w:r>
      <w:r>
        <w:t xml:space="preserve">grammaticality effect was credible in a single early cell, and that behavioural</w:t>
      </w:r>
      <w:r>
        <w:t xml:space="preserve"> </w:t>
      </w:r>
      <w:r>
        <w:t xml:space="preserve">effect then eroded at retention, a dissociation suggesting explicit, strategy-based</w:t>
      </w:r>
      <w:r>
        <w:t xml:space="preserve"> </w:t>
      </w:r>
      <w:r>
        <w:t xml:space="preserve">judgement of a structure that never became an automatic processing routine. The two</w:t>
      </w:r>
      <w:r>
        <w:t xml:space="preserve"> </w:t>
      </w:r>
      <w:r>
        <w:t xml:space="preserve">are not redundant, even though they are recorded on the same trials. Where they part</w:t>
      </w:r>
      <w:r>
        <w:t xml:space="preserve"> </w:t>
      </w:r>
      <w:r>
        <w:t xml:space="preserve">company, they separate the automatic neural response to a violation from the explicit accuracy</w:t>
      </w:r>
      <w:r>
        <w:t xml:space="preserve"> </w:t>
      </w:r>
      <w:r>
        <w:t xml:space="preserve">of the judgement made about it.</w:t>
      </w:r>
    </w:p>
    <w:p>
      <w:pPr>
        <w:pStyle w:val="BodyText"/>
      </w:pPr>
      <w:r>
        <w:t xml:space="preserve">For gender agreement, the dissociation runs the other way. The source-language advantage</w:t>
      </w:r>
      <w:r>
        <w:t xml:space="preserve"> </w:t>
      </w:r>
      <w:r>
        <w:t xml:space="preserve">was carried by the judgement and not by the electrophysiological response, which suggests</w:t>
      </w:r>
      <w:r>
        <w:t xml:space="preserve"> </w:t>
      </w:r>
      <w:r>
        <w:t xml:space="preserve">that at this stage first-language congruence shapes the explicit decision more than the</w:t>
      </w:r>
      <w:r>
        <w:t xml:space="preserve"> </w:t>
      </w:r>
      <w:r>
        <w:t xml:space="preserve">automatic violation response. Where in processing transfer takes effect is a question</w:t>
      </w:r>
      <w:r>
        <w:t xml:space="preserve"> </w:t>
      </w:r>
      <w:r>
        <w:t xml:space="preserve">the property-by-property models do not yet specify, and this pattern indicates it is</w:t>
      </w:r>
      <w:r>
        <w:t xml:space="preserve"> </w:t>
      </w:r>
      <w:r>
        <w:t xml:space="preserve">separable from whether transfer occurs. An EEG study of natural-language L3 learners</w:t>
      </w:r>
      <w:r>
        <w:t xml:space="preserve"> </w:t>
      </w:r>
      <w:r>
        <w:t xml:space="preserve">reports a different division, with first-language similarity consolidating implicit</w:t>
      </w:r>
      <w:r>
        <w:t xml:space="preserve"> </w:t>
      </w:r>
      <w:r>
        <w:t xml:space="preserve">knowledge and second-language similarity enhancing metalinguistic judgement</w:t>
      </w:r>
      <w:r>
        <w:t xml:space="preserve"> </w:t>
      </w:r>
      <w:r>
        <w:t xml:space="preserve">(</w:t>
      </w:r>
      <w:hyperlink w:anchor="ref-xu2024">
        <w:r>
          <w:rPr>
            <w:rStyle w:val="Hyperlink"/>
          </w:rPr>
          <w:t xml:space="preserve">Xu et al., 2024</w:t>
        </w:r>
      </w:hyperlink>
      <w:r>
        <w:t xml:space="preserve">)</w:t>
      </w:r>
      <w:r>
        <w:t xml:space="preserve">.</w:t>
      </w:r>
      <w:r>
        <w:t xml:space="preserve"> </w:t>
      </w:r>
      <w:r>
        <w:t xml:space="preserve">Here the first-language-congruent advantage surfaced in the judgement, so the locus may</w:t>
      </w:r>
      <w:r>
        <w:t xml:space="preserve"> </w:t>
      </w:r>
      <w:r>
        <w:t xml:space="preserve">vary with the stage of learning as well as with the source.</w:t>
      </w:r>
    </w:p>
    <w:p>
      <w:pPr>
        <w:pStyle w:val="BodyText"/>
      </w:pPr>
      <w:r>
        <w:t xml:space="preserve">One behavioural result stands apart from the dissociations. Overall accuracy fell across</w:t>
      </w:r>
      <w:r>
        <w:t xml:space="preserve"> </w:t>
      </w:r>
      <w:r>
        <w:t xml:space="preserve">sessions for every property, against the improvement under mere exposure that motivated</w:t>
      </w:r>
      <w:r>
        <w:t xml:space="preserve"> </w:t>
      </w:r>
      <w:r>
        <w:t xml:space="preserve">the prior on the session term</w:t>
      </w:r>
      <w:r>
        <w:t xml:space="preserve"> </w:t>
      </w:r>
      <w:r>
        <w:t xml:space="preserve">(</w:t>
      </w:r>
      <w:hyperlink w:anchor="ref-mueller2009">
        <w:r>
          <w:rPr>
            <w:rStyle w:val="Hyperlink"/>
          </w:rPr>
          <w:t xml:space="preserve">Mueller et al., 2009</w:t>
        </w:r>
      </w:hyperlink>
      <w:r>
        <w:t xml:space="preserve">)</w:t>
      </w:r>
      <w:r>
        <w:t xml:space="preserve">. The design gives two reasons. Each session</w:t>
      </w:r>
      <w:r>
        <w:t xml:space="preserve"> </w:t>
      </w:r>
      <w:r>
        <w:t xml:space="preserve">adds a property, so later judgements are made against a larger grammar, and Session 6</w:t>
      </w:r>
      <w:r>
        <w:t xml:space="preserve"> </w:t>
      </w:r>
      <w:r>
        <w:t xml:space="preserve">follows months without exposure. That the grammaticality effect held or grew while the</w:t>
      </w:r>
      <w:r>
        <w:t xml:space="preserve"> </w:t>
      </w:r>
      <w:r>
        <w:t xml:space="preserve">level fell indicates that the decline reflects task difficulty or a drift in response</w:t>
      </w:r>
      <w:r>
        <w:t xml:space="preserve"> </w:t>
      </w:r>
      <w:r>
        <w:t xml:space="preserve">criterion, with the knowledge the effect indexes intact, although the design cannot</w:t>
      </w:r>
      <w:r>
        <w:t xml:space="preserve"> </w:t>
      </w:r>
      <w:r>
        <w:t xml:space="preserve">separate these.</w:t>
      </w:r>
    </w:p>
    <w:bookmarkEnd w:id="123"/>
    <w:bookmarkStart w:id="124" w:name="what-the-multivariate-analysis-adds"/>
    <w:p>
      <w:pPr>
        <w:pStyle w:val="Heading2"/>
      </w:pPr>
      <w:r>
        <w:t xml:space="preserve">What the multivariate analysis adds</w:t>
      </w:r>
    </w:p>
    <w:p>
      <w:pPr>
        <w:pStyle w:val="FirstParagraph"/>
      </w:pPr>
      <w:r>
        <w:t xml:space="preserve">With the confirmatory decoding settled, the univariate and multivariate analyses order the</w:t>
      </w:r>
      <w:r>
        <w:t xml:space="preserve"> </w:t>
      </w:r>
      <w:r>
        <w:t xml:space="preserve">three properties in broadly the same way. Gender agreement carries an amplitude effect</w:t>
      </w:r>
      <w:r>
        <w:t xml:space="preserve"> </w:t>
      </w:r>
      <w:r>
        <w:t xml:space="preserve">credible in 2 of 6 cells and</w:t>
      </w:r>
      <w:r>
        <w:t xml:space="preserve"> </w:t>
      </w:r>
      <w:r>
        <w:t xml:space="preserve">reliable pattern separability. Verb–object number agreement carries neither, though its</w:t>
      </w:r>
      <w:r>
        <w:t xml:space="preserve"> </w:t>
      </w:r>
      <w:r>
        <w:t xml:space="preserve">grammaticality effect changes across the retention interval. Differential object</w:t>
      </w:r>
      <w:r>
        <w:t xml:space="preserve"> </w:t>
      </w:r>
      <w:r>
        <w:t xml:space="preserve">marking carries separability that its pre-stimulus</w:t>
      </w:r>
      <w:r>
        <w:t xml:space="preserve"> </w:t>
      </w:r>
      <w:r>
        <w:t xml:space="preserve">baseline forbids us to read as a violation response. That agreement was not guaranteed,</w:t>
      </w:r>
      <w:r>
        <w:t xml:space="preserve"> </w:t>
      </w:r>
      <w:r>
        <w:t xml:space="preserve">because the two analyses ask different questions. Window-averaged amplitude asks whether a condition shifts the mean</w:t>
      </w:r>
      <w:r>
        <w:t xml:space="preserve"> </w:t>
      </w:r>
      <w:r>
        <w:t xml:space="preserve">at a set of electrodes, whereas decoding asks whether the joint sensor pattern separates</w:t>
      </w:r>
      <w:r>
        <w:t xml:space="preserve"> </w:t>
      </w:r>
      <w:r>
        <w:t xml:space="preserve">single trials</w:t>
      </w:r>
      <w:r>
        <w:t xml:space="preserve"> </w:t>
      </w:r>
      <w:r>
        <w:t xml:space="preserve">(</w:t>
      </w:r>
      <w:hyperlink w:anchor="ref-hebart2018">
        <w:r>
          <w:rPr>
            <w:rStyle w:val="Hyperlink"/>
          </w:rPr>
          <w:t xml:space="preserve">Hebart &amp; Baker, 2018</w:t>
        </w:r>
      </w:hyperlink>
      <w:r>
        <w:t xml:space="preserve">;</w:t>
      </w:r>
      <w:r>
        <w:t xml:space="preserve"> </w:t>
      </w:r>
      <w:hyperlink w:anchor="ref-wang2024">
        <w:r>
          <w:rPr>
            <w:rStyle w:val="Hyperlink"/>
          </w:rPr>
          <w:t xml:space="preserve">Wang &amp; Kuperberg, 2024</w:t>
        </w:r>
      </w:hyperlink>
      <w:r>
        <w:t xml:space="preserve">)</w:t>
      </w:r>
      <w:r>
        <w:t xml:space="preserve">. A divergence in either direction would not have told</w:t>
      </w:r>
      <w:r>
        <w:t xml:space="preserve"> </w:t>
      </w:r>
      <w:r>
        <w:t xml:space="preserve">us which property is better represented, and classification accuracy is in any case not a</w:t>
      </w:r>
      <w:r>
        <w:t xml:space="preserve"> </w:t>
      </w:r>
      <w:r>
        <w:t xml:space="preserve">standardised effect size and cannot be compared across properties as though it were</w:t>
      </w:r>
      <w:r>
        <w:t xml:space="preserve"> </w:t>
      </w:r>
      <w:r>
        <w:t xml:space="preserve">(</w:t>
      </w:r>
      <w:hyperlink w:anchor="ref-hebart2018">
        <w:r>
          <w:rPr>
            <w:rStyle w:val="Hyperlink"/>
          </w:rPr>
          <w:t xml:space="preserve">Hebart &amp; Baker, 2018</w:t>
        </w:r>
      </w:hyperlink>
      <w:r>
        <w:t xml:space="preserve">)</w:t>
      </w:r>
      <w:r>
        <w:t xml:space="preserve">. One limit is worth setting out before the mechanisms. Rejecting a</w:t>
      </w:r>
      <w:r>
        <w:t xml:space="preserve"> </w:t>
      </w:r>
      <w:r>
        <w:t xml:space="preserve">pooled cluster null licenses only that a grammaticality pattern is decodable in some part</w:t>
      </w:r>
      <w:r>
        <w:t xml:space="preserve"> </w:t>
      </w:r>
      <w:r>
        <w:t xml:space="preserve">of the sample, leaving its prevalence across participants unestimated</w:t>
      </w:r>
      <w:r>
        <w:t xml:space="preserve"> </w:t>
      </w:r>
      <w:r>
        <w:t xml:space="preserve">(</w:t>
      </w:r>
      <w:hyperlink w:anchor="ref-allefeld2016">
        <w:r>
          <w:rPr>
            <w:rStyle w:val="Hyperlink"/>
          </w:rPr>
          <w:t xml:space="preserve">Allefeld et al., 2016</w:t>
        </w:r>
      </w:hyperlink>
      <w:r>
        <w:t xml:space="preserve">)</w:t>
      </w:r>
      <w:r>
        <w:t xml:space="preserve">.</w:t>
      </w:r>
    </w:p>
    <w:p>
      <w:pPr>
        <w:pStyle w:val="BodyText"/>
      </w:pPr>
      <w:r>
        <w:t xml:space="preserve">One profile in these data has a documented mechanism, and the profile that would have</w:t>
      </w:r>
      <w:r>
        <w:t xml:space="preserve"> </w:t>
      </w:r>
      <w:r>
        <w:t xml:space="preserve">raised a puzzle does not arise. A contrast can be decodable with</w:t>
      </w:r>
      <w:r>
        <w:t xml:space="preserve"> </w:t>
      </w:r>
      <w:r>
        <w:t xml:space="preserve">little univariate effect because decoding tolerates non-uniform response signs, so</w:t>
      </w:r>
      <w:r>
        <w:t xml:space="preserve"> </w:t>
      </w:r>
      <w:r>
        <w:t xml:space="preserve">neighbouring sensors of opposite polarity both carry information where averaging cancels</w:t>
      </w:r>
      <w:r>
        <w:t xml:space="preserve"> </w:t>
      </w:r>
      <w:r>
        <w:t xml:space="preserve">them</w:t>
      </w:r>
      <w:r>
        <w:t xml:space="preserve"> </w:t>
      </w:r>
      <w:r>
        <w:t xml:space="preserve">(</w:t>
      </w:r>
      <w:hyperlink w:anchor="ref-hebart2018">
        <w:r>
          <w:rPr>
            <w:rStyle w:val="Hyperlink"/>
          </w:rPr>
          <w:t xml:space="preserve">Hebart &amp; Baker, 2018</w:t>
        </w:r>
      </w:hyperlink>
      <w:r>
        <w:t xml:space="preserve">)</w:t>
      </w:r>
      <w:r>
        <w:t xml:space="preserve">. Forward modelling shows that such cancellation is substantial at the</w:t>
      </w:r>
      <w:r>
        <w:t xml:space="preserve"> </w:t>
      </w:r>
      <w:r>
        <w:t xml:space="preserve">scalp for distributed sources with partly opposing orientations</w:t>
      </w:r>
      <w:r>
        <w:t xml:space="preserve"> </w:t>
      </w:r>
      <w:r>
        <w:t xml:space="preserve">(</w:t>
      </w:r>
      <w:hyperlink w:anchor="ref-ahlfors2010">
        <w:r>
          <w:rPr>
            <w:rStyle w:val="Hyperlink"/>
          </w:rPr>
          <w:t xml:space="preserve">Ahlfors et al., 2010</w:t>
        </w:r>
      </w:hyperlink>
      <w:r>
        <w:t xml:space="preserve">)</w:t>
      </w:r>
      <w:r>
        <w:t xml:space="preserve">. The</w:t>
      </w:r>
      <w:r>
        <w:t xml:space="preserve"> </w:t>
      </w:r>
      <w:r>
        <w:t xml:space="preserve">transient mean amplitude and comparatively high classification of differential object</w:t>
      </w:r>
      <w:r>
        <w:t xml:space="preserve"> </w:t>
      </w:r>
      <w:r>
        <w:t xml:space="preserve">marking are therefore compatible with a single generator whose spatial configuration is</w:t>
      </w:r>
      <w:r>
        <w:t xml:space="preserve"> </w:t>
      </w:r>
      <w:r>
        <w:t xml:space="preserve">stable even where its net amplitude is small, so far as the baseline difference allows</w:t>
      </w:r>
      <w:r>
        <w:t xml:space="preserve"> </w:t>
      </w:r>
      <w:r>
        <w:t xml:space="preserve">that reading. Multivariate analyses of sentence processing have repeatedly</w:t>
      </w:r>
      <w:r>
        <w:t xml:space="preserve"> </w:t>
      </w:r>
      <w:r>
        <w:t xml:space="preserve">recovered effects that the corresponding ERPs did not</w:t>
      </w:r>
      <w:r>
        <w:t xml:space="preserve"> </w:t>
      </w:r>
      <w:r>
        <w:t xml:space="preserve">(</w:t>
      </w:r>
      <w:hyperlink w:anchor="ref-cho2025">
        <w:r>
          <w:rPr>
            <w:rStyle w:val="Hyperlink"/>
          </w:rPr>
          <w:t xml:space="preserve">Cho &amp; Brennan, 2025</w:t>
        </w:r>
      </w:hyperlink>
      <w:r>
        <w:t xml:space="preserve">;</w:t>
      </w:r>
      <w:r>
        <w:t xml:space="preserve"> </w:t>
      </w:r>
      <w:hyperlink w:anchor="ref-he2024">
        <w:r>
          <w:rPr>
            <w:rStyle w:val="Hyperlink"/>
          </w:rPr>
          <w:t xml:space="preserve">He et al., 2024</w:t>
        </w:r>
      </w:hyperlink>
      <w:r>
        <w:t xml:space="preserve">)</w:t>
      </w:r>
      <w:r>
        <w:t xml:space="preserve">. The converse</w:t>
      </w:r>
      <w:r>
        <w:t xml:space="preserve"> </w:t>
      </w:r>
      <w:r>
        <w:t xml:space="preserve">profile is equally well characterised. Multivariate tests draw their sensitivity from</w:t>
      </w:r>
      <w:r>
        <w:t xml:space="preserve"> </w:t>
      </w:r>
      <w:r>
        <w:t xml:space="preserve">electrode-level variability in the effect within participants and are insensitive</w:t>
      </w:r>
      <w:r>
        <w:t xml:space="preserve"> </w:t>
      </w:r>
      <w:r>
        <w:t xml:space="preserve">to the between-participant variance in mean amplitude that governs univariate group</w:t>
      </w:r>
      <w:r>
        <w:t xml:space="preserve"> </w:t>
      </w:r>
      <w:r>
        <w:t xml:space="preserve">tests</w:t>
      </w:r>
      <w:r>
        <w:t xml:space="preserve"> </w:t>
      </w:r>
      <w:r>
        <w:t xml:space="preserve">(</w:t>
      </w:r>
      <w:hyperlink w:anchor="ref-davis2014">
        <w:r>
          <w:rPr>
            <w:rStyle w:val="Hyperlink"/>
          </w:rPr>
          <w:t xml:space="preserve">T. Davis et al., 2014</w:t>
        </w:r>
      </w:hyperlink>
      <w:r>
        <w:t xml:space="preserve">, on fMRI voxels)</w:t>
      </w:r>
      <w:r>
        <w:t xml:space="preserve">, and increased</w:t>
      </w:r>
      <w:r>
        <w:t xml:space="preserve"> </w:t>
      </w:r>
      <w:r>
        <w:t xml:space="preserve">trial-to-trial variability leaves expected mean amplitude unchanged while progressively</w:t>
      </w:r>
      <w:r>
        <w:t xml:space="preserve"> </w:t>
      </w:r>
      <w:r>
        <w:t xml:space="preserve">shrinking expected decoding accuracy</w:t>
      </w:r>
      <w:r>
        <w:t xml:space="preserve"> </w:t>
      </w:r>
      <w:r>
        <w:t xml:space="preserve">(</w:t>
      </w:r>
      <w:hyperlink w:anchor="ref-carrasco2024">
        <w:r>
          <w:rPr>
            <w:rStyle w:val="Hyperlink"/>
          </w:rPr>
          <w:t xml:space="preserve">Carrasco et al., 2024</w:t>
        </w:r>
      </w:hyperlink>
      <w:r>
        <w:t xml:space="preserve">)</w:t>
      </w:r>
      <w:r>
        <w:t xml:space="preserve">. An effect that is consistent in</w:t>
      </w:r>
      <w:r>
        <w:t xml:space="preserve"> </w:t>
      </w:r>
      <w:r>
        <w:t xml:space="preserve">sign but spatially homogeneous would therefore yield a credible amplitude effect</w:t>
      </w:r>
      <w:r>
        <w:t xml:space="preserve"> </w:t>
      </w:r>
      <w:r>
        <w:t xml:space="preserve">with comparatively little for a classifier to exploit. That profile does not describe</w:t>
      </w:r>
      <w:r>
        <w:t xml:space="preserve"> </w:t>
      </w:r>
      <w:r>
        <w:t xml:space="preserve">gender agreement here, which separates reliably as well as shifting the mean. Decoding is usually the more sensitive test of</w:t>
      </w:r>
      <w:r>
        <w:t xml:space="preserve"> </w:t>
      </w:r>
      <w:r>
        <w:t xml:space="preserve">the two, but it is not uniformly so, and comparable orderings are documented for the</w:t>
      </w:r>
      <w:r>
        <w:t xml:space="preserve"> </w:t>
      </w:r>
      <w:r>
        <w:t xml:space="preserve">mismatch negativity and the N2pc</w:t>
      </w:r>
      <w:r>
        <w:t xml:space="preserve"> </w:t>
      </w:r>
      <w:r>
        <w:t xml:space="preserve">(</w:t>
      </w:r>
      <w:hyperlink w:anchor="ref-carrasco2024">
        <w:r>
          <w:rPr>
            <w:rStyle w:val="Hyperlink"/>
          </w:rPr>
          <w:t xml:space="preserve">Carrasco et al., 2024</w:t>
        </w:r>
      </w:hyperlink>
      <w:r>
        <w:t xml:space="preserve">)</w:t>
      </w:r>
      <w:r>
        <w:t xml:space="preserve">.</w:t>
      </w:r>
    </w:p>
    <w:p>
      <w:pPr>
        <w:pStyle w:val="BodyText"/>
      </w:pPr>
      <w:r>
        <w:t xml:space="preserve">These considerations constrain the claims available to us. A failure to decode is a failure</w:t>
      </w:r>
      <w:r>
        <w:t xml:space="preserve"> </w:t>
      </w:r>
      <w:r>
        <w:t xml:space="preserve">to find linearly separable information under one analysis, and it leaves open whether the</w:t>
      </w:r>
      <w:r>
        <w:t xml:space="preserve"> </w:t>
      </w:r>
      <w:r>
        <w:t xml:space="preserve">brain distinguishes the conditions</w:t>
      </w:r>
      <w:r>
        <w:t xml:space="preserve"> </w:t>
      </w:r>
      <w:r>
        <w:t xml:space="preserve">(</w:t>
      </w:r>
      <w:hyperlink w:anchor="ref-peelen2023">
        <w:r>
          <w:rPr>
            <w:rStyle w:val="Hyperlink"/>
          </w:rPr>
          <w:t xml:space="preserve">Peelen &amp; Downing, 2023</w:t>
        </w:r>
      </w:hyperlink>
      <w:r>
        <w:t xml:space="preserve">)</w:t>
      </w:r>
      <w:r>
        <w:t xml:space="preserve">. Classification performance, high or low, is</w:t>
      </w:r>
      <w:r>
        <w:t xml:space="preserve"> </w:t>
      </w:r>
      <w:r>
        <w:t xml:space="preserve">a poor guide to representational content</w:t>
      </w:r>
      <w:r>
        <w:t xml:space="preserve"> </w:t>
      </w:r>
      <w:r>
        <w:t xml:space="preserve">(</w:t>
      </w:r>
      <w:hyperlink w:anchor="ref-ritchie2019">
        <w:r>
          <w:rPr>
            <w:rStyle w:val="Hyperlink"/>
          </w:rPr>
          <w:t xml:space="preserve">Ritchie et al., 2019</w:t>
        </w:r>
      </w:hyperlink>
      <w:r>
        <w:t xml:space="preserve">)</w:t>
      </w:r>
      <w:r>
        <w:t xml:space="preserve">. Nor would a divergence between the</w:t>
      </w:r>
      <w:r>
        <w:t xml:space="preserve"> </w:t>
      </w:r>
      <w:r>
        <w:t xml:space="preserve">two analyses, had one arisen, support a conclusion about the dimensionality of the</w:t>
      </w:r>
      <w:r>
        <w:t xml:space="preserve"> </w:t>
      </w:r>
      <w:r>
        <w:t xml:space="preserve">underlying code</w:t>
      </w:r>
      <w:r>
        <w:t xml:space="preserve"> </w:t>
      </w:r>
      <w:r>
        <w:t xml:space="preserve">(</w:t>
      </w:r>
      <w:hyperlink w:anchor="ref-davis2014">
        <w:r>
          <w:rPr>
            <w:rStyle w:val="Hyperlink"/>
          </w:rPr>
          <w:t xml:space="preserve">T. Davis et al., 2014</w:t>
        </w:r>
      </w:hyperlink>
      <w:r>
        <w:t xml:space="preserve">)</w:t>
      </w:r>
      <w:r>
        <w:t xml:space="preserve">.</w:t>
      </w:r>
    </w:p>
    <w:p>
      <w:pPr>
        <w:pStyle w:val="BodyText"/>
      </w:pPr>
      <w:r>
        <w:t xml:space="preserve">The null cross-property generalisation bears on a live theoretical question. If the</w:t>
      </w:r>
      <w:r>
        <w:t xml:space="preserve"> </w:t>
      </w:r>
      <w:r>
        <w:t xml:space="preserve">grammaticality response were largely a domain-general salience or integration signal</w:t>
      </w:r>
      <w:r>
        <w:t xml:space="preserve"> </w:t>
      </w:r>
      <w:r>
        <w:t xml:space="preserve">(</w:t>
      </w:r>
      <w:hyperlink w:anchor="ref-aurnhammer2023">
        <w:r>
          <w:rPr>
            <w:rStyle w:val="Hyperlink"/>
          </w:rPr>
          <w:t xml:space="preserve">Aurnhammer et al., 2023</w:t>
        </w:r>
      </w:hyperlink>
      <w:r>
        <w:t xml:space="preserve">;</w:t>
      </w:r>
      <w:r>
        <w:t xml:space="preserve"> </w:t>
      </w:r>
      <w:hyperlink w:anchor="ref-sassenhagen2019">
        <w:r>
          <w:rPr>
            <w:rStyle w:val="Hyperlink"/>
          </w:rPr>
          <w:t xml:space="preserve">Sassenhagen &amp; Fiebach, 2019</w:t>
        </w:r>
      </w:hyperlink>
      <w:r>
        <w:t xml:space="preserve">)</w:t>
      </w:r>
      <w:r>
        <w:t xml:space="preserve">, a decoder trained on one property should transfer to</w:t>
      </w:r>
      <w:r>
        <w:t xml:space="preserve"> </w:t>
      </w:r>
      <w:r>
        <w:t xml:space="preserve">the others, but it transferred in no direction. That pattern is consistent with evidence</w:t>
      </w:r>
      <w:r>
        <w:t xml:space="preserve"> </w:t>
      </w:r>
      <w:r>
        <w:t xml:space="preserve">that the late positivity fractionates topographically and functionally</w:t>
      </w:r>
      <w:r>
        <w:t xml:space="preserve"> </w:t>
      </w:r>
      <w:r>
        <w:t xml:space="preserve">(</w:t>
      </w:r>
      <w:hyperlink w:anchor="ref-kaan2003">
        <w:r>
          <w:rPr>
            <w:rStyle w:val="Hyperlink"/>
          </w:rPr>
          <w:t xml:space="preserve">Kaan &amp; Swaab, 2003</w:t>
        </w:r>
      </w:hyperlink>
      <w:r>
        <w:t xml:space="preserve">)</w:t>
      </w:r>
      <w:r>
        <w:t xml:space="preserve">, that</w:t>
      </w:r>
      <w:r>
        <w:t xml:space="preserve"> </w:t>
      </w:r>
      <w:r>
        <w:t xml:space="preserve">agreement features follow separable developmental courses</w:t>
      </w:r>
      <w:r>
        <w:t xml:space="preserve"> </w:t>
      </w:r>
      <w:r>
        <w:t xml:space="preserve">(</w:t>
      </w:r>
      <w:hyperlink w:anchor="ref-alemanbanon2018">
        <w:r>
          <w:rPr>
            <w:rStyle w:val="Hyperlink"/>
          </w:rPr>
          <w:t xml:space="preserve">Alemán Bañón et al., 2018</w:t>
        </w:r>
      </w:hyperlink>
      <w:r>
        <w:t xml:space="preserve">)</w:t>
      </w:r>
      <w:r>
        <w:t xml:space="preserve">, that</w:t>
      </w:r>
      <w:r>
        <w:t xml:space="preserve"> </w:t>
      </w:r>
      <w:r>
        <w:t xml:space="preserve">different violation types within the same learners are predicted by different</w:t>
      </w:r>
      <w:r>
        <w:t xml:space="preserve"> </w:t>
      </w:r>
      <w:r>
        <w:t xml:space="preserve">individual-difference variables</w:t>
      </w:r>
      <w:r>
        <w:t xml:space="preserve"> </w:t>
      </w:r>
      <w:r>
        <w:t xml:space="preserve">(</w:t>
      </w:r>
      <w:hyperlink w:anchor="ref-nichols2019">
        <w:r>
          <w:rPr>
            <w:rStyle w:val="Hyperlink"/>
          </w:rPr>
          <w:t xml:space="preserve">E. S. Nichols &amp; Joanisse, 2019</w:t>
        </w:r>
      </w:hyperlink>
      <w:r>
        <w:t xml:space="preserve">)</w:t>
      </w:r>
      <w:r>
        <w:t xml:space="preserve">, and that decoders of</w:t>
      </w:r>
      <w:r>
        <w:t xml:space="preserve"> </w:t>
      </w:r>
      <w:r>
        <w:t xml:space="preserve">grammatical features generalise selectively</w:t>
      </w:r>
      <w:r>
        <w:t xml:space="preserve"> </w:t>
      </w:r>
      <w:r>
        <w:t xml:space="preserve">(</w:t>
      </w:r>
      <w:hyperlink w:anchor="ref-cho2025">
        <w:r>
          <w:rPr>
            <w:rStyle w:val="Hyperlink"/>
          </w:rPr>
          <w:t xml:space="preserve">Cho &amp; Brennan, 2025</w:t>
        </w:r>
      </w:hyperlink>
      <w:r>
        <w:t xml:space="preserve">)</w:t>
      </w:r>
      <w:r>
        <w:t xml:space="preserve">. Reliable</w:t>
      </w:r>
      <w:r>
        <w:t xml:space="preserve"> </w:t>
      </w:r>
      <w:r>
        <w:t xml:space="preserve">cross-context transfer of linear EEG decoders is achievable</w:t>
      </w:r>
      <w:r>
        <w:t xml:space="preserve"> </w:t>
      </w:r>
      <w:r>
        <w:t xml:space="preserve">(</w:t>
      </w:r>
      <w:hyperlink w:anchor="ref-zhao2025">
        <w:r>
          <w:rPr>
            <w:rStyle w:val="Hyperlink"/>
          </w:rPr>
          <w:t xml:space="preserve">Zhao et al., 2025</w:t>
        </w:r>
      </w:hyperlink>
      <w:r>
        <w:t xml:space="preserve">)</w:t>
      </w:r>
      <w:r>
        <w:t xml:space="preserve">, which weighs</w:t>
      </w:r>
      <w:r>
        <w:t xml:space="preserve"> </w:t>
      </w:r>
      <w:r>
        <w:t xml:space="preserve">against reading the present null as simple insensitivity. Even so, failed</w:t>
      </w:r>
      <w:r>
        <w:t xml:space="preserve"> </w:t>
      </w:r>
      <w:r>
        <w:t xml:space="preserve">cross-classification is confounded with feature selection, since the sensors and</w:t>
      </w:r>
      <w:r>
        <w:t xml:space="preserve"> </w:t>
      </w:r>
      <w:r>
        <w:t xml:space="preserve">latencies that best separate grammatical from ungrammatical trials within a property need</w:t>
      </w:r>
      <w:r>
        <w:t xml:space="preserve"> </w:t>
      </w:r>
      <w:r>
        <w:t xml:space="preserve">not be those carrying a property-general signal</w:t>
      </w:r>
      <w:r>
        <w:t xml:space="preserve"> </w:t>
      </w:r>
      <w:r>
        <w:t xml:space="preserve">(</w:t>
      </w:r>
      <w:hyperlink w:anchor="ref-kaplan2015">
        <w:r>
          <w:rPr>
            <w:rStyle w:val="Hyperlink"/>
          </w:rPr>
          <w:t xml:space="preserve">Kaplan et al., 2015</w:t>
        </w:r>
      </w:hyperlink>
      <w:r>
        <w:t xml:space="preserve">)</w:t>
      </w:r>
      <w:r>
        <w:t xml:space="preserve">. We therefore read the</w:t>
      </w:r>
      <w:r>
        <w:t xml:space="preserve"> </w:t>
      </w:r>
      <w:r>
        <w:t xml:space="preserve">result as consistent with construction-specific coding, without taking it to refute any</w:t>
      </w:r>
      <w:r>
        <w:t xml:space="preserve"> </w:t>
      </w:r>
      <w:r>
        <w:t xml:space="preserve">shared component. A Bayes-factor treatment of the decoding time-course would</w:t>
      </w:r>
      <w:r>
        <w:t xml:space="preserve"> </w:t>
      </w:r>
      <w:r>
        <w:t xml:space="preserve">allow such nulls to be quantified as well as reported</w:t>
      </w:r>
      <w:r>
        <w:t xml:space="preserve"> </w:t>
      </w:r>
      <w:r>
        <w:t xml:space="preserve">(</w:t>
      </w:r>
      <w:hyperlink w:anchor="ref-keysers2020">
        <w:r>
          <w:rPr>
            <w:rStyle w:val="Hyperlink"/>
          </w:rPr>
          <w:t xml:space="preserve">Keysers et al., 2020</w:t>
        </w:r>
      </w:hyperlink>
      <w:r>
        <w:t xml:space="preserve">;</w:t>
      </w:r>
      <w:r>
        <w:t xml:space="preserve"> </w:t>
      </w:r>
      <w:hyperlink w:anchor="ref-teichmann2022">
        <w:r>
          <w:rPr>
            <w:rStyle w:val="Hyperlink"/>
          </w:rPr>
          <w:t xml:space="preserve">Teichmann, 2022</w:t>
        </w:r>
      </w:hyperlink>
      <w:r>
        <w:t xml:space="preserve">)</w:t>
      </w:r>
      <w:r>
        <w:t xml:space="preserve">.</w:t>
      </w:r>
    </w:p>
    <w:bookmarkEnd w:id="124"/>
    <w:bookmarkStart w:id="125" w:name="strength-of-evidence"/>
    <w:p>
      <w:pPr>
        <w:pStyle w:val="Heading2"/>
      </w:pPr>
      <w:r>
        <w:t xml:space="preserve">Strength of evidence</w:t>
      </w:r>
    </w:p>
    <w:p>
      <w:pPr>
        <w:pStyle w:val="FirstParagraph"/>
      </w:pPr>
      <w:r>
        <w:t xml:space="preserve">The conclusions below should be read on the graded scale set out under</w:t>
      </w:r>
      <w:r>
        <w:t xml:space="preserve"> </w:t>
      </w:r>
      <w:r>
        <w:rPr>
          <w:i/>
          <w:iCs/>
        </w:rPr>
        <w:t xml:space="preserve">Inference</w:t>
      </w:r>
      <w:r>
        <w:t xml:space="preserve"> </w:t>
      </w:r>
      <w:r>
        <w:t xml:space="preserve">(</w:t>
      </w:r>
      <w:hyperlink w:anchor="ref-kruschke2018">
        <w:r>
          <w:rPr>
            <w:rStyle w:val="Hyperlink"/>
          </w:rPr>
          <w:t xml:space="preserve">Kruschke &amp; Liddell, 2018</w:t>
        </w:r>
      </w:hyperlink>
      <w:r>
        <w:t xml:space="preserve">;</w:t>
      </w:r>
      <w:r>
        <w:t xml:space="preserve"> </w:t>
      </w:r>
      <w:hyperlink w:anchor="ref-makowski2019">
        <w:r>
          <w:rPr>
            <w:rStyle w:val="Hyperlink"/>
          </w:rPr>
          <w:t xml:space="preserve">Makowski et al., 2019</w:t>
        </w:r>
      </w:hyperlink>
      <w:r>
        <w:t xml:space="preserve">)</w:t>
      </w:r>
      <w:r>
        <w:t xml:space="preserve">. The gender-agreement learning effect is credible in every</w:t>
      </w:r>
      <w:r>
        <w:t xml:space="preserve"> </w:t>
      </w:r>
      <w:r>
        <w:t xml:space="preserve">cell but one under both random-effect structures. The between-language difference in how</w:t>
      </w:r>
      <w:r>
        <w:t xml:space="preserve"> </w:t>
      </w:r>
      <w:r>
        <w:t xml:space="preserve">that effect changed across the retention interval is credible in</w:t>
      </w:r>
      <w:r>
        <w:t xml:space="preserve"> </w:t>
      </w:r>
      <w:r>
        <w:t xml:space="preserve">five of the six cells, with</w:t>
      </w:r>
      <w:r>
        <w:t xml:space="preserve"> </w:t>
      </w:r>
      <w:r>
        <w:t xml:space="preserve">lower interval bounds close to zero in some of them (</w:t>
      </w:r>
      <w:hyperlink w:anchor="tbl-retention-free">
        <w:r>
          <w:rPr>
            <w:rStyle w:val="Hyperlink"/>
          </w:rPr>
          <w:t xml:space="preserve">Table B2</w:t>
        </w:r>
      </w:hyperlink>
      <w:r>
        <w:t xml:space="preserve">), so it is</w:t>
      </w:r>
      <w:r>
        <w:t xml:space="preserve"> </w:t>
      </w:r>
      <w:r>
        <w:t xml:space="preserve">credible on the stated criterion without being a large effect. The average departure</w:t>
      </w:r>
      <w:r>
        <w:t xml:space="preserve"> </w:t>
      </w:r>
      <w:r>
        <w:t xml:space="preserve">from the training trend at Session 6 is not. The learning effect in particular is</w:t>
      </w:r>
      <w:r>
        <w:t xml:space="preserve"> </w:t>
      </w:r>
      <w:r>
        <w:t xml:space="preserve">the most structure-independent result in the paper. The grammaticality</w:t>
      </w:r>
      <w:r>
        <w:t xml:space="preserve"> </w:t>
      </w:r>
      <m:oMath>
        <m:r>
          <m:rPr>
            <m:sty m:val="p"/>
          </m:rPr>
          <m:t>×</m:t>
        </m:r>
      </m:oMath>
      <w:r>
        <w:t xml:space="preserve"> </w:t>
      </w:r>
      <w:r>
        <w:t xml:space="preserve">session</w:t>
      </w:r>
      <w:r>
        <w:t xml:space="preserve"> </w:t>
      </w:r>
      <w:r>
        <w:t xml:space="preserve">interaction is credible in</w:t>
      </w:r>
      <w:r>
        <w:t xml:space="preserve"> </w:t>
      </w:r>
      <w:r>
        <w:t xml:space="preserve">5 of 6 cells under</w:t>
      </w:r>
      <w:r>
        <w:t xml:space="preserve"> </w:t>
      </w:r>
      <w:r>
        <w:t xml:space="preserve">the maximal random-effect structure and in the same</w:t>
      </w:r>
      <w:r>
        <w:t xml:space="preserve"> </w:t>
      </w:r>
      <w:r>
        <w:t xml:space="preserve">5 of 6</w:t>
      </w:r>
      <w:r>
        <w:t xml:space="preserve"> </w:t>
      </w:r>
      <w:r>
        <w:t xml:space="preserve">without the by-item slope. The verb–object number development and its</w:t>
      </w:r>
      <w:r>
        <w:t xml:space="preserve"> </w:t>
      </w:r>
      <w:r>
        <w:t xml:space="preserve">Norwegian-specific retention are better described as suggestive and warrant confirmation,</w:t>
      </w:r>
      <w:r>
        <w:t xml:space="preserve"> </w:t>
      </w:r>
      <w:r>
        <w:t xml:space="preserve">and the same holds for the differential-object-marking transfer interaction. It is credible in</w:t>
      </w:r>
      <w:r>
        <w:t xml:space="preserve"> </w:t>
      </w:r>
      <w:r>
        <w:t xml:space="preserve">2 of 6</w:t>
      </w:r>
      <w:r>
        <w:t xml:space="preserve"> </w:t>
      </w:r>
      <w:r>
        <w:t xml:space="preserve">cells, unchanged when the model is refitted under weakly informative priors, and it survived</w:t>
      </w:r>
      <w:r>
        <w:t xml:space="preserve"> </w:t>
      </w:r>
      <w:r>
        <w:t xml:space="preserve">the move to the maximal structure. It is nonetheless small, and it sits close enough to the</w:t>
      </w:r>
      <w:r>
        <w:t xml:space="preserve"> </w:t>
      </w:r>
      <w:r>
        <w:t xml:space="preserve">threshold that data-handling decisions taken before any model was fitted could bear on it.</w:t>
      </w:r>
      <w:r>
        <w:t xml:space="preserve"> </w:t>
      </w:r>
      <w:r>
        <w:t xml:space="preserve">One such decision applies here: four Session-3 datasets were mis-filtered at acquisition</w:t>
      </w:r>
      <w:r>
        <w:t xml:space="preserve"> </w:t>
      </w:r>
      <w:r>
        <w:t xml:space="preserve">and are excluded from every fit reported, an exclusion justified a priori and applied to</w:t>
      </w:r>
      <w:r>
        <w:t xml:space="preserve"> </w:t>
      </w:r>
      <w:r>
        <w:t xml:space="preserve">the whole grid. Because no full-sample refit was run, the effect of retaining those datasets</w:t>
      </w:r>
      <w:r>
        <w:t xml:space="preserve"> </w:t>
      </w:r>
      <w:r>
        <w:t xml:space="preserve">is not estimated.</w:t>
      </w:r>
    </w:p>
    <w:p>
      <w:pPr>
        <w:pStyle w:val="BodyText"/>
      </w:pPr>
      <w:r>
        <w:t xml:space="preserve">The decoding evidence grades separately, and unevenly across the three properties. Gender</w:t>
      </w:r>
      <w:r>
        <w:t xml:space="preserve"> </w:t>
      </w:r>
      <w:r>
        <w:t xml:space="preserve">agreement’s six clusters surviving the</w:t>
      </w:r>
      <w:r>
        <w:t xml:space="preserve"> </w:t>
      </w:r>
      <w:r>
        <w:t xml:space="preserve">confirmatory correction rest on the full permutation null, on a pre-stimulus baseline at</w:t>
      </w:r>
      <w:r>
        <w:t xml:space="preserve"> </w:t>
      </w:r>
      <w:r>
        <w:t xml:space="preserve">chance, and are secure on that basis. Differential object marking’s</w:t>
      </w:r>
      <w:r>
        <w:t xml:space="preserve"> </w:t>
      </w:r>
      <w:r>
        <w:t xml:space="preserve">two clusters are not comparable evidence: both begin</w:t>
      </w:r>
      <w:r>
        <w:t xml:space="preserve"> </w:t>
      </w:r>
      <w:r>
        <w:t xml:space="preserve">before the critical word and its highest AUC falls in the baseline, so they bound the</w:t>
      </w:r>
      <w:r>
        <w:t xml:space="preserve"> </w:t>
      </w:r>
      <w:r>
        <w:t xml:space="preserve">separability a violation response could contribute without establishing that it</w:t>
      </w:r>
      <w:r>
        <w:t xml:space="preserve"> </w:t>
      </w:r>
      <w:r>
        <w:t xml:space="preserve">contributes any. The session-resolved breakdowns enter no correction family and are graded</w:t>
      </w:r>
      <w:r>
        <w:t xml:space="preserve"> </w:t>
      </w:r>
      <w:r>
        <w:t xml:space="preserve">no higher than descriptive. The</w:t>
      </w:r>
      <w:r>
        <w:t xml:space="preserve"> </w:t>
      </w:r>
      <w:r>
        <w:t xml:space="preserve">near-absence of a gender-agreement transfer interaction in the ERP signal is a well-estimated</w:t>
      </w:r>
      <w:r>
        <w:t xml:space="preserve"> </w:t>
      </w:r>
      <w:r>
        <w:t xml:space="preserve">value near zero, though it remains conditional on the prior and the</w:t>
      </w:r>
      <w:r>
        <w:t xml:space="preserve"> </w:t>
      </w:r>
      <w:r>
        <w:t xml:space="preserve">interval width. The verb–object number and differential-object-marking</w:t>
      </w:r>
      <w:r>
        <w:t xml:space="preserve"> </w:t>
      </w:r>
      <w:r>
        <w:t xml:space="preserve">signals therefore remain provisional, and the gender-agreement pattern is the secure</w:t>
      </w:r>
      <w:r>
        <w:t xml:space="preserve"> </w:t>
      </w:r>
      <w:r>
        <w:t xml:space="preserve">result. The property-by-property reading is the account the heterogeneity supports, short</w:t>
      </w:r>
      <w:r>
        <w:t xml:space="preserve"> </w:t>
      </w:r>
      <w:r>
        <w:t xml:space="preserve">of a decisive refutation of wholesale transfer, which a single study cannot deliver. The transfer</w:t>
      </w:r>
      <w:r>
        <w:t xml:space="preserve"> </w:t>
      </w:r>
      <w:r>
        <w:t xml:space="preserve">interactions that remain near zero are best understood as</w:t>
      </w:r>
      <w:r>
        <w:t xml:space="preserve"> </w:t>
      </w:r>
      <w:r>
        <w:t xml:space="preserve">absence of evidence. They do not demonstrate absence. We did not adopt an</w:t>
      </w:r>
      <w:r>
        <w:t xml:space="preserve"> </w:t>
      </w:r>
      <w:r>
        <w:t xml:space="preserve">equivalence (region-of-practical-equivalence) criterion, so a precisely estimated</w:t>
      </w:r>
      <w:r>
        <w:t xml:space="preserve"> </w:t>
      </w:r>
      <w:r>
        <w:t xml:space="preserve">coefficient whose direction is undetermined (</w:t>
      </w:r>
      <m:oMath>
        <m:sSub>
          <m:e>
            <m:r>
              <m:t>p</m:t>
            </m:r>
          </m:e>
          <m:sub>
            <m:r>
              <m:t>d</m:t>
            </m:r>
          </m:sub>
        </m:sSub>
        <m:r>
          <m:rPr>
            <m:sty m:val="p"/>
          </m:rPr>
          <m:t>≈</m:t>
        </m:r>
        <m:r>
          <m:t>.50</m:t>
        </m:r>
      </m:oMath>
      <w:r>
        <w:t xml:space="preserve">) marks a well-localised null</w:t>
      </w:r>
      <w:r>
        <w:t xml:space="preserve"> </w:t>
      </w:r>
      <w:r>
        <w:t xml:space="preserve">estimate</w:t>
      </w:r>
      <w:r>
        <w:t xml:space="preserve"> </w:t>
      </w:r>
      <w:r>
        <w:t xml:space="preserve">(</w:t>
      </w:r>
      <w:hyperlink w:anchor="ref-amrhein2019">
        <w:r>
          <w:rPr>
            <w:rStyle w:val="Hyperlink"/>
          </w:rPr>
          <w:t xml:space="preserve">Amrhein et al., 2019</w:t>
        </w:r>
      </w:hyperlink>
      <w:r>
        <w:t xml:space="preserve">;</w:t>
      </w:r>
      <w:r>
        <w:t xml:space="preserve"> </w:t>
      </w:r>
      <w:hyperlink w:anchor="ref-kruschke2018">
        <w:r>
          <w:rPr>
            <w:rStyle w:val="Hyperlink"/>
          </w:rPr>
          <w:t xml:space="preserve">Kruschke &amp; Liddell, 2018</w:t>
        </w:r>
      </w:hyperlink>
      <w:r>
        <w:t xml:space="preserve">)</w:t>
      </w:r>
      <w:r>
        <w:t xml:space="preserve">.</w:t>
      </w:r>
    </w:p>
    <w:bookmarkEnd w:id="125"/>
    <w:bookmarkStart w:id="126" w:name="limitations-and-future-directions"/>
    <w:p>
      <w:pPr>
        <w:pStyle w:val="Heading2"/>
      </w:pPr>
      <w:r>
        <w:t xml:space="preserve">Limitations and future directions</w:t>
      </w:r>
    </w:p>
    <w:p>
      <w:pPr>
        <w:pStyle w:val="FirstParagraph"/>
      </w:pPr>
      <w:r>
        <w:t xml:space="preserve">The strongest constraint on what this design can conclude is how narrowly the two families</w:t>
      </w:r>
      <w:r>
        <w:t xml:space="preserve"> </w:t>
      </w:r>
      <w:r>
        <w:t xml:space="preserve">of account are separated by it. Only gender agreement has a first-language analogue, so</w:t>
      </w:r>
      <w:r>
        <w:t xml:space="preserve"> </w:t>
      </w:r>
      <w:r>
        <w:t xml:space="preserve">only gender agreement places the two miniature languages in different relations to a prior</w:t>
      </w:r>
      <w:r>
        <w:t xml:space="preserve"> </w:t>
      </w:r>
      <w:r>
        <w:t xml:space="preserve">grammar. The other two properties are novel to Norwegian and English alike and serve as</w:t>
      </w:r>
      <w:r>
        <w:t xml:space="preserve"> </w:t>
      </w:r>
      <w:r>
        <w:t xml:space="preserve">controls. The wholesale-versus-property-by-property</w:t>
      </w:r>
      <w:r>
        <w:t xml:space="preserve"> </w:t>
      </w:r>
      <w:r>
        <w:t xml:space="preserve">contrast therefore rests on a single dissociating property, which is thin ground for a</w:t>
      </w:r>
      <w:r>
        <w:t xml:space="preserve"> </w:t>
      </w:r>
      <w:r>
        <w:t xml:space="preserve">claim about the unit of transfer, however the other evidence falls. A design contrasting</w:t>
      </w:r>
      <w:r>
        <w:t xml:space="preserve"> </w:t>
      </w:r>
      <w:r>
        <w:t xml:space="preserve">two candidate source grammars, or several properties each aligned with a different prior</w:t>
      </w:r>
      <w:r>
        <w:t xml:space="preserve"> </w:t>
      </w:r>
      <w:r>
        <w:t xml:space="preserve">language, would bear the weight this one is asked to. The heterogeneity we do observe, which runs across properties and measures and includes a</w:t>
      </w:r>
      <w:r>
        <w:t xml:space="preserve"> </w:t>
      </w:r>
      <w:r>
        <w:t xml:space="preserve">reversal of sign, is more readily</w:t>
      </w:r>
      <w:r>
        <w:t xml:space="preserve"> </w:t>
      </w:r>
      <w:r>
        <w:t xml:space="preserve">accommodated by a property-by-property account than by a wholesale one, but consistency</w:t>
      </w:r>
      <w:r>
        <w:t xml:space="preserve"> </w:t>
      </w:r>
      <w:r>
        <w:t xml:space="preserve">with that family is not a decisive test between them. The two</w:t>
      </w:r>
      <w:r>
        <w:t xml:space="preserve"> </w:t>
      </w:r>
      <w:r>
        <w:t xml:space="preserve">electrophysiological modulations on properties with no first-language analogue are</w:t>
      </w:r>
      <w:r>
        <w:t xml:space="preserve"> </w:t>
      </w:r>
      <w:r>
        <w:t xml:space="preserve">predicted by neither.</w:t>
      </w:r>
    </w:p>
    <w:p>
      <w:pPr>
        <w:pStyle w:val="BodyText"/>
      </w:pPr>
      <w:r>
        <w:t xml:space="preserve">The artificial-language design also buys experimental control at some cost to ecological</w:t>
      </w:r>
      <w:r>
        <w:t xml:space="preserve"> </w:t>
      </w:r>
      <w:r>
        <w:t xml:space="preserve">validity, and three further features of it constrain the present conclusions. First, the properties</w:t>
      </w:r>
      <w:r>
        <w:t xml:space="preserve"> </w:t>
      </w:r>
      <w:r>
        <w:t xml:space="preserve">enter at different sessions (gender agreement from Session 2, differential object marking</w:t>
      </w:r>
      <w:r>
        <w:t xml:space="preserve"> </w:t>
      </w:r>
      <w:r>
        <w:t xml:space="preserve">from Session 3, verb–object number agreement from Session 4), so a property’s identity is</w:t>
      </w:r>
      <w:r>
        <w:t xml:space="preserve"> </w:t>
      </w:r>
      <w:r>
        <w:t xml:space="preserve">confounded with its amount of exposure. Cross-property comparisons of learning and transfer</w:t>
      </w:r>
      <w:r>
        <w:t xml:space="preserve"> </w:t>
      </w:r>
      <w:r>
        <w:t xml:space="preserve">are therefore not exposure-matched, and the weaker signatures of the later-introduced</w:t>
      </w:r>
      <w:r>
        <w:t xml:space="preserve"> </w:t>
      </w:r>
      <w:r>
        <w:t xml:space="preserve">properties are in part a difference in training time. An exposure-matched design that introduced the</w:t>
      </w:r>
      <w:r>
        <w:t xml:space="preserve"> </w:t>
      </w:r>
      <w:r>
        <w:t xml:space="preserve">properties in counterbalanced order would separate the two. Second, the additional</w:t>
      </w:r>
      <w:r>
        <w:t xml:space="preserve"> </w:t>
      </w:r>
      <w:r>
        <w:t xml:space="preserve">gendered or case-marking languages noted under</w:t>
      </w:r>
      <w:r>
        <w:t xml:space="preserve"> </w:t>
      </w:r>
      <w:r>
        <w:rPr>
          <w:i/>
          <w:iCs/>
        </w:rPr>
        <w:t xml:space="preserve">Participants</w:t>
      </w:r>
      <w:r>
        <w:t xml:space="preserve"> </w:t>
      </w:r>
      <w:r>
        <w:t xml:space="preserve">were not screened out.</w:t>
      </w:r>
      <w:r>
        <w:t xml:space="preserve"> </w:t>
      </w:r>
      <w:r>
        <w:t xml:space="preserve">Such experience could support the gender or marking structures, and it is only partially</w:t>
      </w:r>
      <w:r>
        <w:t xml:space="preserve"> </w:t>
      </w:r>
      <w:r>
        <w:t xml:space="preserve">absorbed by the L1-dominance covariate, which indexes the standing of the first language</w:t>
      </w:r>
      <w:r>
        <w:t xml:space="preserve"> </w:t>
      </w:r>
      <w:r>
        <w:t xml:space="preserve">without capturing the breadth of the repertoire, and which moreover enters the ERP models</w:t>
      </w:r>
      <w:r>
        <w:t xml:space="preserve"> </w:t>
      </w:r>
      <w:r>
        <w:t xml:space="preserve">only. The behavioural models have no such control, so the</w:t>
      </w:r>
      <w:r>
        <w:t xml:space="preserve"> </w:t>
      </w:r>
      <w:r>
        <w:t xml:space="preserve">behavioural gender advantage is the estimate most exposed to it. Third, effects are</w:t>
      </w:r>
      <w:r>
        <w:t xml:space="preserve"> </w:t>
      </w:r>
      <w:r>
        <w:t xml:space="preserve">quantified as mean amplitudes in fixed latency windows, with no peak or topographic</w:t>
      </w:r>
      <w:r>
        <w:t xml:space="preserve"> </w:t>
      </w:r>
      <w:r>
        <w:t xml:space="preserve">decomposition. The absence of a native-speaker ERP baseline also means that the results</w:t>
      </w:r>
      <w:r>
        <w:t xml:space="preserve"> </w:t>
      </w:r>
      <w:r>
        <w:t xml:space="preserve">speak to the development of the grammaticality response and leave its native-likeness</w:t>
      </w:r>
      <w:r>
        <w:t xml:space="preserve"> </w:t>
      </w:r>
      <w:r>
        <w:t xml:space="preserve">untested. A</w:t>
      </w:r>
      <w:r>
        <w:t xml:space="preserve"> </w:t>
      </w:r>
      <w:r>
        <w:t xml:space="preserve">native-speaker baseline would test whether the developing response converges on the native</w:t>
      </w:r>
      <w:r>
        <w:t xml:space="preserve"> </w:t>
      </w:r>
      <w:r>
        <w:t xml:space="preserve">pattern, and a longer interval whether the divergence between the languages at retention</w:t>
      </w:r>
      <w:r>
        <w:t xml:space="preserve"> </w:t>
      </w:r>
      <w:r>
        <w:t xml:space="preserve">widens. How far the priors</w:t>
      </w:r>
      <w:r>
        <w:t xml:space="preserve"> </w:t>
      </w:r>
      <w:r>
        <w:t xml:space="preserve">and the interval widths condition the transfer interactions that remain near zero is</w:t>
      </w:r>
      <w:r>
        <w:t xml:space="preserve"> </w:t>
      </w:r>
      <w:r>
        <w:t xml:space="preserve">addressed under</w:t>
      </w:r>
      <w:r>
        <w:t xml:space="preserve"> </w:t>
      </w:r>
      <w:r>
        <w:rPr>
          <w:i/>
          <w:iCs/>
        </w:rPr>
        <w:t xml:space="preserve">Strength of evidence</w:t>
      </w:r>
      <w:r>
        <w:t xml:space="preserve">.</w:t>
      </w:r>
    </w:p>
    <w:p>
      <w:pPr>
        <w:pStyle w:val="BodyText"/>
      </w:pPr>
      <w:r>
        <w:t xml:space="preserve">Two features of the sample bear on the retention inference, and a third on every</w:t>
      </w:r>
      <w:r>
        <w:t xml:space="preserve"> </w:t>
      </w:r>
      <w:r>
        <w:t xml:space="preserve">between-group comparison. Of the 65 learners enrolled,</w:t>
      </w:r>
      <w:r>
        <w:t xml:space="preserve"> </w:t>
      </w:r>
      <w:r>
        <w:t xml:space="preserve">36 attended the Session 6 retention test, so the Session 6</w:t>
      </w:r>
      <w:r>
        <w:t xml:space="preserve"> </w:t>
      </w:r>
      <w:r>
        <w:t xml:space="preserve">estimates draw on the returners alone while the training trend draws on every session,</w:t>
      </w:r>
      <w:r>
        <w:t xml:space="preserve"> </w:t>
      </w:r>
      <w:r>
        <w:t xml:space="preserve">and the models treat the missing sessions as ignorable given each participant’s random</w:t>
      </w:r>
      <w:r>
        <w:t xml:space="preserve"> </w:t>
      </w:r>
      <w:r>
        <w:t xml:space="preserve">effects. Returners may differ from those who left, and a retention estimate conditioned</w:t>
      </w:r>
      <w:r>
        <w:t xml:space="preserve"> </w:t>
      </w:r>
      <w:r>
        <w:t xml:space="preserve">on returning need not describe the cohort that began. The 80% training gate described</w:t>
      </w:r>
      <w:r>
        <w:t xml:space="preserve"> </w:t>
      </w:r>
      <w:r>
        <w:t xml:space="preserve">under</w:t>
      </w:r>
      <w:r>
        <w:t xml:space="preserve"> </w:t>
      </w:r>
      <w:r>
        <w:rPr>
          <w:i/>
          <w:iCs/>
        </w:rPr>
        <w:t xml:space="preserve">Transparency, preregistration and analysis status</w:t>
      </w:r>
      <w:r>
        <w:t xml:space="preserve"> </w:t>
      </w:r>
      <w:r>
        <w:t xml:space="preserve">adds a second selection, since</w:t>
      </w:r>
      <w:r>
        <w:t xml:space="preserve"> </w:t>
      </w:r>
      <w:r>
        <w:t xml:space="preserve">it conditions which participant-sessions contribute data on performance in that session,</w:t>
      </w:r>
      <w:r>
        <w:t xml:space="preserve"> </w:t>
      </w:r>
      <w:r>
        <w:t xml:space="preserve">and its outcomes are folded into the attendance counts. Assignment to language followed</w:t>
      </w:r>
      <w:r>
        <w:t xml:space="preserve"> </w:t>
      </w:r>
      <w:r>
        <w:t xml:space="preserve">a fixed rule on the participant identifier, so the groups were not formed by random</w:t>
      </w:r>
      <w:r>
        <w:t xml:space="preserve"> </w:t>
      </w:r>
      <w:r>
        <w:t xml:space="preserve">allocation, and the between-group comparisons carry the uncertainty that attends a</w:t>
      </w:r>
      <w:r>
        <w:t xml:space="preserve"> </w:t>
      </w:r>
      <w:r>
        <w:t xml:space="preserve">non-randomised design.</w:t>
      </w:r>
    </w:p>
    <w:p>
      <w:pPr>
        <w:pStyle w:val="BodyText"/>
      </w:pPr>
      <w:r>
        <w:t xml:space="preserve">The behavioural judgement task also lacks a stable cross-participant item factor, so item</w:t>
      </w:r>
      <w:r>
        <w:t xml:space="preserve"> </w:t>
      </w:r>
      <w:r>
        <w:t xml:space="preserve">variance is absorbed into the residual for accuracy (though not for the ERP models, which</w:t>
      </w:r>
      <w:r>
        <w:t xml:space="preserve"> </w:t>
      </w:r>
      <w:r>
        <w:t xml:space="preserve">use fixed sentence frames). Cognitive individual-difference predictors (working memory,</w:t>
      </w:r>
      <w:r>
        <w:t xml:space="preserve"> </w:t>
      </w:r>
      <w:r>
        <w:t xml:space="preserve">inhibitory control, statistical-learning ability) are excluded here by design and</w:t>
      </w:r>
      <w:r>
        <w:t xml:space="preserve"> </w:t>
      </w:r>
      <w:r>
        <w:t xml:space="preserve">analysed in a companion paper</w:t>
      </w:r>
      <w:r>
        <w:t xml:space="preserve"> </w:t>
      </w:r>
      <w:r>
        <w:t xml:space="preserve">(</w:t>
      </w:r>
      <w:hyperlink w:anchor="ref-lesspredictors2026">
        <w:r>
          <w:rPr>
            <w:rStyle w:val="Hyperlink"/>
          </w:rPr>
          <w:t xml:space="preserve">Bernabeu et al., 2026</w:t>
        </w:r>
      </w:hyperlink>
      <w:r>
        <w:t xml:space="preserve">)</w:t>
      </w:r>
      <w:r>
        <w:t xml:space="preserve">, keeping the present focus on the</w:t>
      </w:r>
      <w:r>
        <w:t xml:space="preserve"> </w:t>
      </w:r>
      <w:r>
        <w:t xml:space="preserve">linguistic transfer signal.</w:t>
      </w:r>
      <w:r>
        <w:t xml:space="preserve"> </w:t>
      </w:r>
      <w:r>
        <w:t xml:space="preserve">A natural further step for the decoding strand is</w:t>
      </w:r>
      <w:r>
        <w:t xml:space="preserve"> </w:t>
      </w:r>
      <w:r>
        <w:t xml:space="preserve">representational similarity analysis</w:t>
      </w:r>
      <w:r>
        <w:t xml:space="preserve"> </w:t>
      </w:r>
      <w:r>
        <w:t xml:space="preserve">(</w:t>
      </w:r>
      <w:hyperlink w:anchor="ref-kriegeskorte2008rsa">
        <w:r>
          <w:rPr>
            <w:rStyle w:val="Hyperlink"/>
          </w:rPr>
          <w:t xml:space="preserve">Kriegeskorte et al., 2008</w:t>
        </w:r>
      </w:hyperlink>
      <w:r>
        <w:t xml:space="preserve">)</w:t>
      </w:r>
      <w:r>
        <w:t xml:space="preserve">, which would characterise</w:t>
      </w:r>
      <w:r>
        <w:t xml:space="preserve"> </w:t>
      </w:r>
      <w:r>
        <w:t xml:space="preserve">what the distributed pattern represents: whether the same neural geometry that separates</w:t>
      </w:r>
      <w:r>
        <w:t xml:space="preserve"> </w:t>
      </w:r>
      <w:r>
        <w:t xml:space="preserve">grammatical from ungrammatical trials in one property recurs in another. That would be a</w:t>
      </w:r>
      <w:r>
        <w:t xml:space="preserve"> </w:t>
      </w:r>
      <w:r>
        <w:t xml:space="preserve">stronger test of shared representation than the cross-property generalisation reported</w:t>
      </w:r>
      <w:r>
        <w:t xml:space="preserve"> </w:t>
      </w:r>
      <w:r>
        <w:t xml:space="preserve">here.</w:t>
      </w:r>
    </w:p>
    <w:bookmarkEnd w:id="126"/>
    <w:bookmarkStart w:id="127" w:name="conclusion"/>
    <w:p>
      <w:pPr>
        <w:pStyle w:val="Heading2"/>
      </w:pPr>
      <w:r>
        <w:t xml:space="preserve">Conclusion</w:t>
      </w:r>
    </w:p>
    <w:p>
      <w:pPr>
        <w:pStyle w:val="FirstParagraph"/>
      </w:pPr>
      <w:r>
        <w:t xml:space="preserve">Tracked from the first post-training session to a post-consolidation retention test,</w:t>
      </w:r>
      <w:r>
        <w:t xml:space="preserve"> </w:t>
      </w:r>
      <w:r>
        <w:t xml:space="preserve">three morphosyntactic properties followed three different trajectories, and the one</w:t>
      </w:r>
      <w:r>
        <w:t xml:space="preserve"> </w:t>
      </w:r>
      <w:r>
        <w:t xml:space="preserve">advantage that tracked a first language was confined to the one property that had a</w:t>
      </w:r>
      <w:r>
        <w:t xml:space="preserve"> </w:t>
      </w:r>
      <w:r>
        <w:t xml:space="preserve">first-language analogue. On these data, transfer is better described as</w:t>
      </w:r>
      <w:r>
        <w:t xml:space="preserve"> </w:t>
      </w:r>
      <w:r>
        <w:t xml:space="preserve">property-specific than as the projection of a whole grammar. We offer that conclusion</w:t>
      </w:r>
      <w:r>
        <w:t xml:space="preserve"> </w:t>
      </w:r>
      <w:r>
        <w:t xml:space="preserve">provisionally. Only gender agreement dissociates the two</w:t>
      </w:r>
      <w:r>
        <w:t xml:space="preserve"> </w:t>
      </w:r>
      <w:r>
        <w:t xml:space="preserve">accounts here, and under the design’s own source selection, the wholesale alternative is</w:t>
      </w:r>
      <w:r>
        <w:t xml:space="preserve"> </w:t>
      </w:r>
      <w:r>
        <w:t xml:space="preserve">disfavoured more by the advantage’s growth over sessions than by its location.</w:t>
      </w:r>
    </w:p>
    <w:bookmarkEnd w:id="127"/>
    <w:bookmarkEnd w:id="128"/>
    <w:bookmarkStart w:id="131" w:name="data-and-code-availability"/>
    <w:p>
      <w:pPr>
        <w:pStyle w:val="Heading1"/>
      </w:pPr>
      <w:r>
        <w:t xml:space="preserve">Data and code availability</w:t>
      </w:r>
    </w:p>
    <w:p>
      <w:pPr>
        <w:pStyle w:val="FirstParagraph"/>
      </w:pPr>
      <w:r>
        <w:t xml:space="preserve">Data extraction, model fitting and reporting are fully scripted as a reproducible</w:t>
      </w:r>
      <w:r>
        <w:t xml:space="preserve"> </w:t>
      </w:r>
      <w:r>
        <w:t xml:space="preserve">research compendium</w:t>
      </w:r>
      <w:r>
        <w:t xml:space="preserve"> </w:t>
      </w:r>
      <w:r>
        <w:t xml:space="preserve">(</w:t>
      </w:r>
      <w:hyperlink w:anchor="ref-marwick2018">
        <w:r>
          <w:rPr>
            <w:rStyle w:val="Hyperlink"/>
          </w:rPr>
          <w:t xml:space="preserve">Marwick et al., 2018</w:t>
        </w:r>
      </w:hyperlink>
      <w:r>
        <w:t xml:space="preserve">)</w:t>
      </w:r>
      <w:r>
        <w:t xml:space="preserve">. Models were fitted on High-Performance Computing</w:t>
      </w:r>
      <w:r>
        <w:t xml:space="preserve"> </w:t>
      </w:r>
      <w:r>
        <w:t xml:space="preserve">(HPC) clusters at Sigma2 (Norway) and the University of Oxford’s Advanced Research</w:t>
      </w:r>
      <w:r>
        <w:t xml:space="preserve"> </w:t>
      </w:r>
      <w:r>
        <w:t xml:space="preserve">Computing facility, on Linux (x86_64-pc-linux-gnu)</w:t>
      </w:r>
      <w:r>
        <w:t xml:space="preserve"> </w:t>
      </w:r>
      <w:r>
        <w:t xml:space="preserve">under R 4.5.1</w:t>
      </w:r>
      <w:r>
        <w:t xml:space="preserve"> </w:t>
      </w:r>
      <w:r>
        <w:t xml:space="preserve">(</w:t>
      </w:r>
      <w:hyperlink w:anchor="ref-rcoreteam">
        <w:r>
          <w:rPr>
            <w:rStyle w:val="Hyperlink"/>
          </w:rPr>
          <w:t xml:space="preserve">R Core Team, 2025</w:t>
        </w:r>
      </w:hyperlink>
      <w:r>
        <w:t xml:space="preserve">)</w:t>
      </w:r>
      <w:r>
        <w:t xml:space="preserve">, with</w:t>
      </w:r>
      <w:r>
        <w:t xml:space="preserve"> </w:t>
      </w:r>
      <w:r>
        <w:rPr>
          <w:rStyle w:val="VerbatimChar"/>
        </w:rPr>
        <w:t xml:space="preserve">brms</w:t>
      </w:r>
      <w:r>
        <w:t xml:space="preserve"> </w:t>
      </w:r>
      <w:r>
        <w:t xml:space="preserve">2.23.0</w:t>
      </w:r>
      <w:r>
        <w:t xml:space="preserve"> </w:t>
      </w:r>
      <w:r>
        <w:t xml:space="preserve">(</w:t>
      </w:r>
      <w:hyperlink w:anchor="ref-burkner2017">
        <w:r>
          <w:rPr>
            <w:rStyle w:val="Hyperlink"/>
          </w:rPr>
          <w:t xml:space="preserve">Bürkner, 2017</w:t>
        </w:r>
      </w:hyperlink>
      <w:r>
        <w:t xml:space="preserve">)</w:t>
      </w:r>
      <w:r>
        <w:t xml:space="preserve"> </w:t>
      </w:r>
      <w:r>
        <w:t xml:space="preserve">driving</w:t>
      </w:r>
      <w:r>
        <w:t xml:space="preserve"> </w:t>
      </w:r>
      <w:r>
        <w:t xml:space="preserve">CmdStan 2.39.0 through the</w:t>
      </w:r>
      <w:r>
        <w:t xml:space="preserve"> </w:t>
      </w:r>
      <w:r>
        <w:rPr>
          <w:rStyle w:val="VerbatimChar"/>
        </w:rPr>
        <w:t xml:space="preserve">cmdstanr</w:t>
      </w:r>
      <w:r>
        <w:t xml:space="preserve"> </w:t>
      </w:r>
      <w:r>
        <w:t xml:space="preserve">0.9.0 backend. The clusters</w:t>
      </w:r>
      <w:r>
        <w:t xml:space="preserve"> </w:t>
      </w:r>
      <w:r>
        <w:t xml:space="preserve">supply that stack through environment modules, with no container. The compiler settings</w:t>
      </w:r>
      <w:r>
        <w:t xml:space="preserve"> </w:t>
      </w:r>
      <w:r>
        <w:t xml:space="preserve">used on those clusters are recorded in the repository and do not affect the posterior draws.</w:t>
      </w:r>
      <w:r>
        <w:t xml:space="preserve"> </w:t>
      </w:r>
      <w:r>
        <w:t xml:space="preserve">Every version given here comes from the provenance record the fitting run wrote. Model</w:t>
      </w:r>
      <w:r>
        <w:t xml:space="preserve"> </w:t>
      </w:r>
      <w:r>
        <w:t xml:space="preserve">fitting used the fixed seed 20260607, set in the shared</w:t>
      </w:r>
      <w:r>
        <w:t xml:space="preserve"> </w:t>
      </w:r>
      <w:r>
        <w:t xml:space="preserve">Bayesian settings and recorded in that provenance record. The decoding permutations used</w:t>
      </w:r>
      <w:r>
        <w:t xml:space="preserve"> </w:t>
      </w:r>
      <w:r>
        <w:t xml:space="preserve">the seed 20260702, exported by the job script that</w:t>
      </w:r>
      <w:r>
        <w:t xml:space="preserve"> </w:t>
      </w:r>
      <w:r>
        <w:t xml:space="preserve">runs them and recorded by that script beside the decoding artefacts.</w:t>
      </w:r>
      <w:r>
        <w:t xml:space="preserve"> </w:t>
      </w:r>
      <w:r>
        <w:t xml:space="preserve">This manuscript reads only the script-generated summary tables,</w:t>
      </w:r>
      <w:r>
        <w:t xml:space="preserve"> </w:t>
      </w:r>
      <w:r>
        <w:t xml:space="preserve">so every statistic in the Results is populated from them and none is transcribed by hand.</w:t>
      </w:r>
      <w:r>
        <w:t xml:space="preserve"> </w:t>
      </w:r>
      <w:r>
        <w:t xml:space="preserve">The pooled posterior summaries, retention contrasts, convergence diagnostics, sample-flow</w:t>
      </w:r>
      <w:r>
        <w:t xml:space="preserve"> </w:t>
      </w:r>
      <w:r>
        <w:t xml:space="preserve">counts and decoding time-courses that populate the figures and tables are all published</w:t>
      </w:r>
      <w:r>
        <w:t xml:space="preserve"> </w:t>
      </w:r>
      <w:r>
        <w:t xml:space="preserve">with the repository. The decoding artefacts include the participant count behind every</w:t>
      </w:r>
      <w:r>
        <w:t xml:space="preserve"> </w:t>
      </w:r>
      <w:r>
        <w:t xml:space="preserve">per-cell score. Figures are drawn with</w:t>
      </w:r>
      <w:r>
        <w:t xml:space="preserve"> </w:t>
      </w:r>
      <w:r>
        <w:rPr>
          <w:rStyle w:val="VerbatimChar"/>
        </w:rPr>
        <w:t xml:space="preserve">ggplot2</w:t>
      </w:r>
      <w:r>
        <w:t xml:space="preserve"> </w:t>
      </w:r>
      <w:r>
        <w:t xml:space="preserve">(</w:t>
      </w:r>
      <w:hyperlink w:anchor="ref-wickham2016">
        <w:r>
          <w:rPr>
            <w:rStyle w:val="Hyperlink"/>
          </w:rPr>
          <w:t xml:space="preserve">Wickham, 2016</w:t>
        </w:r>
      </w:hyperlink>
      <w:r>
        <w:t xml:space="preserve">)</w:t>
      </w:r>
      <w:r>
        <w:t xml:space="preserve"> </w:t>
      </w:r>
      <w:r>
        <w:t xml:space="preserve">using the theme and colour system of</w:t>
      </w:r>
      <w:r>
        <w:t xml:space="preserve"> </w:t>
      </w:r>
      <w:r>
        <w:rPr>
          <w:rStyle w:val="VerbatimChar"/>
        </w:rPr>
        <w:t xml:space="preserve">depictr</w:t>
      </w:r>
      <w:r>
        <w:t xml:space="preserve"> </w:t>
      </w:r>
      <w:r>
        <w:t xml:space="preserve">(</w:t>
      </w:r>
      <w:hyperlink w:anchor="ref-depictr">
        <w:r>
          <w:rPr>
            <w:rStyle w:val="Hyperlink"/>
          </w:rPr>
          <w:t xml:space="preserve">Bernabeu, 2026a</w:t>
        </w:r>
      </w:hyperlink>
      <w:r>
        <w:t xml:space="preserve">)</w:t>
      </w:r>
      <w:r>
        <w:t xml:space="preserve">, whose default qualitative</w:t>
      </w:r>
      <w:r>
        <w:t xml:space="preserve"> </w:t>
      </w:r>
      <w:r>
        <w:t xml:space="preserve">palette is the colourblind-safe Okabe–Ito set. The companion paper</w:t>
      </w:r>
      <w:r>
        <w:t xml:space="preserve"> </w:t>
      </w:r>
      <w:r>
        <w:t xml:space="preserve">(</w:t>
      </w:r>
      <w:hyperlink w:anchor="ref-lesspredictors2026">
        <w:r>
          <w:rPr>
            <w:rStyle w:val="Hyperlink"/>
          </w:rPr>
          <w:t xml:space="preserve">Bernabeu et al., 2026</w:t>
        </w:r>
      </w:hyperlink>
      <w:r>
        <w:t xml:space="preserve">)</w:t>
      </w:r>
      <w:r>
        <w:t xml:space="preserve"> </w:t>
      </w:r>
      <w:r>
        <w:t xml:space="preserve">uses the same system, so the two share one visual identity. The literature counts in</w:t>
      </w:r>
      <w:r>
        <w:t xml:space="preserve"> </w:t>
      </w:r>
      <w:hyperlink w:anchor="fig-literature">
        <w:r>
          <w:rPr>
            <w:rStyle w:val="Hyperlink"/>
          </w:rPr>
          <w:t xml:space="preserve">Figure 1</w:t>
        </w:r>
      </w:hyperlink>
      <w:r>
        <w:t xml:space="preserve"> </w:t>
      </w:r>
      <w:r>
        <w:t xml:space="preserve">were retrieved from the Scopus Search API with</w:t>
      </w:r>
      <w:r>
        <w:t xml:space="preserve"> </w:t>
      </w:r>
      <w:r>
        <w:rPr>
          <w:rStyle w:val="VerbatimChar"/>
        </w:rPr>
        <w:t xml:space="preserve">scopusflow</w:t>
      </w:r>
      <w:r>
        <w:t xml:space="preserve"> </w:t>
      </w:r>
      <w:r>
        <w:t xml:space="preserve">(</w:t>
      </w:r>
      <w:hyperlink w:anchor="ref-scopusflow">
        <w:r>
          <w:rPr>
            <w:rStyle w:val="Hyperlink"/>
          </w:rPr>
          <w:t xml:space="preserve">Bernabeu, 2026b</w:t>
        </w:r>
      </w:hyperlink>
      <w:r>
        <w:t xml:space="preserve">)</w:t>
      </w:r>
      <w:r>
        <w:t xml:space="preserve">, which records</w:t>
      </w:r>
      <w:r>
        <w:t xml:space="preserve"> </w:t>
      </w:r>
      <w:r>
        <w:t xml:space="preserve">the exact query beside each count, so the search is reproducible from the repository. Its</w:t>
      </w:r>
      <w:r>
        <w:t xml:space="preserve"> </w:t>
      </w:r>
      <w:r>
        <w:t xml:space="preserve">coverage limits are stated in the figure caption. All extraction, modelling and reporting</w:t>
      </w:r>
      <w:r>
        <w:t xml:space="preserve"> </w:t>
      </w:r>
      <w:r>
        <w:t xml:space="preserve">scripts are archived with the data in the project’s Open Science Framework repository at</w:t>
      </w:r>
      <w:r>
        <w:t xml:space="preserve"> </w:t>
      </w:r>
      <w:hyperlink r:id="rId129">
        <w:r>
          <w:rPr>
            <w:rStyle w:val="Hyperlink"/>
          </w:rPr>
          <w:t xml:space="preserve">https://osf.io/tq7vy</w:t>
        </w:r>
      </w:hyperlink>
      <w:r>
        <w:t xml:space="preserve">, together with the environment</w:t>
      </w:r>
      <w:r>
        <w:t xml:space="preserve"> </w:t>
      </w:r>
      <w:r>
        <w:t xml:space="preserve">specification: an</w:t>
      </w:r>
      <w:r>
        <w:t xml:space="preserve"> </w:t>
      </w:r>
      <w:r>
        <w:rPr>
          <w:rStyle w:val="VerbatimChar"/>
        </w:rPr>
        <w:t xml:space="preserve">renv</w:t>
      </w:r>
      <w:r>
        <w:t xml:space="preserve"> </w:t>
      </w:r>
      <w:r>
        <w:t xml:space="preserve">lockfile pinning the R packages of the fitting library, and a</w:t>
      </w:r>
      <w:r>
        <w:t xml:space="preserve"> </w:t>
      </w:r>
      <w:r>
        <w:t xml:space="preserve">provenance record written at fit time. That record holds the software versions in force</w:t>
      </w:r>
      <w:r>
        <w:t xml:space="preserve"> </w:t>
      </w:r>
      <w:r>
        <w:t xml:space="preserve">when the ERP models were fitted, which is what the versions above are read from. The</w:t>
      </w:r>
      <w:r>
        <w:t xml:space="preserve"> </w:t>
      </w:r>
      <w:r>
        <w:t xml:space="preserve">accuracy models and the decoding analyses run in the same cluster environment under</w:t>
      </w:r>
      <w:r>
        <w:t xml:space="preserve"> </w:t>
      </w:r>
      <w:r>
        <w:t xml:space="preserve">separate scripts. The accuracy script records the R, brms, cmdstanr and CmdStan versions</w:t>
      </w:r>
      <w:r>
        <w:t xml:space="preserve"> </w:t>
      </w:r>
      <w:r>
        <w:t xml:space="preserve">of each fit in the pooled fit metadata that accompanies the results, and the decoding job</w:t>
      </w:r>
      <w:r>
        <w:t xml:space="preserve"> </w:t>
      </w:r>
      <w:r>
        <w:t xml:space="preserve">records its seed and permutation settings beside the decoding artefacts. The raw</w:t>
      </w:r>
      <w:r>
        <w:t xml:space="preserve"> </w:t>
      </w:r>
      <w:r>
        <w:t xml:space="preserve">electroencephalographic recordings, too large to distribute through an ordinary</w:t>
      </w:r>
      <w:r>
        <w:t xml:space="preserve"> </w:t>
      </w:r>
      <w:r>
        <w:t xml:space="preserve">version-control repository, are held in the same Open Science Framework repository as</w:t>
      </w:r>
      <w:r>
        <w:t xml:space="preserve"> </w:t>
      </w:r>
      <w:r>
        <w:t xml:space="preserve">the code. The paper’s analysis code and other open materials are also available at</w:t>
      </w:r>
      <w:r>
        <w:t xml:space="preserve"> </w:t>
      </w:r>
      <w:hyperlink r:id="rId130">
        <w:r>
          <w:rPr>
            <w:rStyle w:val="Hyperlink"/>
          </w:rPr>
          <w:t xml:space="preserve">https://github.com/pablobernabeu/LESS-morphosyntactic-transfer</w:t>
        </w:r>
      </w:hyperlink>
      <w:r>
        <w:t xml:space="preserve">.</w:t>
      </w:r>
    </w:p>
    <w:bookmarkEnd w:id="131"/>
    <w:bookmarkStart w:id="132"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Code (version 2.1,</w:t>
      </w:r>
      <w:r>
        <w:t xml:space="preserve"> </w:t>
      </w:r>
      <w:r>
        <w:t xml:space="preserve">Anthropic), running primarily the Claude Opus and Claude Fable models, in order to</w:t>
      </w:r>
      <w:r>
        <w:t xml:space="preserve"> </w:t>
      </w:r>
      <w:r>
        <w:t xml:space="preserve">support the research, the analyses and the writing. After using this tool, the authors</w:t>
      </w:r>
      <w:r>
        <w:t xml:space="preserve"> </w:t>
      </w:r>
      <w:r>
        <w:t xml:space="preserve">reviewed and edited the content as needed and take full responsibility for the content</w:t>
      </w:r>
      <w:r>
        <w:t xml:space="preserve"> </w:t>
      </w:r>
      <w:r>
        <w:t xml:space="preserve">of the published article.</w:t>
      </w:r>
    </w:p>
    <w:bookmarkEnd w:id="132"/>
    <w:bookmarkStart w:id="133" w:name="credit-authorship-contribution-statement"/>
    <w:p>
      <w:pPr>
        <w:pStyle w:val="Heading1"/>
      </w:pPr>
      <w:r>
        <w:t xml:space="preserve">CRediT authorship contribution statement</w:t>
      </w:r>
    </w:p>
    <w:p>
      <w:pPr>
        <w:pStyle w:val="FirstParagraph"/>
      </w:pPr>
      <w:r>
        <w:rPr>
          <w:b/>
          <w:bCs/>
        </w:rPr>
        <w:t xml:space="preserve">Pablo Bernabeu</w:t>
      </w:r>
      <w:r>
        <w:t xml:space="preserve">: Conceptualization, Methodology, Software, Formal analysis, Data</w:t>
      </w:r>
      <w:r>
        <w:t xml:space="preserve"> </w:t>
      </w:r>
      <w:r>
        <w:t xml:space="preserve">curation, Visualization, Writing – original draft, Writing – review &amp; editing.</w:t>
      </w:r>
      <w:r>
        <w:t xml:space="preserve"> </w:t>
      </w:r>
      <w:r>
        <w:rPr>
          <w:b/>
          <w:bCs/>
        </w:rPr>
        <w:t xml:space="preserve">Christina Athanasiadi</w:t>
      </w:r>
      <w:r>
        <w:t xml:space="preserve">: Data curation, Project administration, Writing – review &amp;</w:t>
      </w:r>
      <w:r>
        <w:t xml:space="preserve"> </w:t>
      </w:r>
      <w:r>
        <w:t xml:space="preserve">editing.</w:t>
      </w:r>
      <w:r>
        <w:t xml:space="preserve"> </w:t>
      </w:r>
      <w:r>
        <w:rPr>
          <w:b/>
          <w:bCs/>
        </w:rPr>
        <w:t xml:space="preserve">Stella L. Pischinger</w:t>
      </w:r>
      <w:r>
        <w:t xml:space="preserve">: Data curation, Writing – review &amp; editing.</w:t>
      </w:r>
      <w:r>
        <w:t xml:space="preserve"> </w:t>
      </w:r>
      <w:r>
        <w:rPr>
          <w:b/>
          <w:bCs/>
        </w:rPr>
        <w:t xml:space="preserve">Gabriella Silva</w:t>
      </w:r>
      <w:r>
        <w:t xml:space="preserve">: Conceptualization, Methodology, Investigation, Writing – review &amp;</w:t>
      </w:r>
      <w:r>
        <w:t xml:space="preserve"> </w:t>
      </w:r>
      <w:r>
        <w:t xml:space="preserve">editing.</w:t>
      </w:r>
      <w:r>
        <w:t xml:space="preserve"> </w:t>
      </w:r>
      <w:r>
        <w:rPr>
          <w:b/>
          <w:bCs/>
        </w:rPr>
        <w:t xml:space="preserve">My Ngoc Giang Hoang</w:t>
      </w:r>
      <w:r>
        <w:t xml:space="preserve">: Data curation, Writing – review &amp; editing.</w:t>
      </w:r>
      <w:r>
        <w:t xml:space="preserve"> </w:t>
      </w:r>
      <w:r>
        <w:rPr>
          <w:b/>
          <w:bCs/>
        </w:rPr>
        <w:t xml:space="preserve">Vincent DeLuca</w:t>
      </w:r>
      <w:r>
        <w:t xml:space="preserve">: Conceptualization, Methodology, Supervision, Writing – review &amp;</w:t>
      </w:r>
      <w:r>
        <w:t xml:space="preserve"> </w:t>
      </w:r>
      <w:r>
        <w:t xml:space="preserve">editing.</w:t>
      </w:r>
      <w:r>
        <w:t xml:space="preserve"> </w:t>
      </w:r>
      <w:r>
        <w:rPr>
          <w:b/>
          <w:bCs/>
        </w:rPr>
        <w:t xml:space="preserve">Jason Rothman</w:t>
      </w:r>
      <w:r>
        <w:t xml:space="preserve">: Conceptualization, Funding acquisition, Resources,</w:t>
      </w:r>
      <w:r>
        <w:t xml:space="preserve"> </w:t>
      </w:r>
      <w:r>
        <w:t xml:space="preserve">Supervision, Writing – review &amp; editing.</w:t>
      </w:r>
      <w:r>
        <w:t xml:space="preserve"> </w:t>
      </w:r>
      <w:r>
        <w:rPr>
          <w:b/>
          <w:bCs/>
        </w:rPr>
        <w:t xml:space="preserve">Iva Ivanova</w:t>
      </w:r>
      <w:r>
        <w:t xml:space="preserve">: Conceptualization,</w:t>
      </w:r>
      <w:r>
        <w:t xml:space="preserve"> </w:t>
      </w:r>
      <w:r>
        <w:t xml:space="preserve">Methodology, Writing – review &amp; editing.</w:t>
      </w:r>
      <w:r>
        <w:t xml:space="preserve"> </w:t>
      </w:r>
      <w:r>
        <w:rPr>
          <w:b/>
          <w:bCs/>
        </w:rPr>
        <w:t xml:space="preserve">Claudia Poch</w:t>
      </w:r>
      <w:r>
        <w:t xml:space="preserve">: Methodology, Validation,</w:t>
      </w:r>
      <w:r>
        <w:t xml:space="preserve"> </w:t>
      </w:r>
      <w:r>
        <w:t xml:space="preserve">Writing – review &amp; editing.</w:t>
      </w:r>
      <w:r>
        <w:t xml:space="preserve"> </w:t>
      </w:r>
      <w:r>
        <w:rPr>
          <w:b/>
          <w:bCs/>
        </w:rPr>
        <w:t xml:space="preserve">Jorge González Alonso</w:t>
      </w:r>
      <w:r>
        <w:t xml:space="preserve">: Conceptualization, Methodology,</w:t>
      </w:r>
      <w:r>
        <w:t xml:space="preserve"> </w:t>
      </w:r>
      <w:r>
        <w:t xml:space="preserve">Funding acquisition, Project administration, Supervision, Writing – review &amp; editing.</w:t>
      </w:r>
    </w:p>
    <w:bookmarkEnd w:id="133"/>
    <w:bookmarkStart w:id="134" w:name="funding"/>
    <w:p>
      <w:pPr>
        <w:pStyle w:val="Heading1"/>
      </w:pPr>
      <w:r>
        <w:t xml:space="preserve">Funding</w:t>
      </w:r>
    </w:p>
    <w:p>
      <w:pPr>
        <w:pStyle w:val="FirstParagraph"/>
      </w:pPr>
      <w:r>
        <w:t xml:space="preserve">This work was supported by the Research Council of Norway (grant 326487-FORSKER21) and</w:t>
      </w:r>
      <w:r>
        <w:t xml:space="preserve"> </w:t>
      </w:r>
      <w:r>
        <w:t xml:space="preserve">by the Comunidad de Madrid (grant 2020-T1/HUM-20037), both awarded to Jorge González Alonso.</w:t>
      </w:r>
    </w:p>
    <w:bookmarkEnd w:id="134"/>
    <w:bookmarkStart w:id="135"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w:t>
      </w:r>
      <w:r>
        <w:t xml:space="preserve"> </w:t>
      </w:r>
      <w:r>
        <w:t xml:space="preserve">relationships that could have appeared to influence the work reported in this paper.</w:t>
      </w:r>
    </w:p>
    <w:bookmarkEnd w:id="135"/>
    <w:bookmarkStart w:id="136" w:name="acknowledgements"/>
    <w:p>
      <w:pPr>
        <w:pStyle w:val="Heading1"/>
      </w:pPr>
      <w:r>
        <w:t xml:space="preserve">Acknowledgements</w:t>
      </w:r>
    </w:p>
    <w:p>
      <w:pPr>
        <w:pStyle w:val="FirstParagraph"/>
      </w:pPr>
      <w:r>
        <w:t xml:space="preserve">We thank Mona Kirkness Fossum for assistance with translating materials;</w:t>
      </w:r>
      <w:r>
        <w:t xml:space="preserve"> </w:t>
      </w:r>
      <w:r>
        <w:t xml:space="preserve">Gaute Berglund, Anders Gabrielsen and Tekabe Legesse Feleke for assistance with session</w:t>
      </w:r>
      <w:r>
        <w:t xml:space="preserve"> </w:t>
      </w:r>
      <w:r>
        <w:t xml:space="preserve">piloting; Teodóra Vékony for advice on the alternating serial reaction</w:t>
      </w:r>
      <w:r>
        <w:t xml:space="preserve"> </w:t>
      </w:r>
      <w:r>
        <w:t xml:space="preserve">time task; Björn Lundquist for assistance with implementation in OpenSesame; and</w:t>
      </w:r>
      <w:r>
        <w:t xml:space="preserve"> </w:t>
      </w:r>
      <w:r>
        <w:t xml:space="preserve">Antonio Fábregas, Natalia Mitrofanova, Yulia Rodina, Marit Westergaard, Merete</w:t>
      </w:r>
      <w:r>
        <w:t xml:space="preserve"> </w:t>
      </w:r>
      <w:r>
        <w:t xml:space="preserve">Anderssen and Fatih Bayram for advice and assistance with the design and translation of</w:t>
      </w:r>
      <w:r>
        <w:t xml:space="preserve"> </w:t>
      </w:r>
      <w:r>
        <w:t xml:space="preserve">materials and participant recruitment. Models were fitted on High-Performance Computing</w:t>
      </w:r>
      <w:r>
        <w:t xml:space="preserve"> </w:t>
      </w:r>
      <w:r>
        <w:t xml:space="preserve">(HPC) clusters at Sigma2 (Norway) and the Advanced Research Computing facility of the</w:t>
      </w:r>
      <w:r>
        <w:t xml:space="preserve"> </w:t>
      </w:r>
      <w:r>
        <w:t xml:space="preserve">University of Oxford.</w:t>
      </w:r>
    </w:p>
    <w:p>
      <w:r>
        <w:br w:type="page"/>
      </w:r>
    </w:p>
    <w:p>
      <w:r>
        <w:br w:type="page"/>
      </w:r>
    </w:p>
    <w:bookmarkEnd w:id="136"/>
    <w:p>
      <w:pPr>
        <w:pStyle w:val="Heading1"/>
      </w:pPr>
      <w:r>
        <w:t xml:space="preserve">References</w:t>
      </w:r>
    </w:p>
    <w:bookmarkStart w:id="392" w:name="refs"/>
    <w:bookmarkStart w:id="138" w:name="ref-ahlfors2010"/>
    <w:p>
      <w:pPr>
        <w:pStyle w:val="Bibliography"/>
      </w:pPr>
      <w:r>
        <w:t xml:space="preserve">Ahlfors, S. P., Han, J., Lin, F.-H., Witzel, T., Belliveau, J. W., Hämäläinen, M. S., &amp; Halgren, E. (2010). Cancellation of</w:t>
      </w:r>
      <w:r>
        <w:t xml:space="preserve"> </w:t>
      </w:r>
      <w:r>
        <w:t xml:space="preserve">EEG</w:t>
      </w:r>
      <w:r>
        <w:t xml:space="preserve"> </w:t>
      </w:r>
      <w:r>
        <w:t xml:space="preserve">and</w:t>
      </w:r>
      <w:r>
        <w:t xml:space="preserve"> </w:t>
      </w:r>
      <w:r>
        <w:t xml:space="preserve">MEG</w:t>
      </w:r>
      <w:r>
        <w:t xml:space="preserve"> </w:t>
      </w:r>
      <w:r>
        <w:t xml:space="preserve">signals generated by extended and distributed sources.</w:t>
      </w:r>
      <w:r>
        <w:t xml:space="preserve"> </w:t>
      </w:r>
      <w:r>
        <w:rPr>
          <w:i/>
          <w:iCs/>
        </w:rPr>
        <w:t xml:space="preserve">Human Brain Mapping</w:t>
      </w:r>
      <w:r>
        <w:t xml:space="preserve">,</w:t>
      </w:r>
      <w:r>
        <w:t xml:space="preserve"> </w:t>
      </w:r>
      <w:r>
        <w:rPr>
          <w:i/>
          <w:iCs/>
        </w:rPr>
        <w:t xml:space="preserve">31</w:t>
      </w:r>
      <w:r>
        <w:t xml:space="preserve">(1), 140–149.</w:t>
      </w:r>
      <w:r>
        <w:t xml:space="preserve"> </w:t>
      </w:r>
      <w:hyperlink r:id="rId137">
        <w:r>
          <w:rPr>
            <w:rStyle w:val="Hyperlink"/>
          </w:rPr>
          <w:t xml:space="preserve">https://doi.org/10.1002/hbm.20851</w:t>
        </w:r>
      </w:hyperlink>
    </w:p>
    <w:bookmarkEnd w:id="138"/>
    <w:bookmarkStart w:id="140" w:name="ref-alday2019"/>
    <w:p>
      <w:pPr>
        <w:pStyle w:val="Bibliography"/>
      </w:pPr>
      <w:r>
        <w:t xml:space="preserve">Alday, P. M. (2019). How much baseline correction do we need in</w:t>
      </w:r>
      <w:r>
        <w:t xml:space="preserve"> </w:t>
      </w:r>
      <w:r>
        <w:t xml:space="preserve">ERP</w:t>
      </w:r>
      <w:r>
        <w:t xml:space="preserve"> </w:t>
      </w:r>
      <w:r>
        <w:t xml:space="preserve">research? Extended</w:t>
      </w:r>
      <w:r>
        <w:t xml:space="preserve"> </w:t>
      </w:r>
      <w:r>
        <w:t xml:space="preserve">GLM</w:t>
      </w:r>
      <w:r>
        <w:t xml:space="preserve"> </w:t>
      </w:r>
      <w:r>
        <w:t xml:space="preserve">model can replace baseline correction while lifting its limits.</w:t>
      </w:r>
      <w:r>
        <w:t xml:space="preserve"> </w:t>
      </w:r>
      <w:r>
        <w:rPr>
          <w:i/>
          <w:iCs/>
        </w:rPr>
        <w:t xml:space="preserve">Psychophysiology</w:t>
      </w:r>
      <w:r>
        <w:t xml:space="preserve">,</w:t>
      </w:r>
      <w:r>
        <w:t xml:space="preserve"> </w:t>
      </w:r>
      <w:r>
        <w:rPr>
          <w:i/>
          <w:iCs/>
        </w:rPr>
        <w:t xml:space="preserve">56</w:t>
      </w:r>
      <w:r>
        <w:t xml:space="preserve">(12), e13451.</w:t>
      </w:r>
      <w:r>
        <w:t xml:space="preserve"> </w:t>
      </w:r>
      <w:hyperlink r:id="rId139">
        <w:r>
          <w:rPr>
            <w:rStyle w:val="Hyperlink"/>
          </w:rPr>
          <w:t xml:space="preserve">https://doi.org/10.1111/psyp.13451</w:t>
        </w:r>
      </w:hyperlink>
    </w:p>
    <w:bookmarkEnd w:id="140"/>
    <w:bookmarkStart w:id="142" w:name="ref-alemanbanon2018"/>
    <w:p>
      <w:pPr>
        <w:pStyle w:val="Bibliography"/>
      </w:pPr>
      <w:r>
        <w:t xml:space="preserve">Alemán Bañón, J., Fiorentino, R., &amp; Gabriele, A. (2018). Using event-related potentials to track morphosyntactic development in second language learners: The processing of number and gender agreement in</w:t>
      </w:r>
      <w:r>
        <w:t xml:space="preserve"> </w:t>
      </w:r>
      <w:r>
        <w:t xml:space="preserve">Spanish</w:t>
      </w:r>
      <w:r>
        <w:t xml:space="preserve">.</w:t>
      </w:r>
      <w:r>
        <w:t xml:space="preserve"> </w:t>
      </w:r>
      <w:r>
        <w:rPr>
          <w:i/>
          <w:iCs/>
        </w:rPr>
        <w:t xml:space="preserve">PLOS ONE</w:t>
      </w:r>
      <w:r>
        <w:t xml:space="preserve">,</w:t>
      </w:r>
      <w:r>
        <w:t xml:space="preserve"> </w:t>
      </w:r>
      <w:r>
        <w:rPr>
          <w:i/>
          <w:iCs/>
        </w:rPr>
        <w:t xml:space="preserve">13</w:t>
      </w:r>
      <w:r>
        <w:t xml:space="preserve">(7), e0200791.</w:t>
      </w:r>
      <w:r>
        <w:t xml:space="preserve"> </w:t>
      </w:r>
      <w:hyperlink r:id="rId141">
        <w:r>
          <w:rPr>
            <w:rStyle w:val="Hyperlink"/>
          </w:rPr>
          <w:t xml:space="preserve">https://doi.org/10.1371/journal.pone.0200791</w:t>
        </w:r>
      </w:hyperlink>
    </w:p>
    <w:bookmarkEnd w:id="142"/>
    <w:bookmarkStart w:id="144" w:name="ref-allefeld2016"/>
    <w:p>
      <w:pPr>
        <w:pStyle w:val="Bibliography"/>
      </w:pPr>
      <w:r>
        <w:t xml:space="preserve">Allefeld, C., Görgen, K., &amp; Haynes, J.-D. (2016). Valid population inference for information-based imaging: From the second-level t-test to prevalence inference.</w:t>
      </w:r>
      <w:r>
        <w:t xml:space="preserve"> </w:t>
      </w:r>
      <w:r>
        <w:rPr>
          <w:i/>
          <w:iCs/>
        </w:rPr>
        <w:t xml:space="preserve">NeuroImage</w:t>
      </w:r>
      <w:r>
        <w:t xml:space="preserve">,</w:t>
      </w:r>
      <w:r>
        <w:t xml:space="preserve"> </w:t>
      </w:r>
      <w:r>
        <w:rPr>
          <w:i/>
          <w:iCs/>
        </w:rPr>
        <w:t xml:space="preserve">141</w:t>
      </w:r>
      <w:r>
        <w:t xml:space="preserve">, 378–392.</w:t>
      </w:r>
      <w:r>
        <w:t xml:space="preserve"> </w:t>
      </w:r>
      <w:hyperlink r:id="rId143">
        <w:r>
          <w:rPr>
            <w:rStyle w:val="Hyperlink"/>
          </w:rPr>
          <w:t xml:space="preserve">https://doi.org/10.1016/j.neuroimage.2016.07.040</w:t>
        </w:r>
      </w:hyperlink>
    </w:p>
    <w:bookmarkEnd w:id="144"/>
    <w:bookmarkStart w:id="146" w:name="ref-gonzalezalonso2026"/>
    <w:p>
      <w:pPr>
        <w:pStyle w:val="Bibliography"/>
      </w:pPr>
      <w:r>
        <w:t xml:space="preserve">Alonso, J. G., Cabrelli, J., Soares, S. M. P., Puig-Mayenco, E., &amp; Rothman, J. (2026). Third language acquisition. In</w:t>
      </w:r>
      <w:r>
        <w:t xml:space="preserve"> </w:t>
      </w:r>
      <w:r>
        <w:rPr>
          <w:i/>
          <w:iCs/>
        </w:rPr>
        <w:t xml:space="preserve">The cambridge handbook of second language acquisition</w:t>
      </w:r>
      <w:r>
        <w:t xml:space="preserve"> </w:t>
      </w:r>
      <w:r>
        <w:t xml:space="preserve">(pp. 449–478). Cambridge University Press.</w:t>
      </w:r>
      <w:r>
        <w:t xml:space="preserve"> </w:t>
      </w:r>
      <w:hyperlink r:id="rId145">
        <w:r>
          <w:rPr>
            <w:rStyle w:val="Hyperlink"/>
          </w:rPr>
          <w:t xml:space="preserve">https://doi.org/10.1017/9781009400640.020</w:t>
        </w:r>
      </w:hyperlink>
    </w:p>
    <w:bookmarkEnd w:id="146"/>
    <w:bookmarkStart w:id="148" w:name="ref-gonzalezalonso2017"/>
    <w:p>
      <w:pPr>
        <w:pStyle w:val="Bibliography"/>
      </w:pPr>
      <w:r>
        <w:t xml:space="preserve">Alonso, J. G., &amp; Rothman, J. (2017). Coming of age in</w:t>
      </w:r>
      <w:r>
        <w:t xml:space="preserve"> </w:t>
      </w:r>
      <w:r>
        <w:t xml:space="preserve">L3</w:t>
      </w:r>
      <w:r>
        <w:t xml:space="preserve"> </w:t>
      </w:r>
      <w:r>
        <w:t xml:space="preserve">initial stages transfer models: Deriving developmental predictions and looking towards the future.</w:t>
      </w:r>
      <w:r>
        <w:t xml:space="preserve"> </w:t>
      </w:r>
      <w:r>
        <w:rPr>
          <w:i/>
          <w:iCs/>
        </w:rPr>
        <w:t xml:space="preserve">International Journal of Bilingualism</w:t>
      </w:r>
      <w:r>
        <w:t xml:space="preserve">,</w:t>
      </w:r>
      <w:r>
        <w:t xml:space="preserve"> </w:t>
      </w:r>
      <w:r>
        <w:rPr>
          <w:i/>
          <w:iCs/>
        </w:rPr>
        <w:t xml:space="preserve">21</w:t>
      </w:r>
      <w:r>
        <w:t xml:space="preserve">(6), 683–697.</w:t>
      </w:r>
      <w:r>
        <w:t xml:space="preserve"> </w:t>
      </w:r>
      <w:hyperlink r:id="rId147">
        <w:r>
          <w:rPr>
            <w:rStyle w:val="Hyperlink"/>
          </w:rPr>
          <w:t xml:space="preserve">https://doi.org/10.1177/1367006916649265</w:t>
        </w:r>
      </w:hyperlink>
    </w:p>
    <w:bookmarkEnd w:id="148"/>
    <w:bookmarkStart w:id="150" w:name="ref-amrhein2019"/>
    <w:p>
      <w:pPr>
        <w:pStyle w:val="Bibliography"/>
      </w:pPr>
      <w:r>
        <w:t xml:space="preserve">Amrhein, V., Greenland, S., &amp; McShane, B. (2019). Scientists rise up against statistical significance.</w:t>
      </w:r>
      <w:r>
        <w:t xml:space="preserve"> </w:t>
      </w:r>
      <w:r>
        <w:rPr>
          <w:i/>
          <w:iCs/>
        </w:rPr>
        <w:t xml:space="preserve">Nature</w:t>
      </w:r>
      <w:r>
        <w:t xml:space="preserve">,</w:t>
      </w:r>
      <w:r>
        <w:t xml:space="preserve"> </w:t>
      </w:r>
      <w:r>
        <w:rPr>
          <w:i/>
          <w:iCs/>
        </w:rPr>
        <w:t xml:space="preserve">567</w:t>
      </w:r>
      <w:r>
        <w:t xml:space="preserve">(7748), 305–307.</w:t>
      </w:r>
      <w:r>
        <w:t xml:space="preserve"> </w:t>
      </w:r>
      <w:hyperlink r:id="rId149">
        <w:r>
          <w:rPr>
            <w:rStyle w:val="Hyperlink"/>
          </w:rPr>
          <w:t xml:space="preserve">https://doi.org/10.1038/d41586-019-00857-9</w:t>
        </w:r>
      </w:hyperlink>
    </w:p>
    <w:bookmarkEnd w:id="150"/>
    <w:bookmarkStart w:id="152" w:name="ref-angelovska2023"/>
    <w:p>
      <w:pPr>
        <w:pStyle w:val="Bibliography"/>
      </w:pPr>
      <w:r>
        <w:t xml:space="preserve">Angelovska, T., &amp; Roehm, D. (2023). A selective review of event-related potential investigations in second and third language acquisition of syntax.</w:t>
      </w:r>
      <w:r>
        <w:t xml:space="preserve"> </w:t>
      </w:r>
      <w:r>
        <w:rPr>
          <w:i/>
          <w:iCs/>
        </w:rPr>
        <w:t xml:space="preserve">Languages</w:t>
      </w:r>
      <w:r>
        <w:t xml:space="preserve">,</w:t>
      </w:r>
      <w:r>
        <w:t xml:space="preserve"> </w:t>
      </w:r>
      <w:r>
        <w:rPr>
          <w:i/>
          <w:iCs/>
        </w:rPr>
        <w:t xml:space="preserve">8</w:t>
      </w:r>
      <w:r>
        <w:t xml:space="preserve">(1), 90.</w:t>
      </w:r>
      <w:r>
        <w:t xml:space="preserve"> </w:t>
      </w:r>
      <w:hyperlink r:id="rId151">
        <w:r>
          <w:rPr>
            <w:rStyle w:val="Hyperlink"/>
          </w:rPr>
          <w:t xml:space="preserve">https://doi.org/10.3390/languages8010090</w:t>
        </w:r>
      </w:hyperlink>
    </w:p>
    <w:bookmarkEnd w:id="152"/>
    <w:bookmarkStart w:id="154" w:name="ref-aurnhammer2023"/>
    <w:p>
      <w:pPr>
        <w:pStyle w:val="Bibliography"/>
      </w:pPr>
      <w:r>
        <w:t xml:space="preserve">Aurnhammer, C., Delogu, F., Brouwer, H., &amp; Crocker, M. W. (2023). The</w:t>
      </w:r>
      <w:r>
        <w:t xml:space="preserve"> </w:t>
      </w:r>
      <w:r>
        <w:t xml:space="preserve">P600</w:t>
      </w:r>
      <w:r>
        <w:t xml:space="preserve"> </w:t>
      </w:r>
      <w:r>
        <w:t xml:space="preserve">as a continuous index of integration effort.</w:t>
      </w:r>
      <w:r>
        <w:t xml:space="preserve"> </w:t>
      </w:r>
      <w:r>
        <w:rPr>
          <w:i/>
          <w:iCs/>
        </w:rPr>
        <w:t xml:space="preserve">Psychophysiology</w:t>
      </w:r>
      <w:r>
        <w:t xml:space="preserve">,</w:t>
      </w:r>
      <w:r>
        <w:t xml:space="preserve"> </w:t>
      </w:r>
      <w:r>
        <w:rPr>
          <w:i/>
          <w:iCs/>
        </w:rPr>
        <w:t xml:space="preserve">60</w:t>
      </w:r>
      <w:r>
        <w:t xml:space="preserve">(9), e14302.</w:t>
      </w:r>
      <w:r>
        <w:t xml:space="preserve"> </w:t>
      </w:r>
      <w:hyperlink r:id="rId153">
        <w:r>
          <w:rPr>
            <w:rStyle w:val="Hyperlink"/>
          </w:rPr>
          <w:t xml:space="preserve">https://doi.org/10.1111/psyp.14302</w:t>
        </w:r>
      </w:hyperlink>
    </w:p>
    <w:bookmarkEnd w:id="154"/>
    <w:bookmarkStart w:id="156" w:name="ref-baayen2008"/>
    <w:p>
      <w:pPr>
        <w:pStyle w:val="Bibliography"/>
      </w:pPr>
      <w:r>
        <w:t xml:space="preserve">Baayen, R. H., Davidson, D. J., &amp; Bates, D. M. (2008). Mixed-effects modeling with crossed random effects for subjects and items.</w:t>
      </w:r>
      <w:r>
        <w:t xml:space="preserve"> </w:t>
      </w:r>
      <w:r>
        <w:rPr>
          <w:i/>
          <w:iCs/>
        </w:rPr>
        <w:t xml:space="preserve">Journal of Memory and Language</w:t>
      </w:r>
      <w:r>
        <w:t xml:space="preserve">,</w:t>
      </w:r>
      <w:r>
        <w:t xml:space="preserve"> </w:t>
      </w:r>
      <w:r>
        <w:rPr>
          <w:i/>
          <w:iCs/>
        </w:rPr>
        <w:t xml:space="preserve">59</w:t>
      </w:r>
      <w:r>
        <w:t xml:space="preserve">(4), 390–412.</w:t>
      </w:r>
      <w:r>
        <w:t xml:space="preserve"> </w:t>
      </w:r>
      <w:hyperlink r:id="rId155">
        <w:r>
          <w:rPr>
            <w:rStyle w:val="Hyperlink"/>
          </w:rPr>
          <w:t xml:space="preserve">https://doi.org/10.1016/j.jml.2007.12.005</w:t>
        </w:r>
      </w:hyperlink>
    </w:p>
    <w:bookmarkEnd w:id="156"/>
    <w:bookmarkStart w:id="158" w:name="ref-bakker2015"/>
    <w:p>
      <w:pPr>
        <w:pStyle w:val="Bibliography"/>
      </w:pPr>
      <w:r>
        <w:t xml:space="preserve">Bakker, I., Takashima, A., Hell, J. G. van, Janzen, G., &amp; McQueen, J. M. (2015). Tracking lexical consolidation with</w:t>
      </w:r>
      <w:r>
        <w:t xml:space="preserve"> </w:t>
      </w:r>
      <w:r>
        <w:t xml:space="preserve">ERPs</w:t>
      </w:r>
      <w:r>
        <w:t xml:space="preserve">: Lexical and semantic-priming effects on</w:t>
      </w:r>
      <w:r>
        <w:t xml:space="preserve"> </w:t>
      </w:r>
      <w:r>
        <w:t xml:space="preserve">N400</w:t>
      </w:r>
      <w:r>
        <w:t xml:space="preserve"> </w:t>
      </w:r>
      <w:r>
        <w:t xml:space="preserve">and</w:t>
      </w:r>
      <w:r>
        <w:t xml:space="preserve"> </w:t>
      </w:r>
      <w:r>
        <w:t xml:space="preserve">LPC</w:t>
      </w:r>
      <w:r>
        <w:t xml:space="preserve"> </w:t>
      </w:r>
      <w:r>
        <w:t xml:space="preserve">responses to newly-learned words.</w:t>
      </w:r>
      <w:r>
        <w:t xml:space="preserve"> </w:t>
      </w:r>
      <w:r>
        <w:rPr>
          <w:i/>
          <w:iCs/>
        </w:rPr>
        <w:t xml:space="preserve">Neuropsychologia</w:t>
      </w:r>
      <w:r>
        <w:t xml:space="preserve">,</w:t>
      </w:r>
      <w:r>
        <w:t xml:space="preserve"> </w:t>
      </w:r>
      <w:r>
        <w:rPr>
          <w:i/>
          <w:iCs/>
        </w:rPr>
        <w:t xml:space="preserve">79</w:t>
      </w:r>
      <w:r>
        <w:t xml:space="preserve">, 33–41.</w:t>
      </w:r>
      <w:r>
        <w:t xml:space="preserve"> </w:t>
      </w:r>
      <w:hyperlink r:id="rId157">
        <w:r>
          <w:rPr>
            <w:rStyle w:val="Hyperlink"/>
          </w:rPr>
          <w:t xml:space="preserve">https://doi.org/10.1016/j.neuropsychologia.2015.10.020</w:t>
        </w:r>
      </w:hyperlink>
    </w:p>
    <w:bookmarkEnd w:id="158"/>
    <w:bookmarkStart w:id="160" w:name="ref-bardel2007"/>
    <w:p>
      <w:pPr>
        <w:pStyle w:val="Bibliography"/>
      </w:pPr>
      <w:r>
        <w:t xml:space="preserve">Bardel, C., &amp; Falk, Y. (2007). The role of the second language in third language acquisition: The case of</w:t>
      </w:r>
      <w:r>
        <w:t xml:space="preserve"> </w:t>
      </w:r>
      <w:r>
        <w:t xml:space="preserve">German</w:t>
      </w:r>
      <w:r>
        <w:t xml:space="preserve">ic</w:t>
      </w:r>
      <w:r>
        <w:t xml:space="preserve"> </w:t>
      </w:r>
      <w:r>
        <w:t xml:space="preserve">syntax.</w:t>
      </w:r>
      <w:r>
        <w:t xml:space="preserve"> </w:t>
      </w:r>
      <w:r>
        <w:rPr>
          <w:i/>
          <w:iCs/>
        </w:rPr>
        <w:t xml:space="preserve">Second Language Research</w:t>
      </w:r>
      <w:r>
        <w:t xml:space="preserve">,</w:t>
      </w:r>
      <w:r>
        <w:t xml:space="preserve"> </w:t>
      </w:r>
      <w:r>
        <w:rPr>
          <w:i/>
          <w:iCs/>
        </w:rPr>
        <w:t xml:space="preserve">23</w:t>
      </w:r>
      <w:r>
        <w:t xml:space="preserve">(4), 459–484.</w:t>
      </w:r>
      <w:r>
        <w:t xml:space="preserve"> </w:t>
      </w:r>
      <w:hyperlink r:id="rId159">
        <w:r>
          <w:rPr>
            <w:rStyle w:val="Hyperlink"/>
          </w:rPr>
          <w:t xml:space="preserve">https://doi.org/10.1177/0267658307080557</w:t>
        </w:r>
      </w:hyperlink>
    </w:p>
    <w:bookmarkEnd w:id="160"/>
    <w:bookmarkStart w:id="162" w:name="ref-barr2013"/>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161">
        <w:r>
          <w:rPr>
            <w:rStyle w:val="Hyperlink"/>
          </w:rPr>
          <w:t xml:space="preserve">https://doi.org/10.1016/j.jml.2012.11.001</w:t>
        </w:r>
      </w:hyperlink>
    </w:p>
    <w:bookmarkEnd w:id="162"/>
    <w:bookmarkStart w:id="164" w:name="ref-depictr"/>
    <w:p>
      <w:pPr>
        <w:pStyle w:val="Bibliography"/>
      </w:pPr>
      <w:r>
        <w:t xml:space="preserve">Bernabeu, P. (2026a).</w:t>
      </w:r>
      <w:r>
        <w:t xml:space="preserve"> </w:t>
      </w:r>
      <w:r>
        <w:rPr>
          <w:i/>
          <w:iCs/>
        </w:rPr>
        <w:t xml:space="preserve">depictr</w:t>
      </w:r>
      <w:r>
        <w:rPr>
          <w:i/>
          <w:iCs/>
        </w:rPr>
        <w:t xml:space="preserve">: A unified toolkit for visualising statistical models and data</w:t>
      </w:r>
      <w:r>
        <w:t xml:space="preserve"> </w:t>
      </w:r>
      <w:r>
        <w:t xml:space="preserve">(Version 0.2.2) [Computer software]. Zenodo.</w:t>
      </w:r>
      <w:r>
        <w:t xml:space="preserve"> </w:t>
      </w:r>
      <w:hyperlink r:id="rId163">
        <w:r>
          <w:rPr>
            <w:rStyle w:val="Hyperlink"/>
          </w:rPr>
          <w:t xml:space="preserve">https://doi.org/10.5281/zenodo.21266308</w:t>
        </w:r>
      </w:hyperlink>
    </w:p>
    <w:bookmarkEnd w:id="164"/>
    <w:bookmarkStart w:id="166" w:name="ref-scopusflow"/>
    <w:p>
      <w:pPr>
        <w:pStyle w:val="Bibliography"/>
      </w:pPr>
      <w:r>
        <w:t xml:space="preserve">Bernabeu, P. (2026b).</w:t>
      </w:r>
      <w:r>
        <w:t xml:space="preserve"> </w:t>
      </w:r>
      <w:r>
        <w:rPr>
          <w:i/>
          <w:iCs/>
        </w:rPr>
        <w:t xml:space="preserve">scopusflow</w:t>
      </w:r>
      <w:r>
        <w:rPr>
          <w:i/>
          <w:iCs/>
        </w:rPr>
        <w:t xml:space="preserve">: A reproducible workflow layer for ’</w:t>
      </w:r>
      <w:r>
        <w:rPr>
          <w:i/>
          <w:iCs/>
        </w:rPr>
        <w:t xml:space="preserve">Scopus</w:t>
      </w:r>
      <w:r>
        <w:rPr>
          <w:i/>
          <w:iCs/>
        </w:rPr>
        <w:t xml:space="preserve">’ bibliographic searches</w:t>
      </w:r>
      <w:r>
        <w:t xml:space="preserve">. Zenodo.</w:t>
      </w:r>
      <w:r>
        <w:t xml:space="preserve"> </w:t>
      </w:r>
      <w:hyperlink r:id="rId165">
        <w:r>
          <w:rPr>
            <w:rStyle w:val="Hyperlink"/>
          </w:rPr>
          <w:t xml:space="preserve">https://doi.org/10.5281/zenodo.21252669</w:t>
        </w:r>
      </w:hyperlink>
    </w:p>
    <w:bookmarkEnd w:id="166"/>
    <w:bookmarkStart w:id="167" w:name="ref-lesspredictors2026"/>
    <w:p>
      <w:pPr>
        <w:pStyle w:val="Bibliography"/>
      </w:pPr>
      <w:r>
        <w:t xml:space="preserve">Bernabeu, P., Athanasiadi, C., Pischinger, S. L., Silva, G., Hoang, M. N. G., DeLuca, V. F., Rothman, J., Ivanova, I., Poch, C., &amp; González Alonso, J. (2026).</w:t>
      </w:r>
      <w:r>
        <w:t xml:space="preserve"> </w:t>
      </w:r>
      <w:r>
        <w:rPr>
          <w:i/>
          <w:iCs/>
        </w:rPr>
        <w:t xml:space="preserve">Cognitive and resting-state</w:t>
      </w:r>
      <w:r>
        <w:rPr>
          <w:i/>
          <w:iCs/>
        </w:rPr>
        <w:t xml:space="preserve"> </w:t>
      </w:r>
      <w:r>
        <w:rPr>
          <w:i/>
          <w:iCs/>
        </w:rPr>
        <w:t xml:space="preserve">EEG</w:t>
      </w:r>
      <w:r>
        <w:rPr>
          <w:i/>
          <w:iCs/>
        </w:rPr>
        <w:t xml:space="preserve"> </w:t>
      </w:r>
      <w:r>
        <w:rPr>
          <w:i/>
          <w:iCs/>
        </w:rPr>
        <w:t xml:space="preserve">predictors of intensive multilingual learning, and change in executive function across training: A</w:t>
      </w:r>
      <w:r>
        <w:rPr>
          <w:i/>
          <w:iCs/>
        </w:rPr>
        <w:t xml:space="preserve"> </w:t>
      </w:r>
      <w:r>
        <w:rPr>
          <w:i/>
          <w:iCs/>
        </w:rPr>
        <w:t xml:space="preserve">Bayesian</w:t>
      </w:r>
      <w:r>
        <w:rPr>
          <w:i/>
          <w:iCs/>
        </w:rPr>
        <w:t xml:space="preserve"> </w:t>
      </w:r>
      <w:r>
        <w:rPr>
          <w:i/>
          <w:iCs/>
        </w:rPr>
        <w:t xml:space="preserve">multilevel study</w:t>
      </w:r>
      <w:r>
        <w:t xml:space="preserve"> </w:t>
      </w:r>
      <w:r>
        <w:t xml:space="preserve">[Manuscript submitted for publication].</w:t>
      </w:r>
    </w:p>
    <w:bookmarkEnd w:id="167"/>
    <w:bookmarkStart w:id="169" w:name="ref-brauer2018"/>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168">
        <w:r>
          <w:rPr>
            <w:rStyle w:val="Hyperlink"/>
          </w:rPr>
          <w:t xml:space="preserve">https://doi.org/10.1037/met0000159</w:t>
        </w:r>
      </w:hyperlink>
    </w:p>
    <w:bookmarkEnd w:id="169"/>
    <w:bookmarkStart w:id="171"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70">
        <w:r>
          <w:rPr>
            <w:rStyle w:val="Hyperlink"/>
          </w:rPr>
          <w:t xml:space="preserve">https://doi.org/10.18637/jss.v080.i01</w:t>
        </w:r>
      </w:hyperlink>
    </w:p>
    <w:bookmarkEnd w:id="171"/>
    <w:bookmarkStart w:id="173" w:name="ref-burkner2018"/>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72">
        <w:r>
          <w:rPr>
            <w:rStyle w:val="Hyperlink"/>
          </w:rPr>
          <w:t xml:space="preserve">https://doi.org/10.32614/RJ-2018-017</w:t>
        </w:r>
      </w:hyperlink>
    </w:p>
    <w:bookmarkEnd w:id="173"/>
    <w:bookmarkStart w:id="175" w:name="ref-caffarra2019"/>
    <w:p>
      <w:pPr>
        <w:pStyle w:val="Bibliography"/>
      </w:pPr>
      <w:r>
        <w:t xml:space="preserve">Caffarra, S., Mendoza, M., &amp; Davidson, D. (2019). Is the</w:t>
      </w:r>
      <w:r>
        <w:t xml:space="preserve"> </w:t>
      </w:r>
      <w:r>
        <w:t xml:space="preserve">LAN</w:t>
      </w:r>
      <w:r>
        <w:t xml:space="preserve"> </w:t>
      </w:r>
      <w:r>
        <w:t xml:space="preserve">effect in morphosyntactic processing an</w:t>
      </w:r>
      <w:r>
        <w:t xml:space="preserve"> </w:t>
      </w:r>
      <w:r>
        <w:t xml:space="preserve">ERP</w:t>
      </w:r>
      <w:r>
        <w:t xml:space="preserve"> </w:t>
      </w:r>
      <w:r>
        <w:t xml:space="preserve">artifact?</w:t>
      </w:r>
      <w:r>
        <w:t xml:space="preserve"> </w:t>
      </w:r>
      <w:r>
        <w:rPr>
          <w:i/>
          <w:iCs/>
        </w:rPr>
        <w:t xml:space="preserve">Brain and Language</w:t>
      </w:r>
      <w:r>
        <w:t xml:space="preserve">,</w:t>
      </w:r>
      <w:r>
        <w:t xml:space="preserve"> </w:t>
      </w:r>
      <w:r>
        <w:rPr>
          <w:i/>
          <w:iCs/>
        </w:rPr>
        <w:t xml:space="preserve">191</w:t>
      </w:r>
      <w:r>
        <w:t xml:space="preserve">, 9–16.</w:t>
      </w:r>
      <w:r>
        <w:t xml:space="preserve"> </w:t>
      </w:r>
      <w:hyperlink r:id="rId174">
        <w:r>
          <w:rPr>
            <w:rStyle w:val="Hyperlink"/>
          </w:rPr>
          <w:t xml:space="preserve">https://doi.org/10.1016/j.bandl.2019.01.003</w:t>
        </w:r>
      </w:hyperlink>
    </w:p>
    <w:bookmarkEnd w:id="175"/>
    <w:bookmarkStart w:id="177" w:name="ref-caffarra2015"/>
    <w:p>
      <w:pPr>
        <w:pStyle w:val="Bibliography"/>
      </w:pPr>
      <w:r>
        <w:t xml:space="preserve">Caffarra, S., Molinaro, N., Davidson, D., &amp; Carreiras, M. (2015). Second language syntactic processing revealed through event-related potentials: An empirical review.</w:t>
      </w:r>
      <w:r>
        <w:t xml:space="preserve"> </w:t>
      </w:r>
      <w:r>
        <w:rPr>
          <w:i/>
          <w:iCs/>
        </w:rPr>
        <w:t xml:space="preserve">Neuroscience &amp; Biobehavioral Reviews</w:t>
      </w:r>
      <w:r>
        <w:t xml:space="preserve">,</w:t>
      </w:r>
      <w:r>
        <w:t xml:space="preserve"> </w:t>
      </w:r>
      <w:r>
        <w:rPr>
          <w:i/>
          <w:iCs/>
        </w:rPr>
        <w:t xml:space="preserve">51</w:t>
      </w:r>
      <w:r>
        <w:t xml:space="preserve">, 31–47.</w:t>
      </w:r>
      <w:r>
        <w:t xml:space="preserve"> </w:t>
      </w:r>
      <w:hyperlink r:id="rId176">
        <w:r>
          <w:rPr>
            <w:rStyle w:val="Hyperlink"/>
          </w:rPr>
          <w:t xml:space="preserve">https://doi.org/10.1016/j.neubiorev.2015.01.010</w:t>
        </w:r>
      </w:hyperlink>
    </w:p>
    <w:bookmarkEnd w:id="177"/>
    <w:bookmarkStart w:id="179" w:name="ref-carpenter2017"/>
    <w:p>
      <w:pPr>
        <w:pStyle w:val="Bibliography"/>
      </w:pPr>
      <w:r>
        <w:t xml:space="preserve">Carpenter, B., Gelman, A., Hoffman, M. D., Lee, D., Goodrich, B., Betancourt, M., Brubaker, M., Guo, J., Li, P., &amp; Riddell, A. (2017).</w:t>
      </w:r>
      <w:r>
        <w:t xml:space="preserve"> </w:t>
      </w:r>
      <w:r>
        <w:t xml:space="preserve">Stan</w:t>
      </w:r>
      <w:r>
        <w:t xml:space="preserve">: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78">
        <w:r>
          <w:rPr>
            <w:rStyle w:val="Hyperlink"/>
          </w:rPr>
          <w:t xml:space="preserve">https://doi.org/10.18637/jss.v076.i01</w:t>
        </w:r>
      </w:hyperlink>
    </w:p>
    <w:bookmarkEnd w:id="179"/>
    <w:bookmarkStart w:id="181" w:name="ref-carrasco2024"/>
    <w:p>
      <w:pPr>
        <w:pStyle w:val="Bibliography"/>
      </w:pPr>
      <w:r>
        <w:t xml:space="preserve">Carrasco, C. D., Bahle, B., Simmons, A. M., &amp; Luck, S. J. (2024). Using multivariate pattern analysis to increase effect sizes for event-related potential analyses.</w:t>
      </w:r>
      <w:r>
        <w:t xml:space="preserve"> </w:t>
      </w:r>
      <w:r>
        <w:rPr>
          <w:i/>
          <w:iCs/>
        </w:rPr>
        <w:t xml:space="preserve">Psychophysiology</w:t>
      </w:r>
      <w:r>
        <w:t xml:space="preserve">,</w:t>
      </w:r>
      <w:r>
        <w:t xml:space="preserve"> </w:t>
      </w:r>
      <w:r>
        <w:rPr>
          <w:i/>
          <w:iCs/>
        </w:rPr>
        <w:t xml:space="preserve">61</w:t>
      </w:r>
      <w:r>
        <w:t xml:space="preserve">(7), e14570.</w:t>
      </w:r>
      <w:r>
        <w:t xml:space="preserve"> </w:t>
      </w:r>
      <w:hyperlink r:id="rId180">
        <w:r>
          <w:rPr>
            <w:rStyle w:val="Hyperlink"/>
          </w:rPr>
          <w:t xml:space="preserve">https://doi.org/10.1111/psyp.14570</w:t>
        </w:r>
      </w:hyperlink>
    </w:p>
    <w:bookmarkEnd w:id="181"/>
    <w:bookmarkStart w:id="183" w:name="ref-castle2026"/>
    <w:p>
      <w:pPr>
        <w:pStyle w:val="Bibliography"/>
      </w:pPr>
      <w:r>
        <w:t xml:space="preserve">Castle, C. M., Jensen, I. N., Mitrofanova, N., &amp; Westergaard, M. (2026). Investigating crosslinguistic influence (</w:t>
      </w:r>
      <w:r>
        <w:t xml:space="preserve">CLI</w:t>
      </w:r>
      <w:r>
        <w:t xml:space="preserve">) in</w:t>
      </w:r>
      <w:r>
        <w:t xml:space="preserve"> </w:t>
      </w:r>
      <w:r>
        <w:t xml:space="preserve">L3</w:t>
      </w:r>
      <w:r>
        <w:t xml:space="preserve"> </w:t>
      </w:r>
      <w:r>
        <w:t xml:space="preserve">morphosyntax through artificial languages.</w:t>
      </w:r>
      <w:r>
        <w:t xml:space="preserve"> </w:t>
      </w:r>
      <w:r>
        <w:rPr>
          <w:i/>
          <w:iCs/>
        </w:rPr>
        <w:t xml:space="preserve">Second Language Research</w:t>
      </w:r>
      <w:r>
        <w:t xml:space="preserve">,</w:t>
      </w:r>
      <w:r>
        <w:t xml:space="preserve"> </w:t>
      </w:r>
      <w:r>
        <w:rPr>
          <w:i/>
          <w:iCs/>
        </w:rPr>
        <w:t xml:space="preserve">42</w:t>
      </w:r>
      <w:r>
        <w:t xml:space="preserve">(2), 339–364.</w:t>
      </w:r>
      <w:r>
        <w:t xml:space="preserve"> </w:t>
      </w:r>
      <w:hyperlink r:id="rId182">
        <w:r>
          <w:rPr>
            <w:rStyle w:val="Hyperlink"/>
          </w:rPr>
          <w:t xml:space="preserve">https://doi.org/10.1177/02676583251332128</w:t>
        </w:r>
      </w:hyperlink>
    </w:p>
    <w:bookmarkEnd w:id="183"/>
    <w:bookmarkStart w:id="185" w:name="ref-chen2007"/>
    <w:p>
      <w:pPr>
        <w:pStyle w:val="Bibliography"/>
      </w:pPr>
      <w:r>
        <w:t xml:space="preserve">Chen, L., Shu, H., Liu, Y., Zhao, J., &amp; Li, P. (2007).</w:t>
      </w:r>
      <w:r>
        <w:t xml:space="preserve"> </w:t>
      </w:r>
      <w:r>
        <w:t xml:space="preserve">ERP</w:t>
      </w:r>
      <w:r>
        <w:t xml:space="preserve"> </w:t>
      </w:r>
      <w:r>
        <w:t xml:space="preserve">signatures of subject–verb agreement in</w:t>
      </w:r>
      <w:r>
        <w:t xml:space="preserve"> </w:t>
      </w:r>
      <w:r>
        <w:t xml:space="preserve">L2</w:t>
      </w:r>
      <w:r>
        <w:t xml:space="preserve"> </w:t>
      </w:r>
      <w:r>
        <w:t xml:space="preserve">learning.</w:t>
      </w:r>
      <w:r>
        <w:t xml:space="preserve"> </w:t>
      </w:r>
      <w:r>
        <w:rPr>
          <w:i/>
          <w:iCs/>
        </w:rPr>
        <w:t xml:space="preserve">Bilingualism: Language and Cognition</w:t>
      </w:r>
      <w:r>
        <w:t xml:space="preserve">,</w:t>
      </w:r>
      <w:r>
        <w:t xml:space="preserve"> </w:t>
      </w:r>
      <w:r>
        <w:rPr>
          <w:i/>
          <w:iCs/>
        </w:rPr>
        <w:t xml:space="preserve">10</w:t>
      </w:r>
      <w:r>
        <w:t xml:space="preserve">(2), 161–174.</w:t>
      </w:r>
      <w:r>
        <w:t xml:space="preserve"> </w:t>
      </w:r>
      <w:hyperlink r:id="rId184">
        <w:r>
          <w:rPr>
            <w:rStyle w:val="Hyperlink"/>
          </w:rPr>
          <w:t xml:space="preserve">https://doi.org/10.1017/S136672890700291X</w:t>
        </w:r>
      </w:hyperlink>
    </w:p>
    <w:bookmarkEnd w:id="185"/>
    <w:bookmarkStart w:id="187" w:name="ref-cho2025"/>
    <w:p>
      <w:pPr>
        <w:pStyle w:val="Bibliography"/>
      </w:pPr>
      <w:r>
        <w:t xml:space="preserve">Cho, J., &amp; Brennan, J. R. (2025). Decoding of lexical items and grammatical features in</w:t>
      </w:r>
      <w:r>
        <w:t xml:space="preserve"> </w:t>
      </w:r>
      <w:r>
        <w:t xml:space="preserve">EEG</w:t>
      </w:r>
      <w:r>
        <w:t xml:space="preserve">: A cross-linguistic study.</w:t>
      </w:r>
      <w:r>
        <w:t xml:space="preserve"> </w:t>
      </w:r>
      <w:r>
        <w:rPr>
          <w:i/>
          <w:iCs/>
        </w:rPr>
        <w:t xml:space="preserve">Neuropsychologia</w:t>
      </w:r>
      <w:r>
        <w:t xml:space="preserve">,</w:t>
      </w:r>
      <w:r>
        <w:t xml:space="preserve"> </w:t>
      </w:r>
      <w:r>
        <w:rPr>
          <w:i/>
          <w:iCs/>
        </w:rPr>
        <w:t xml:space="preserve">213</w:t>
      </w:r>
      <w:r>
        <w:t xml:space="preserve">, 109150.</w:t>
      </w:r>
      <w:r>
        <w:t xml:space="preserve"> </w:t>
      </w:r>
      <w:hyperlink r:id="rId186">
        <w:r>
          <w:rPr>
            <w:rStyle w:val="Hyperlink"/>
          </w:rPr>
          <w:t xml:space="preserve">https://doi.org/10.1016/j.neuropsychologia.2025.109150</w:t>
        </w:r>
      </w:hyperlink>
    </w:p>
    <w:bookmarkEnd w:id="187"/>
    <w:bookmarkStart w:id="189" w:name="ref-combrisson2015"/>
    <w:p>
      <w:pPr>
        <w:pStyle w:val="Bibliography"/>
      </w:pPr>
      <w:r>
        <w:t xml:space="preserve">Combrisson, E., &amp; Jerbi, K. (2015). Exceeding chance level by chance: The caveat of theoretical chance levels in brain signal classification and statistical assessment of decoding accuracy.</w:t>
      </w:r>
      <w:r>
        <w:t xml:space="preserve"> </w:t>
      </w:r>
      <w:r>
        <w:rPr>
          <w:i/>
          <w:iCs/>
        </w:rPr>
        <w:t xml:space="preserve">Journal of Neuroscience Methods</w:t>
      </w:r>
      <w:r>
        <w:t xml:space="preserve">,</w:t>
      </w:r>
      <w:r>
        <w:t xml:space="preserve"> </w:t>
      </w:r>
      <w:r>
        <w:rPr>
          <w:i/>
          <w:iCs/>
        </w:rPr>
        <w:t xml:space="preserve">250</w:t>
      </w:r>
      <w:r>
        <w:t xml:space="preserve">, 126–136.</w:t>
      </w:r>
      <w:r>
        <w:t xml:space="preserve"> </w:t>
      </w:r>
      <w:hyperlink r:id="rId188">
        <w:r>
          <w:rPr>
            <w:rStyle w:val="Hyperlink"/>
          </w:rPr>
          <w:t xml:space="preserve">https://doi.org/10.1016/j.jneumeth.2015.01.010</w:t>
        </w:r>
      </w:hyperlink>
    </w:p>
    <w:bookmarkEnd w:id="189"/>
    <w:bookmarkStart w:id="191" w:name="ref-davidson2009"/>
    <w:p>
      <w:pPr>
        <w:pStyle w:val="Bibliography"/>
      </w:pPr>
      <w:r>
        <w:t xml:space="preserve">Davidson, D. J., &amp; Indefrey, P. (2009). An event-related potential study on changes of violation and error responses during morphosyntactic learning.</w:t>
      </w:r>
      <w:r>
        <w:t xml:space="preserve"> </w:t>
      </w:r>
      <w:r>
        <w:rPr>
          <w:i/>
          <w:iCs/>
        </w:rPr>
        <w:t xml:space="preserve">Journal of Cognitive Neuroscience</w:t>
      </w:r>
      <w:r>
        <w:t xml:space="preserve">,</w:t>
      </w:r>
      <w:r>
        <w:t xml:space="preserve"> </w:t>
      </w:r>
      <w:r>
        <w:rPr>
          <w:i/>
          <w:iCs/>
        </w:rPr>
        <w:t xml:space="preserve">21</w:t>
      </w:r>
      <w:r>
        <w:t xml:space="preserve">(3), 433–446.</w:t>
      </w:r>
      <w:r>
        <w:t xml:space="preserve"> </w:t>
      </w:r>
      <w:hyperlink r:id="rId190">
        <w:r>
          <w:rPr>
            <w:rStyle w:val="Hyperlink"/>
          </w:rPr>
          <w:t xml:space="preserve">https://doi.org/10.1162/jocn.2008.21031</w:t>
        </w:r>
      </w:hyperlink>
    </w:p>
    <w:bookmarkEnd w:id="191"/>
    <w:bookmarkStart w:id="193" w:name="ref-davis2009"/>
    <w:p>
      <w:pPr>
        <w:pStyle w:val="Bibliography"/>
      </w:pPr>
      <w:r>
        <w:t xml:space="preserve">Davis, M. H., &amp; Gaskell, M. G. (2009). A complementary systems account of word learning: Neural and behavioural evidence.</w:t>
      </w:r>
      <w:r>
        <w:t xml:space="preserve"> </w:t>
      </w:r>
      <w:r>
        <w:rPr>
          <w:i/>
          <w:iCs/>
        </w:rPr>
        <w:t xml:space="preserve">Philosophical Transactions of the Royal Society B: Biological Sciences</w:t>
      </w:r>
      <w:r>
        <w:t xml:space="preserve">,</w:t>
      </w:r>
      <w:r>
        <w:t xml:space="preserve"> </w:t>
      </w:r>
      <w:r>
        <w:rPr>
          <w:i/>
          <w:iCs/>
        </w:rPr>
        <w:t xml:space="preserve">364</w:t>
      </w:r>
      <w:r>
        <w:t xml:space="preserve">(1536), 3773–3800.</w:t>
      </w:r>
      <w:r>
        <w:t xml:space="preserve"> </w:t>
      </w:r>
      <w:hyperlink r:id="rId192">
        <w:r>
          <w:rPr>
            <w:rStyle w:val="Hyperlink"/>
          </w:rPr>
          <w:t xml:space="preserve">https://doi.org/10.1098/rstb.2009.0111</w:t>
        </w:r>
      </w:hyperlink>
    </w:p>
    <w:bookmarkEnd w:id="193"/>
    <w:bookmarkStart w:id="195" w:name="ref-davis2014"/>
    <w:p>
      <w:pPr>
        <w:pStyle w:val="Bibliography"/>
      </w:pPr>
      <w:r>
        <w:t xml:space="preserve">Davis, T., LaRocque, K. F., Mumford, J. A., Norman, K. A., Wagner, A. D., &amp; Poldrack, R. A. (2014). What do differences between multi-voxel and univariate analysis mean? How subject-, voxel-, and trial-level variance impact</w:t>
      </w:r>
      <w:r>
        <w:t xml:space="preserve"> </w:t>
      </w:r>
      <w:r>
        <w:t xml:space="preserve">fMRI</w:t>
      </w:r>
      <w:r>
        <w:t xml:space="preserve"> </w:t>
      </w:r>
      <w:r>
        <w:t xml:space="preserve">analysis.</w:t>
      </w:r>
      <w:r>
        <w:t xml:space="preserve"> </w:t>
      </w:r>
      <w:r>
        <w:rPr>
          <w:i/>
          <w:iCs/>
        </w:rPr>
        <w:t xml:space="preserve">NeuroImage</w:t>
      </w:r>
      <w:r>
        <w:t xml:space="preserve">,</w:t>
      </w:r>
      <w:r>
        <w:t xml:space="preserve"> </w:t>
      </w:r>
      <w:r>
        <w:rPr>
          <w:i/>
          <w:iCs/>
        </w:rPr>
        <w:t xml:space="preserve">97</w:t>
      </w:r>
      <w:r>
        <w:t xml:space="preserve">, 271–283.</w:t>
      </w:r>
      <w:r>
        <w:t xml:space="preserve"> </w:t>
      </w:r>
      <w:hyperlink r:id="rId194">
        <w:r>
          <w:rPr>
            <w:rStyle w:val="Hyperlink"/>
          </w:rPr>
          <w:t xml:space="preserve">https://doi.org/10.1016/j.neuroimage.2014.04.037</w:t>
        </w:r>
      </w:hyperlink>
    </w:p>
    <w:bookmarkEnd w:id="195"/>
    <w:bookmarkStart w:id="197" w:name="ref-depaoli2017"/>
    <w:p>
      <w:pPr>
        <w:pStyle w:val="Bibliography"/>
      </w:pPr>
      <w:r>
        <w:t xml:space="preserve">Depaoli, S., &amp; van de Schoot, R. (2017). Improving transparency and replication in</w:t>
      </w:r>
      <w:r>
        <w:t xml:space="preserve"> </w:t>
      </w:r>
      <w:r>
        <w:t xml:space="preserve">Bayesian</w:t>
      </w:r>
      <w:r>
        <w:t xml:space="preserve"> </w:t>
      </w:r>
      <w:r>
        <w:t xml:space="preserve">statistics: The</w:t>
      </w:r>
      <w:r>
        <w:t xml:space="preserve"> </w:t>
      </w:r>
      <w:r>
        <w:t xml:space="preserve">WAMBS</w:t>
      </w:r>
      <w:r>
        <w:t xml:space="preserve">-checklist.</w:t>
      </w:r>
      <w:r>
        <w:t xml:space="preserve"> </w:t>
      </w:r>
      <w:r>
        <w:rPr>
          <w:i/>
          <w:iCs/>
        </w:rPr>
        <w:t xml:space="preserve">Psychological Methods</w:t>
      </w:r>
      <w:r>
        <w:t xml:space="preserve">,</w:t>
      </w:r>
      <w:r>
        <w:t xml:space="preserve"> </w:t>
      </w:r>
      <w:r>
        <w:rPr>
          <w:i/>
          <w:iCs/>
        </w:rPr>
        <w:t xml:space="preserve">22</w:t>
      </w:r>
      <w:r>
        <w:t xml:space="preserve">(2), 240–261.</w:t>
      </w:r>
      <w:r>
        <w:t xml:space="preserve"> </w:t>
      </w:r>
      <w:hyperlink r:id="rId196">
        <w:r>
          <w:rPr>
            <w:rStyle w:val="Hyperlink"/>
          </w:rPr>
          <w:t xml:space="preserve">https://doi.org/10.1037/met0000065</w:t>
        </w:r>
      </w:hyperlink>
    </w:p>
    <w:bookmarkEnd w:id="197"/>
    <w:bookmarkStart w:id="199" w:name="ref-dixon2008"/>
    <w:p>
      <w:pPr>
        <w:pStyle w:val="Bibliography"/>
      </w:pPr>
      <w:r>
        <w:t xml:space="preserve">Dixon, P. (2008). Models of accuracy in repeated-measures designs.</w:t>
      </w:r>
      <w:r>
        <w:t xml:space="preserve"> </w:t>
      </w:r>
      <w:r>
        <w:rPr>
          <w:i/>
          <w:iCs/>
        </w:rPr>
        <w:t xml:space="preserve">Journal of Memory and Language</w:t>
      </w:r>
      <w:r>
        <w:t xml:space="preserve">,</w:t>
      </w:r>
      <w:r>
        <w:t xml:space="preserve"> </w:t>
      </w:r>
      <w:r>
        <w:rPr>
          <w:i/>
          <w:iCs/>
        </w:rPr>
        <w:t xml:space="preserve">59</w:t>
      </w:r>
      <w:r>
        <w:t xml:space="preserve">(4), 447–456.</w:t>
      </w:r>
      <w:r>
        <w:t xml:space="preserve"> </w:t>
      </w:r>
      <w:hyperlink r:id="rId198">
        <w:r>
          <w:rPr>
            <w:rStyle w:val="Hyperlink"/>
          </w:rPr>
          <w:t xml:space="preserve">https://doi.org/10.1016/j.jml.2007.11.004</w:t>
        </w:r>
      </w:hyperlink>
    </w:p>
    <w:bookmarkEnd w:id="199"/>
    <w:bookmarkStart w:id="201" w:name="ref-dudai2015"/>
    <w:p>
      <w:pPr>
        <w:pStyle w:val="Bibliography"/>
      </w:pPr>
      <w:r>
        <w:t xml:space="preserve">Dudai, Y., Karni, A., &amp; Born, J. (2015). The consolidation and transformation of memory.</w:t>
      </w:r>
      <w:r>
        <w:t xml:space="preserve"> </w:t>
      </w:r>
      <w:r>
        <w:rPr>
          <w:i/>
          <w:iCs/>
        </w:rPr>
        <w:t xml:space="preserve">Neuron</w:t>
      </w:r>
      <w:r>
        <w:t xml:space="preserve">,</w:t>
      </w:r>
      <w:r>
        <w:t xml:space="preserve"> </w:t>
      </w:r>
      <w:r>
        <w:rPr>
          <w:i/>
          <w:iCs/>
        </w:rPr>
        <w:t xml:space="preserve">88</w:t>
      </w:r>
      <w:r>
        <w:t xml:space="preserve">(1), 20–32.</w:t>
      </w:r>
      <w:r>
        <w:t xml:space="preserve"> </w:t>
      </w:r>
      <w:hyperlink r:id="rId200">
        <w:r>
          <w:rPr>
            <w:rStyle w:val="Hyperlink"/>
          </w:rPr>
          <w:t xml:space="preserve">https://doi.org/10.1016/j.neuron.2015.09.004</w:t>
        </w:r>
      </w:hyperlink>
    </w:p>
    <w:bookmarkEnd w:id="201"/>
    <w:bookmarkStart w:id="203" w:name="ref-falk2011"/>
    <w:p>
      <w:pPr>
        <w:pStyle w:val="Bibliography"/>
      </w:pPr>
      <w:r>
        <w:t xml:space="preserve">Falk, Y., &amp; Bardel, C. (2011). Object pronouns in</w:t>
      </w:r>
      <w:r>
        <w:t xml:space="preserve"> </w:t>
      </w:r>
      <w:r>
        <w:t xml:space="preserve">German</w:t>
      </w:r>
      <w:r>
        <w:t xml:space="preserve"> </w:t>
      </w:r>
      <w:r>
        <w:t xml:space="preserve">L3</w:t>
      </w:r>
      <w:r>
        <w:t xml:space="preserve"> </w:t>
      </w:r>
      <w:r>
        <w:t xml:space="preserve">syntax: Evidence for the</w:t>
      </w:r>
      <w:r>
        <w:t xml:space="preserve"> </w:t>
      </w:r>
      <w:r>
        <w:t xml:space="preserve">L2</w:t>
      </w:r>
      <w:r>
        <w:t xml:space="preserve"> </w:t>
      </w:r>
      <w:r>
        <w:t xml:space="preserve">status factor.</w:t>
      </w:r>
      <w:r>
        <w:t xml:space="preserve"> </w:t>
      </w:r>
      <w:r>
        <w:rPr>
          <w:i/>
          <w:iCs/>
        </w:rPr>
        <w:t xml:space="preserve">Second Language Research</w:t>
      </w:r>
      <w:r>
        <w:t xml:space="preserve">,</w:t>
      </w:r>
      <w:r>
        <w:t xml:space="preserve"> </w:t>
      </w:r>
      <w:r>
        <w:rPr>
          <w:i/>
          <w:iCs/>
        </w:rPr>
        <w:t xml:space="preserve">27</w:t>
      </w:r>
      <w:r>
        <w:t xml:space="preserve">(1), 59–82.</w:t>
      </w:r>
      <w:r>
        <w:t xml:space="preserve"> </w:t>
      </w:r>
      <w:hyperlink r:id="rId202">
        <w:r>
          <w:rPr>
            <w:rStyle w:val="Hyperlink"/>
          </w:rPr>
          <w:t xml:space="preserve">https://doi.org/10.1177/0267658310386647</w:t>
        </w:r>
      </w:hyperlink>
    </w:p>
    <w:bookmarkEnd w:id="203"/>
    <w:bookmarkStart w:id="205" w:name="ref-faust1999"/>
    <w:p>
      <w:pPr>
        <w:pStyle w:val="Bibliography"/>
      </w:pPr>
      <w:r>
        <w:t xml:space="preserve">Faust, M. E., Balota, D. A., Spieler, D. H., &amp; Ferraro, F. R. (1999). Individual differences in information-processing rate and amount: Implications for group differences in response latency.</w:t>
      </w:r>
      <w:r>
        <w:t xml:space="preserve"> </w:t>
      </w:r>
      <w:r>
        <w:rPr>
          <w:i/>
          <w:iCs/>
        </w:rPr>
        <w:t xml:space="preserve">Psychological Bulletin</w:t>
      </w:r>
      <w:r>
        <w:t xml:space="preserve">,</w:t>
      </w:r>
      <w:r>
        <w:t xml:space="preserve"> </w:t>
      </w:r>
      <w:r>
        <w:rPr>
          <w:i/>
          <w:iCs/>
        </w:rPr>
        <w:t xml:space="preserve">125</w:t>
      </w:r>
      <w:r>
        <w:t xml:space="preserve">(6), 777–799.</w:t>
      </w:r>
      <w:r>
        <w:t xml:space="preserve"> </w:t>
      </w:r>
      <w:hyperlink r:id="rId204">
        <w:r>
          <w:rPr>
            <w:rStyle w:val="Hyperlink"/>
          </w:rPr>
          <w:t xml:space="preserve">https://doi.org/10.1037/0033-2909.125.6.777</w:t>
        </w:r>
      </w:hyperlink>
    </w:p>
    <w:bookmarkEnd w:id="205"/>
    <w:bookmarkStart w:id="207" w:name="ref-flynn2004"/>
    <w:p>
      <w:pPr>
        <w:pStyle w:val="Bibliography"/>
      </w:pPr>
      <w:r>
        <w:t xml:space="preserve">Flynn, S., Foley, C., &amp; Vinnitskaya, I. (2004). The cumulative-enhancement model for language acquisition: Comparing adults’ and children’s patterns of development in first, second and third language acquisition of relative clauses.</w:t>
      </w:r>
      <w:r>
        <w:t xml:space="preserve"> </w:t>
      </w:r>
      <w:r>
        <w:rPr>
          <w:i/>
          <w:iCs/>
        </w:rPr>
        <w:t xml:space="preserve">International Journal of Multilingualism</w:t>
      </w:r>
      <w:r>
        <w:t xml:space="preserve">,</w:t>
      </w:r>
      <w:r>
        <w:t xml:space="preserve"> </w:t>
      </w:r>
      <w:r>
        <w:rPr>
          <w:i/>
          <w:iCs/>
        </w:rPr>
        <w:t xml:space="preserve">1</w:t>
      </w:r>
      <w:r>
        <w:t xml:space="preserve">(1), 3–16.</w:t>
      </w:r>
      <w:r>
        <w:t xml:space="preserve"> </w:t>
      </w:r>
      <w:hyperlink r:id="rId206">
        <w:r>
          <w:rPr>
            <w:rStyle w:val="Hyperlink"/>
          </w:rPr>
          <w:t xml:space="preserve">https://doi.org/10.1080/14790710408668175</w:t>
        </w:r>
      </w:hyperlink>
    </w:p>
    <w:bookmarkEnd w:id="207"/>
    <w:bookmarkStart w:id="209" w:name="ref-friederici2002tics"/>
    <w:p>
      <w:pPr>
        <w:pStyle w:val="Bibliography"/>
      </w:pPr>
      <w:r>
        <w:t xml:space="preserve">Friederici, A. D. (2002). Towards a neural basis of auditory sentence processing.</w:t>
      </w:r>
      <w:r>
        <w:t xml:space="preserve"> </w:t>
      </w:r>
      <w:r>
        <w:rPr>
          <w:i/>
          <w:iCs/>
        </w:rPr>
        <w:t xml:space="preserve">Trends in Cognitive Sciences</w:t>
      </w:r>
      <w:r>
        <w:t xml:space="preserve">,</w:t>
      </w:r>
      <w:r>
        <w:t xml:space="preserve"> </w:t>
      </w:r>
      <w:r>
        <w:rPr>
          <w:i/>
          <w:iCs/>
        </w:rPr>
        <w:t xml:space="preserve">6</w:t>
      </w:r>
      <w:r>
        <w:t xml:space="preserve">(2), 78–84.</w:t>
      </w:r>
      <w:r>
        <w:t xml:space="preserve"> </w:t>
      </w:r>
      <w:hyperlink r:id="rId208">
        <w:r>
          <w:rPr>
            <w:rStyle w:val="Hyperlink"/>
          </w:rPr>
          <w:t xml:space="preserve">https://doi.org/10.1016/S1364-6613(00)01839-8</w:t>
        </w:r>
      </w:hyperlink>
    </w:p>
    <w:bookmarkEnd w:id="209"/>
    <w:bookmarkStart w:id="211" w:name="ref-friederici2002pnas"/>
    <w:p>
      <w:pPr>
        <w:pStyle w:val="Bibliography"/>
      </w:pPr>
      <w:r>
        <w:t xml:space="preserve">Friederici, A. D., Steinhauer, K., &amp; Pfeifer, E. (2002). Brain signatures of artificial language processing: Evidence challenging the critical period hypothesis.</w:t>
      </w:r>
      <w:r>
        <w:t xml:space="preserve"> </w:t>
      </w:r>
      <w:r>
        <w:rPr>
          <w:i/>
          <w:iCs/>
        </w:rPr>
        <w:t xml:space="preserve">Proceedings of the National Academy of Sciences</w:t>
      </w:r>
      <w:r>
        <w:t xml:space="preserve">,</w:t>
      </w:r>
      <w:r>
        <w:t xml:space="preserve"> </w:t>
      </w:r>
      <w:r>
        <w:rPr>
          <w:i/>
          <w:iCs/>
        </w:rPr>
        <w:t xml:space="preserve">99</w:t>
      </w:r>
      <w:r>
        <w:t xml:space="preserve">(1), 529–534.</w:t>
      </w:r>
      <w:r>
        <w:t xml:space="preserve"> </w:t>
      </w:r>
      <w:hyperlink r:id="rId210">
        <w:r>
          <w:rPr>
            <w:rStyle w:val="Hyperlink"/>
          </w:rPr>
          <w:t xml:space="preserve">https://doi.org/10.1073/pnas.012611199</w:t>
        </w:r>
      </w:hyperlink>
    </w:p>
    <w:bookmarkEnd w:id="211"/>
    <w:bookmarkStart w:id="213" w:name="ref-frisch2001"/>
    <w:p>
      <w:pPr>
        <w:pStyle w:val="Bibliography"/>
      </w:pPr>
      <w:r>
        <w:t xml:space="preserve">Frisch, S., &amp; Schlesewsky, M. (2001). The</w:t>
      </w:r>
      <w:r>
        <w:t xml:space="preserve"> </w:t>
      </w:r>
      <w:r>
        <w:t xml:space="preserve">N400</w:t>
      </w:r>
      <w:r>
        <w:t xml:space="preserve"> </w:t>
      </w:r>
      <w:r>
        <w:t xml:space="preserve">reflects problems of thematic hierarchizing.</w:t>
      </w:r>
      <w:r>
        <w:t xml:space="preserve"> </w:t>
      </w:r>
      <w:r>
        <w:rPr>
          <w:i/>
          <w:iCs/>
        </w:rPr>
        <w:t xml:space="preserve">NeuroReport</w:t>
      </w:r>
      <w:r>
        <w:t xml:space="preserve">,</w:t>
      </w:r>
      <w:r>
        <w:t xml:space="preserve"> </w:t>
      </w:r>
      <w:r>
        <w:rPr>
          <w:i/>
          <w:iCs/>
        </w:rPr>
        <w:t xml:space="preserve">12</w:t>
      </w:r>
      <w:r>
        <w:t xml:space="preserve">(15), 3391–3394.</w:t>
      </w:r>
      <w:r>
        <w:t xml:space="preserve"> </w:t>
      </w:r>
      <w:hyperlink r:id="rId212">
        <w:r>
          <w:rPr>
            <w:rStyle w:val="Hyperlink"/>
          </w:rPr>
          <w:t xml:space="preserve">https://doi.org/10.1097/00001756-200110290-00048</w:t>
        </w:r>
      </w:hyperlink>
    </w:p>
    <w:bookmarkEnd w:id="213"/>
    <w:bookmarkStart w:id="215" w:name="ref-gabry2019"/>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214">
        <w:r>
          <w:rPr>
            <w:rStyle w:val="Hyperlink"/>
          </w:rPr>
          <w:t xml:space="preserve">https://doi.org/10.1111/rssa.12378</w:t>
        </w:r>
      </w:hyperlink>
    </w:p>
    <w:bookmarkEnd w:id="215"/>
    <w:bookmarkStart w:id="217" w:name="ref-gelman2006"/>
    <w:p>
      <w:pPr>
        <w:pStyle w:val="Bibliography"/>
      </w:pPr>
      <w:r>
        <w:t xml:space="preserve">Gelman, A. (2006). Prior distributions for variance parameters in hierarchical models (comment on article by</w:t>
      </w:r>
      <w:r>
        <w:t xml:space="preserve"> </w:t>
      </w:r>
      <w:r>
        <w:t xml:space="preserve">B</w:t>
      </w:r>
      <w:r>
        <w:t xml:space="preserve">rowne and</w:t>
      </w:r>
      <w:r>
        <w:t xml:space="preserve"> </w:t>
      </w:r>
      <w:r>
        <w:t xml:space="preserve">D</w:t>
      </w:r>
      <w:r>
        <w:t xml:space="preserve">raper).</w:t>
      </w:r>
      <w:r>
        <w:t xml:space="preserve"> </w:t>
      </w:r>
      <w:r>
        <w:rPr>
          <w:i/>
          <w:iCs/>
        </w:rPr>
        <w:t xml:space="preserve">Bayesian Analysis</w:t>
      </w:r>
      <w:r>
        <w:t xml:space="preserve">,</w:t>
      </w:r>
      <w:r>
        <w:t xml:space="preserve"> </w:t>
      </w:r>
      <w:r>
        <w:rPr>
          <w:i/>
          <w:iCs/>
        </w:rPr>
        <w:t xml:space="preserve">1</w:t>
      </w:r>
      <w:r>
        <w:t xml:space="preserve">(3), 515–534.</w:t>
      </w:r>
      <w:r>
        <w:t xml:space="preserve"> </w:t>
      </w:r>
      <w:hyperlink r:id="rId216">
        <w:r>
          <w:rPr>
            <w:rStyle w:val="Hyperlink"/>
          </w:rPr>
          <w:t xml:space="preserve">https://doi.org/10.1214/06-BA117A</w:t>
        </w:r>
      </w:hyperlink>
    </w:p>
    <w:bookmarkEnd w:id="217"/>
    <w:bookmarkStart w:id="219" w:name="ref-gelmancarlin2014"/>
    <w:p>
      <w:pPr>
        <w:pStyle w:val="Bibliography"/>
      </w:pPr>
      <w:r>
        <w:t xml:space="preserve">Gelman, A., &amp; Carlin, J. (2014). Beyond power calculations: Assessing</w:t>
      </w:r>
      <w:r>
        <w:t xml:space="preserve"> </w:t>
      </w:r>
      <w:r>
        <w:t xml:space="preserve">Type S</w:t>
      </w:r>
      <w:r>
        <w:t xml:space="preserve"> </w:t>
      </w:r>
      <w:r>
        <w:t xml:space="preserve">(sign) and</w:t>
      </w:r>
      <w:r>
        <w:t xml:space="preserve"> </w:t>
      </w:r>
      <w:r>
        <w:t xml:space="preserve">Type M</w:t>
      </w:r>
      <w:r>
        <w:t xml:space="preserve"> </w:t>
      </w:r>
      <w:r>
        <w:t xml:space="preserve">(magnitude) errors.</w:t>
      </w:r>
      <w:r>
        <w:t xml:space="preserve"> </w:t>
      </w:r>
      <w:r>
        <w:rPr>
          <w:i/>
          <w:iCs/>
        </w:rPr>
        <w:t xml:space="preserve">Perspectives on Psychological Science</w:t>
      </w:r>
      <w:r>
        <w:t xml:space="preserve">,</w:t>
      </w:r>
      <w:r>
        <w:t xml:space="preserve"> </w:t>
      </w:r>
      <w:r>
        <w:rPr>
          <w:i/>
          <w:iCs/>
        </w:rPr>
        <w:t xml:space="preserve">9</w:t>
      </w:r>
      <w:r>
        <w:t xml:space="preserve">(6), 641–651.</w:t>
      </w:r>
      <w:r>
        <w:t xml:space="preserve"> </w:t>
      </w:r>
      <w:hyperlink r:id="rId218">
        <w:r>
          <w:rPr>
            <w:rStyle w:val="Hyperlink"/>
          </w:rPr>
          <w:t xml:space="preserve">https://doi.org/10.1177/1745691614551642</w:t>
        </w:r>
      </w:hyperlink>
    </w:p>
    <w:bookmarkEnd w:id="219"/>
    <w:bookmarkStart w:id="221" w:name="ref-gelmanhillyajima2012"/>
    <w:p>
      <w:pPr>
        <w:pStyle w:val="Bibliography"/>
      </w:pPr>
      <w:r>
        <w:t xml:space="preserve">Gelman, A., Hill, J., &amp; Yajima, M. (2012). Why we (usually) don’t have to worry about multiple comparisons.</w:t>
      </w:r>
      <w:r>
        <w:t xml:space="preserve"> </w:t>
      </w:r>
      <w:r>
        <w:rPr>
          <w:i/>
          <w:iCs/>
        </w:rPr>
        <w:t xml:space="preserve">Journal of Research on Educational Effectiveness</w:t>
      </w:r>
      <w:r>
        <w:t xml:space="preserve">,</w:t>
      </w:r>
      <w:r>
        <w:t xml:space="preserve"> </w:t>
      </w:r>
      <w:r>
        <w:rPr>
          <w:i/>
          <w:iCs/>
        </w:rPr>
        <w:t xml:space="preserve">5</w:t>
      </w:r>
      <w:r>
        <w:t xml:space="preserve">(2), 189–211.</w:t>
      </w:r>
      <w:r>
        <w:t xml:space="preserve"> </w:t>
      </w:r>
      <w:hyperlink r:id="rId220">
        <w:r>
          <w:rPr>
            <w:rStyle w:val="Hyperlink"/>
          </w:rPr>
          <w:t xml:space="preserve">https://doi.org/10.1080/19345747.2011.618213</w:t>
        </w:r>
      </w:hyperlink>
    </w:p>
    <w:bookmarkEnd w:id="221"/>
    <w:bookmarkStart w:id="223" w:name="ref-gelman2008"/>
    <w:p>
      <w:pPr>
        <w:pStyle w:val="Bibliography"/>
      </w:pPr>
      <w:r>
        <w:t xml:space="preserve">Gelman, A., Jakulin, A., Pittau, M. G., &amp; Su, Y.-S. (2008). A weakly informative default prior distribution for logistic and other regression models.</w:t>
      </w:r>
      <w:r>
        <w:t xml:space="preserve"> </w:t>
      </w:r>
      <w:r>
        <w:rPr>
          <w:i/>
          <w:iCs/>
        </w:rPr>
        <w:t xml:space="preserve">The Annals of Applied Statistics</w:t>
      </w:r>
      <w:r>
        <w:t xml:space="preserve">,</w:t>
      </w:r>
      <w:r>
        <w:t xml:space="preserve"> </w:t>
      </w:r>
      <w:r>
        <w:rPr>
          <w:i/>
          <w:iCs/>
        </w:rPr>
        <w:t xml:space="preserve">2</w:t>
      </w:r>
      <w:r>
        <w:t xml:space="preserve">(4), 1360–1383.</w:t>
      </w:r>
      <w:r>
        <w:t xml:space="preserve"> </w:t>
      </w:r>
      <w:hyperlink r:id="rId222">
        <w:r>
          <w:rPr>
            <w:rStyle w:val="Hyperlink"/>
          </w:rPr>
          <w:t xml:space="preserve">https://doi.org/10.1214/08-AOAS191</w:t>
        </w:r>
      </w:hyperlink>
    </w:p>
    <w:bookmarkEnd w:id="223"/>
    <w:bookmarkStart w:id="225" w:name="ref-gelmanstern2006"/>
    <w:p>
      <w:pPr>
        <w:pStyle w:val="Bibliography"/>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w:t>
      </w:r>
      <w:r>
        <w:t xml:space="preserve">,</w:t>
      </w:r>
      <w:r>
        <w:t xml:space="preserve"> </w:t>
      </w:r>
      <w:r>
        <w:rPr>
          <w:i/>
          <w:iCs/>
        </w:rPr>
        <w:t xml:space="preserve">60</w:t>
      </w:r>
      <w:r>
        <w:t xml:space="preserve">(4), 328–331.</w:t>
      </w:r>
      <w:r>
        <w:t xml:space="preserve"> </w:t>
      </w:r>
      <w:hyperlink r:id="rId224">
        <w:r>
          <w:rPr>
            <w:rStyle w:val="Hyperlink"/>
          </w:rPr>
          <w:t xml:space="preserve">https://doi.org/10.1198/000313006X152649</w:t>
        </w:r>
      </w:hyperlink>
    </w:p>
    <w:bookmarkEnd w:id="225"/>
    <w:bookmarkStart w:id="227" w:name="ref-gonzalezalonso2020"/>
    <w:p>
      <w:pPr>
        <w:pStyle w:val="Bibliography"/>
      </w:pPr>
      <w:r>
        <w:t xml:space="preserve">González Alonso, J., Alemán Bañón, J., DeLuca, V., Miller, D., Pereira Soares, S. M., Puig-Mayenco, E., Slaats, S., &amp; Rothman, J. (2020). Event related potentials at initial exposure in third language acquisition: Implications from an artificial mini-grammar study.</w:t>
      </w:r>
      <w:r>
        <w:t xml:space="preserve"> </w:t>
      </w:r>
      <w:r>
        <w:rPr>
          <w:i/>
          <w:iCs/>
        </w:rPr>
        <w:t xml:space="preserve">Journal of Neurolinguistics</w:t>
      </w:r>
      <w:r>
        <w:t xml:space="preserve">,</w:t>
      </w:r>
      <w:r>
        <w:t xml:space="preserve"> </w:t>
      </w:r>
      <w:r>
        <w:rPr>
          <w:i/>
          <w:iCs/>
        </w:rPr>
        <w:t xml:space="preserve">56</w:t>
      </w:r>
      <w:r>
        <w:t xml:space="preserve">, 100939.</w:t>
      </w:r>
      <w:r>
        <w:t xml:space="preserve"> </w:t>
      </w:r>
      <w:hyperlink r:id="rId226">
        <w:r>
          <w:rPr>
            <w:rStyle w:val="Hyperlink"/>
          </w:rPr>
          <w:t xml:space="preserve">https://doi.org/10.1016/j.jneuroling.2020.100939</w:t>
        </w:r>
      </w:hyperlink>
    </w:p>
    <w:bookmarkEnd w:id="227"/>
    <w:bookmarkStart w:id="229" w:name="ref-gonzalezalonso2025"/>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228">
        <w:r>
          <w:rPr>
            <w:rStyle w:val="Hyperlink"/>
          </w:rPr>
          <w:t xml:space="preserve">https://doi.org/10.1080/14790718.2024.2415993</w:t>
        </w:r>
      </w:hyperlink>
    </w:p>
    <w:bookmarkEnd w:id="229"/>
    <w:bookmarkStart w:id="231" w:name="ref-gonzalezalonso2021"/>
    <w:p>
      <w:pPr>
        <w:pStyle w:val="Bibliography"/>
      </w:pPr>
      <w:r>
        <w:t xml:space="preserve">González Alonso, J., Puig-Mayenco, E., Fábregas, A., Chaouch-Orozco, A., &amp; Rothman, J. (2021). On the status of transfer in adult third language acquisition of early bilinguals.</w:t>
      </w:r>
      <w:r>
        <w:t xml:space="preserve"> </w:t>
      </w:r>
      <w:r>
        <w:rPr>
          <w:i/>
          <w:iCs/>
        </w:rPr>
        <w:t xml:space="preserve">PLOS ONE</w:t>
      </w:r>
      <w:r>
        <w:t xml:space="preserve">,</w:t>
      </w:r>
      <w:r>
        <w:t xml:space="preserve"> </w:t>
      </w:r>
      <w:r>
        <w:rPr>
          <w:i/>
          <w:iCs/>
        </w:rPr>
        <w:t xml:space="preserve">16</w:t>
      </w:r>
      <w:r>
        <w:t xml:space="preserve">(3), e0247976.</w:t>
      </w:r>
      <w:r>
        <w:t xml:space="preserve"> </w:t>
      </w:r>
      <w:hyperlink r:id="rId230">
        <w:r>
          <w:rPr>
            <w:rStyle w:val="Hyperlink"/>
          </w:rPr>
          <w:t xml:space="preserve">https://doi.org/10.1371/journal.pone.0247976</w:t>
        </w:r>
      </w:hyperlink>
    </w:p>
    <w:bookmarkEnd w:id="231"/>
    <w:bookmarkStart w:id="233" w:name="ref-grey2018"/>
    <w:p>
      <w:pPr>
        <w:pStyle w:val="Bibliography"/>
      </w:pPr>
      <w:r>
        <w:t xml:space="preserve">Grey, S., Sanz, C., Morgan-Short, K., &amp; Ullman, M. T. (2018). Bilingual and monolingual adults learning an additional language:</w:t>
      </w:r>
      <w:r>
        <w:t xml:space="preserve"> </w:t>
      </w:r>
      <w:r>
        <w:t xml:space="preserve">ERPs</w:t>
      </w:r>
      <w:r>
        <w:t xml:space="preserve"> </w:t>
      </w:r>
      <w:r>
        <w:t xml:space="preserve">reveal differences in syntactic processing.</w:t>
      </w:r>
      <w:r>
        <w:t xml:space="preserve"> </w:t>
      </w:r>
      <w:r>
        <w:rPr>
          <w:i/>
          <w:iCs/>
        </w:rPr>
        <w:t xml:space="preserve">Bilingualism: Language and Cognition</w:t>
      </w:r>
      <w:r>
        <w:t xml:space="preserve">,</w:t>
      </w:r>
      <w:r>
        <w:t xml:space="preserve"> </w:t>
      </w:r>
      <w:r>
        <w:rPr>
          <w:i/>
          <w:iCs/>
        </w:rPr>
        <w:t xml:space="preserve">21</w:t>
      </w:r>
      <w:r>
        <w:t xml:space="preserve">(5), 970–994.</w:t>
      </w:r>
      <w:r>
        <w:t xml:space="preserve"> </w:t>
      </w:r>
      <w:hyperlink r:id="rId232">
        <w:r>
          <w:rPr>
            <w:rStyle w:val="Hyperlink"/>
          </w:rPr>
          <w:t xml:space="preserve">https://doi.org/10.1017/S1366728917000426</w:t>
        </w:r>
      </w:hyperlink>
    </w:p>
    <w:bookmarkEnd w:id="233"/>
    <w:bookmarkStart w:id="235" w:name="ref-grootswagers2017"/>
    <w:p>
      <w:pPr>
        <w:pStyle w:val="Bibliography"/>
      </w:pPr>
      <w:r>
        <w:t xml:space="preserve">Grootswagers, T., Wardle, S. G., &amp; Carlson, T. A. (2017). Decoding dynamic brain patterns from evoked responses: A tutorial on multivariate pattern analysis applied to time series neuroimaging data.</w:t>
      </w:r>
      <w:r>
        <w:t xml:space="preserve"> </w:t>
      </w:r>
      <w:r>
        <w:rPr>
          <w:i/>
          <w:iCs/>
        </w:rPr>
        <w:t xml:space="preserve">Journal of Cognitive Neuroscience</w:t>
      </w:r>
      <w:r>
        <w:t xml:space="preserve">,</w:t>
      </w:r>
      <w:r>
        <w:t xml:space="preserve"> </w:t>
      </w:r>
      <w:r>
        <w:rPr>
          <w:i/>
          <w:iCs/>
        </w:rPr>
        <w:t xml:space="preserve">29</w:t>
      </w:r>
      <w:r>
        <w:t xml:space="preserve">(4), 677–697.</w:t>
      </w:r>
      <w:r>
        <w:t xml:space="preserve"> </w:t>
      </w:r>
      <w:hyperlink r:id="rId234">
        <w:r>
          <w:rPr>
            <w:rStyle w:val="Hyperlink"/>
          </w:rPr>
          <w:t xml:space="preserve">https://doi.org/10.1162/jocn_a_01068</w:t>
        </w:r>
      </w:hyperlink>
    </w:p>
    <w:bookmarkEnd w:id="235"/>
    <w:bookmarkStart w:id="237" w:name="ref-haxby2001"/>
    <w:p>
      <w:pPr>
        <w:pStyle w:val="Bibliography"/>
      </w:pPr>
      <w:r>
        <w:t xml:space="preserve">Haxby, J. V., Gobbini, M. I., Furey, M. L., Ishai, A., Schouten, J. L., &amp; Pietrini, P. (2001). Distributed and overlapping representations of faces and objects in ventral temporal cortex.</w:t>
      </w:r>
      <w:r>
        <w:t xml:space="preserve"> </w:t>
      </w:r>
      <w:r>
        <w:rPr>
          <w:i/>
          <w:iCs/>
        </w:rPr>
        <w:t xml:space="preserve">Science</w:t>
      </w:r>
      <w:r>
        <w:t xml:space="preserve">,</w:t>
      </w:r>
      <w:r>
        <w:t xml:space="preserve"> </w:t>
      </w:r>
      <w:r>
        <w:rPr>
          <w:i/>
          <w:iCs/>
        </w:rPr>
        <w:t xml:space="preserve">293</w:t>
      </w:r>
      <w:r>
        <w:t xml:space="preserve">(5539), 2425–2430.</w:t>
      </w:r>
      <w:r>
        <w:t xml:space="preserve"> </w:t>
      </w:r>
      <w:hyperlink r:id="rId236">
        <w:r>
          <w:rPr>
            <w:rStyle w:val="Hyperlink"/>
          </w:rPr>
          <w:t xml:space="preserve">https://doi.org/10.1126/science.1063736</w:t>
        </w:r>
      </w:hyperlink>
    </w:p>
    <w:bookmarkEnd w:id="237"/>
    <w:bookmarkStart w:id="239" w:name="ref-he2024"/>
    <w:p>
      <w:pPr>
        <w:pStyle w:val="Bibliography"/>
      </w:pPr>
      <w:r>
        <w:t xml:space="preserve">He, Y., Sommer, J., Hansen-Schirra, S., &amp; Nagels, A. (2024). Multivariate pattern analysis of</w:t>
      </w:r>
      <w:r>
        <w:t xml:space="preserve"> </w:t>
      </w:r>
      <w:r>
        <w:t xml:space="preserve">EEG</w:t>
      </w:r>
      <w:r>
        <w:t xml:space="preserve"> </w:t>
      </w:r>
      <w:r>
        <w:t xml:space="preserve">reveals nuanced impact of negation on sentence processing in the</w:t>
      </w:r>
      <w:r>
        <w:t xml:space="preserve"> </w:t>
      </w:r>
      <w:r>
        <w:t xml:space="preserve">N400</w:t>
      </w:r>
      <w:r>
        <w:t xml:space="preserve"> </w:t>
      </w:r>
      <w:r>
        <w:t xml:space="preserve">and later time windows.</w:t>
      </w:r>
      <w:r>
        <w:t xml:space="preserve"> </w:t>
      </w:r>
      <w:r>
        <w:rPr>
          <w:i/>
          <w:iCs/>
        </w:rPr>
        <w:t xml:space="preserve">Psychophysiology</w:t>
      </w:r>
      <w:r>
        <w:t xml:space="preserve">,</w:t>
      </w:r>
      <w:r>
        <w:t xml:space="preserve"> </w:t>
      </w:r>
      <w:r>
        <w:rPr>
          <w:i/>
          <w:iCs/>
        </w:rPr>
        <w:t xml:space="preserve">61</w:t>
      </w:r>
      <w:r>
        <w:t xml:space="preserve">(4), e14491.</w:t>
      </w:r>
      <w:r>
        <w:t xml:space="preserve"> </w:t>
      </w:r>
      <w:hyperlink r:id="rId238">
        <w:r>
          <w:rPr>
            <w:rStyle w:val="Hyperlink"/>
          </w:rPr>
          <w:t xml:space="preserve">https://doi.org/10.1111/psyp.14491</w:t>
        </w:r>
      </w:hyperlink>
    </w:p>
    <w:bookmarkEnd w:id="239"/>
    <w:bookmarkStart w:id="241" w:name="ref-hebart2018"/>
    <w:p>
      <w:pPr>
        <w:pStyle w:val="Bibliography"/>
      </w:pPr>
      <w:r>
        <w:t xml:space="preserve">Hebart, M. N., &amp; Baker, C. I. (2018). Deconstructing multivariate decoding for the study of brain function.</w:t>
      </w:r>
      <w:r>
        <w:t xml:space="preserve"> </w:t>
      </w:r>
      <w:r>
        <w:rPr>
          <w:i/>
          <w:iCs/>
        </w:rPr>
        <w:t xml:space="preserve">NeuroImage</w:t>
      </w:r>
      <w:r>
        <w:t xml:space="preserve">,</w:t>
      </w:r>
      <w:r>
        <w:t xml:space="preserve"> </w:t>
      </w:r>
      <w:r>
        <w:rPr>
          <w:i/>
          <w:iCs/>
        </w:rPr>
        <w:t xml:space="preserve">180</w:t>
      </w:r>
      <w:r>
        <w:t xml:space="preserve">, 4–18.</w:t>
      </w:r>
      <w:r>
        <w:t xml:space="preserve"> </w:t>
      </w:r>
      <w:hyperlink r:id="rId240">
        <w:r>
          <w:rPr>
            <w:rStyle w:val="Hyperlink"/>
          </w:rPr>
          <w:t xml:space="preserve">https://doi.org/10.1016/j.neuroimage.2017.08.005</w:t>
        </w:r>
      </w:hyperlink>
    </w:p>
    <w:bookmarkEnd w:id="241"/>
    <w:bookmarkStart w:id="243" w:name="ref-jaeger2008"/>
    <w:p>
      <w:pPr>
        <w:pStyle w:val="Bibliography"/>
      </w:pPr>
      <w:r>
        <w:t xml:space="preserve">Jaeger, T. F. (2008). Categorical data analysis: Away from</w:t>
      </w:r>
      <w:r>
        <w:t xml:space="preserve"> </w:t>
      </w:r>
      <w:r>
        <w:t xml:space="preserve">ANOVAs</w:t>
      </w:r>
      <w:r>
        <w:t xml:space="preserve"> </w:t>
      </w:r>
      <w:r>
        <w:t xml:space="preserve">(transformation or not) and towards logit mixed models.</w:t>
      </w:r>
      <w:r>
        <w:t xml:space="preserve"> </w:t>
      </w:r>
      <w:r>
        <w:rPr>
          <w:i/>
          <w:iCs/>
        </w:rPr>
        <w:t xml:space="preserve">Journal of Memory and Language</w:t>
      </w:r>
      <w:r>
        <w:t xml:space="preserve">,</w:t>
      </w:r>
      <w:r>
        <w:t xml:space="preserve"> </w:t>
      </w:r>
      <w:r>
        <w:rPr>
          <w:i/>
          <w:iCs/>
        </w:rPr>
        <w:t xml:space="preserve">59</w:t>
      </w:r>
      <w:r>
        <w:t xml:space="preserve">(4), 434–446.</w:t>
      </w:r>
      <w:r>
        <w:t xml:space="preserve"> </w:t>
      </w:r>
      <w:hyperlink r:id="rId242">
        <w:r>
          <w:rPr>
            <w:rStyle w:val="Hyperlink"/>
          </w:rPr>
          <w:t xml:space="preserve">https://doi.org/10.1016/j.jml.2007.11.007</w:t>
        </w:r>
      </w:hyperlink>
    </w:p>
    <w:bookmarkEnd w:id="243"/>
    <w:bookmarkStart w:id="245" w:name="ref-kaan2003"/>
    <w:p>
      <w:pPr>
        <w:pStyle w:val="Bibliography"/>
      </w:pPr>
      <w:r>
        <w:t xml:space="preserve">Kaan, E., &amp; Swaab, T. Y. (2003). Repair, revision, and complexity in syntactic analysis: An electrophysiological differentiation.</w:t>
      </w:r>
      <w:r>
        <w:t xml:space="preserve"> </w:t>
      </w:r>
      <w:r>
        <w:rPr>
          <w:i/>
          <w:iCs/>
        </w:rPr>
        <w:t xml:space="preserve">Journal of Cognitive Neuroscience</w:t>
      </w:r>
      <w:r>
        <w:t xml:space="preserve">,</w:t>
      </w:r>
      <w:r>
        <w:t xml:space="preserve"> </w:t>
      </w:r>
      <w:r>
        <w:rPr>
          <w:i/>
          <w:iCs/>
        </w:rPr>
        <w:t xml:space="preserve">15</w:t>
      </w:r>
      <w:r>
        <w:t xml:space="preserve">(1), 98–110.</w:t>
      </w:r>
      <w:r>
        <w:t xml:space="preserve"> </w:t>
      </w:r>
      <w:hyperlink r:id="rId244">
        <w:r>
          <w:rPr>
            <w:rStyle w:val="Hyperlink"/>
          </w:rPr>
          <w:t xml:space="preserve">https://doi.org/10.1162/089892903321107855</w:t>
        </w:r>
      </w:hyperlink>
    </w:p>
    <w:bookmarkEnd w:id="245"/>
    <w:bookmarkStart w:id="247" w:name="ref-kaplan2015"/>
    <w:p>
      <w:pPr>
        <w:pStyle w:val="Bibliography"/>
      </w:pPr>
      <w:r>
        <w:t xml:space="preserve">Kaplan, J. T., Man, K., &amp; Greening, S. G. (2015). Multivariate cross-classification: Applying machine learning techniques to characterize abstraction in neural representations.</w:t>
      </w:r>
      <w:r>
        <w:t xml:space="preserve"> </w:t>
      </w:r>
      <w:r>
        <w:rPr>
          <w:i/>
          <w:iCs/>
        </w:rPr>
        <w:t xml:space="preserve">Frontiers in Human Neuroscience</w:t>
      </w:r>
      <w:r>
        <w:t xml:space="preserve">,</w:t>
      </w:r>
      <w:r>
        <w:t xml:space="preserve"> </w:t>
      </w:r>
      <w:r>
        <w:rPr>
          <w:i/>
          <w:iCs/>
        </w:rPr>
        <w:t xml:space="preserve">9</w:t>
      </w:r>
      <w:r>
        <w:t xml:space="preserve">.</w:t>
      </w:r>
      <w:r>
        <w:t xml:space="preserve"> </w:t>
      </w:r>
      <w:hyperlink r:id="rId246">
        <w:r>
          <w:rPr>
            <w:rStyle w:val="Hyperlink"/>
          </w:rPr>
          <w:t xml:space="preserve">https://doi.org/10.3389/fnhum.2015.00151</w:t>
        </w:r>
      </w:hyperlink>
    </w:p>
    <w:bookmarkEnd w:id="247"/>
    <w:bookmarkStart w:id="249" w:name="ref-keysers2020"/>
    <w:p>
      <w:pPr>
        <w:pStyle w:val="Bibliography"/>
      </w:pPr>
      <w:r>
        <w:t xml:space="preserve">Keysers, C., Gazzola, V., &amp; Wagenmakers, E.-J. (2020). Using</w:t>
      </w:r>
      <w:r>
        <w:t xml:space="preserve"> </w:t>
      </w:r>
      <w:r>
        <w:t xml:space="preserve">Bayes</w:t>
      </w:r>
      <w:r>
        <w:t xml:space="preserve"> </w:t>
      </w:r>
      <w:r>
        <w:t xml:space="preserve">factor hypothesis testing in neuroscience to establish evidence of absence.</w:t>
      </w:r>
      <w:r>
        <w:t xml:space="preserve"> </w:t>
      </w:r>
      <w:r>
        <w:rPr>
          <w:i/>
          <w:iCs/>
        </w:rPr>
        <w:t xml:space="preserve">Nature Neuroscience</w:t>
      </w:r>
      <w:r>
        <w:t xml:space="preserve">,</w:t>
      </w:r>
      <w:r>
        <w:t xml:space="preserve"> </w:t>
      </w:r>
      <w:r>
        <w:rPr>
          <w:i/>
          <w:iCs/>
        </w:rPr>
        <w:t xml:space="preserve">23</w:t>
      </w:r>
      <w:r>
        <w:t xml:space="preserve">(7), 788–799.</w:t>
      </w:r>
      <w:r>
        <w:t xml:space="preserve"> </w:t>
      </w:r>
      <w:hyperlink r:id="rId248">
        <w:r>
          <w:rPr>
            <w:rStyle w:val="Hyperlink"/>
          </w:rPr>
          <w:t xml:space="preserve">https://doi.org/10.1038/s41593-020-0660-4</w:t>
        </w:r>
      </w:hyperlink>
    </w:p>
    <w:bookmarkEnd w:id="249"/>
    <w:bookmarkStart w:id="251" w:name="ref-kim2024"/>
    <w:p>
      <w:pPr>
        <w:pStyle w:val="Bibliography"/>
      </w:pPr>
      <w:r>
        <w:t xml:space="preserve">Kim, A. E., McKnight, S. M., &amp; Miyake, A. (2024). How variable are the classic</w:t>
      </w:r>
      <w:r>
        <w:t xml:space="preserve"> </w:t>
      </w:r>
      <w:r>
        <w:t xml:space="preserve">ERP</w:t>
      </w:r>
      <w:r>
        <w:t xml:space="preserve"> </w:t>
      </w:r>
      <w:r>
        <w:t xml:space="preserve">effects during sentence processing? A systematic resampling analysis of the</w:t>
      </w:r>
      <w:r>
        <w:t xml:space="preserve"> </w:t>
      </w:r>
      <w:r>
        <w:t xml:space="preserve">N400</w:t>
      </w:r>
      <w:r>
        <w:t xml:space="preserve"> </w:t>
      </w:r>
      <w:r>
        <w:t xml:space="preserve">and</w:t>
      </w:r>
      <w:r>
        <w:t xml:space="preserve"> </w:t>
      </w:r>
      <w:r>
        <w:t xml:space="preserve">P600</w:t>
      </w:r>
      <w:r>
        <w:t xml:space="preserve"> </w:t>
      </w:r>
      <w:r>
        <w:t xml:space="preserve">effects.</w:t>
      </w:r>
      <w:r>
        <w:t xml:space="preserve"> </w:t>
      </w:r>
      <w:r>
        <w:rPr>
          <w:i/>
          <w:iCs/>
        </w:rPr>
        <w:t xml:space="preserve">Cortex</w:t>
      </w:r>
      <w:r>
        <w:t xml:space="preserve">,</w:t>
      </w:r>
      <w:r>
        <w:t xml:space="preserve"> </w:t>
      </w:r>
      <w:r>
        <w:rPr>
          <w:i/>
          <w:iCs/>
        </w:rPr>
        <w:t xml:space="preserve">177</w:t>
      </w:r>
      <w:r>
        <w:t xml:space="preserve">, 130–149.</w:t>
      </w:r>
      <w:r>
        <w:t xml:space="preserve"> </w:t>
      </w:r>
      <w:hyperlink r:id="rId250">
        <w:r>
          <w:rPr>
            <w:rStyle w:val="Hyperlink"/>
          </w:rPr>
          <w:t xml:space="preserve">https://doi.org/10.1016/j.cortex.2024.05.007</w:t>
        </w:r>
      </w:hyperlink>
    </w:p>
    <w:bookmarkEnd w:id="251"/>
    <w:bookmarkStart w:id="253" w:name="ref-king2014"/>
    <w:p>
      <w:pPr>
        <w:pStyle w:val="Bibliography"/>
      </w:pPr>
      <w:r>
        <w:t xml:space="preserve">King, J.-R., &amp; Dehaene, S. (2014). Characterizing the dynamics of mental representations: The temporal generalization method.</w:t>
      </w:r>
      <w:r>
        <w:t xml:space="preserve"> </w:t>
      </w:r>
      <w:r>
        <w:rPr>
          <w:i/>
          <w:iCs/>
        </w:rPr>
        <w:t xml:space="preserve">Trends in Cognitive Sciences</w:t>
      </w:r>
      <w:r>
        <w:t xml:space="preserve">,</w:t>
      </w:r>
      <w:r>
        <w:t xml:space="preserve"> </w:t>
      </w:r>
      <w:r>
        <w:rPr>
          <w:i/>
          <w:iCs/>
        </w:rPr>
        <w:t xml:space="preserve">18</w:t>
      </w:r>
      <w:r>
        <w:t xml:space="preserve">(4), 203–210.</w:t>
      </w:r>
      <w:r>
        <w:t xml:space="preserve"> </w:t>
      </w:r>
      <w:hyperlink r:id="rId252">
        <w:r>
          <w:rPr>
            <w:rStyle w:val="Hyperlink"/>
          </w:rPr>
          <w:t xml:space="preserve">https://doi.org/10.1016/j.tics.2014.01.002</w:t>
        </w:r>
      </w:hyperlink>
    </w:p>
    <w:bookmarkEnd w:id="253"/>
    <w:bookmarkStart w:id="255" w:name="ref-kriegeskorte2008rsa"/>
    <w:p>
      <w:pPr>
        <w:pStyle w:val="Bibliography"/>
      </w:pPr>
      <w:r>
        <w:t xml:space="preserve">Kriegeskorte, N., Mur, M., &amp; Bandettini, P. (2008). Representational similarity analysis – connecting the branches of systems neuroscience.</w:t>
      </w:r>
      <w:r>
        <w:t xml:space="preserve"> </w:t>
      </w:r>
      <w:r>
        <w:rPr>
          <w:i/>
          <w:iCs/>
        </w:rPr>
        <w:t xml:space="preserve">Frontiers in Systems Neuroscience</w:t>
      </w:r>
      <w:r>
        <w:t xml:space="preserve">,</w:t>
      </w:r>
      <w:r>
        <w:t xml:space="preserve"> </w:t>
      </w:r>
      <w:r>
        <w:rPr>
          <w:i/>
          <w:iCs/>
        </w:rPr>
        <w:t xml:space="preserve">2</w:t>
      </w:r>
      <w:r>
        <w:t xml:space="preserve">, 4.</w:t>
      </w:r>
      <w:r>
        <w:t xml:space="preserve"> </w:t>
      </w:r>
      <w:hyperlink r:id="rId254">
        <w:r>
          <w:rPr>
            <w:rStyle w:val="Hyperlink"/>
          </w:rPr>
          <w:t xml:space="preserve">https://doi.org/10.3389/neuro.06.004.2008</w:t>
        </w:r>
      </w:hyperlink>
    </w:p>
    <w:bookmarkEnd w:id="255"/>
    <w:bookmarkStart w:id="257" w:name="ref-kriegeskorte2009"/>
    <w:p>
      <w:pPr>
        <w:pStyle w:val="Bibliography"/>
      </w:pPr>
      <w:r>
        <w:t xml:space="preserve">Kriegeskorte, N., Simmons, W. K., Bellgowan, P. S. F., &amp; Baker, C. I. (2009). Circular analysis in systems neuroscience: The dangers of double dipping.</w:t>
      </w:r>
      <w:r>
        <w:t xml:space="preserve"> </w:t>
      </w:r>
      <w:r>
        <w:rPr>
          <w:i/>
          <w:iCs/>
        </w:rPr>
        <w:t xml:space="preserve">Nature Neuroscience</w:t>
      </w:r>
      <w:r>
        <w:t xml:space="preserve">,</w:t>
      </w:r>
      <w:r>
        <w:t xml:space="preserve"> </w:t>
      </w:r>
      <w:r>
        <w:rPr>
          <w:i/>
          <w:iCs/>
        </w:rPr>
        <w:t xml:space="preserve">12</w:t>
      </w:r>
      <w:r>
        <w:t xml:space="preserve">(5), 535–540.</w:t>
      </w:r>
      <w:r>
        <w:t xml:space="preserve"> </w:t>
      </w:r>
      <w:hyperlink r:id="rId256">
        <w:r>
          <w:rPr>
            <w:rStyle w:val="Hyperlink"/>
          </w:rPr>
          <w:t xml:space="preserve">https://doi.org/10.1038/nn.2303</w:t>
        </w:r>
      </w:hyperlink>
    </w:p>
    <w:bookmarkEnd w:id="257"/>
    <w:bookmarkStart w:id="259" w:name="ref-kruschke2021"/>
    <w:p>
      <w:pPr>
        <w:pStyle w:val="Bibliography"/>
      </w:pPr>
      <w:r>
        <w:t xml:space="preserve">Kruschke, J. K. (2021).</w:t>
      </w:r>
      <w:r>
        <w:t xml:space="preserve"> </w:t>
      </w:r>
      <w:r>
        <w:t xml:space="preserve">Bayesian</w:t>
      </w:r>
      <w:r>
        <w:t xml:space="preserve"> </w:t>
      </w:r>
      <w:r>
        <w:t xml:space="preserve">analysis reporting guidelines.</w:t>
      </w:r>
      <w:r>
        <w:t xml:space="preserve"> </w:t>
      </w:r>
      <w:r>
        <w:rPr>
          <w:i/>
          <w:iCs/>
        </w:rPr>
        <w:t xml:space="preserve">Nature Human Behaviour</w:t>
      </w:r>
      <w:r>
        <w:t xml:space="preserve">,</w:t>
      </w:r>
      <w:r>
        <w:t xml:space="preserve"> </w:t>
      </w:r>
      <w:r>
        <w:rPr>
          <w:i/>
          <w:iCs/>
        </w:rPr>
        <w:t xml:space="preserve">5</w:t>
      </w:r>
      <w:r>
        <w:t xml:space="preserve">(10), 1282–1291.</w:t>
      </w:r>
      <w:r>
        <w:t xml:space="preserve"> </w:t>
      </w:r>
      <w:hyperlink r:id="rId258">
        <w:r>
          <w:rPr>
            <w:rStyle w:val="Hyperlink"/>
          </w:rPr>
          <w:t xml:space="preserve">https://doi.org/10.1038/s41562-021-01177-7</w:t>
        </w:r>
      </w:hyperlink>
    </w:p>
    <w:bookmarkEnd w:id="259"/>
    <w:bookmarkStart w:id="261" w:name="ref-kruschke2018"/>
    <w:p>
      <w:pPr>
        <w:pStyle w:val="Bibliography"/>
      </w:pPr>
      <w:r>
        <w:t xml:space="preserve">Kruschke, J. K., &amp; Liddell, T. M. (2018). The</w:t>
      </w:r>
      <w:r>
        <w:t xml:space="preserve"> </w:t>
      </w:r>
      <w:r>
        <w:t xml:space="preserve">Bayesian</w:t>
      </w:r>
      <w:r>
        <w:t xml:space="preserve"> </w:t>
      </w:r>
      <w:r>
        <w:t xml:space="preserve">New</w:t>
      </w:r>
      <w:r>
        <w:t xml:space="preserve"> </w:t>
      </w:r>
      <w:r>
        <w:t xml:space="preserve">Statistics</w:t>
      </w:r>
      <w:r>
        <w:t xml:space="preserve">: Hypothesis testing, estimation, meta-analysis, and power analysis from a</w:t>
      </w:r>
      <w:r>
        <w:t xml:space="preserve"> </w:t>
      </w:r>
      <w:r>
        <w:t xml:space="preserve">Bayesian</w:t>
      </w:r>
      <w:r>
        <w:t xml:space="preserve"> </w:t>
      </w:r>
      <w:r>
        <w:t xml:space="preserve">perspective.</w:t>
      </w:r>
      <w:r>
        <w:t xml:space="preserve"> </w:t>
      </w:r>
      <w:r>
        <w:rPr>
          <w:i/>
          <w:iCs/>
        </w:rPr>
        <w:t xml:space="preserve">Psychonomic Bulletin &amp; Review</w:t>
      </w:r>
      <w:r>
        <w:t xml:space="preserve">,</w:t>
      </w:r>
      <w:r>
        <w:t xml:space="preserve"> </w:t>
      </w:r>
      <w:r>
        <w:rPr>
          <w:i/>
          <w:iCs/>
        </w:rPr>
        <w:t xml:space="preserve">25</w:t>
      </w:r>
      <w:r>
        <w:t xml:space="preserve">(1), 178–206.</w:t>
      </w:r>
      <w:r>
        <w:t xml:space="preserve"> </w:t>
      </w:r>
      <w:hyperlink r:id="rId260">
        <w:r>
          <w:rPr>
            <w:rStyle w:val="Hyperlink"/>
          </w:rPr>
          <w:t xml:space="preserve">https://doi.org/10.3758/s13423-016-1221-4</w:t>
        </w:r>
      </w:hyperlink>
    </w:p>
    <w:bookmarkEnd w:id="261"/>
    <w:bookmarkStart w:id="263" w:name="ref-lewandowski2009"/>
    <w:p>
      <w:pPr>
        <w:pStyle w:val="Bibliography"/>
      </w:pPr>
      <w:r>
        <w:t xml:space="preserve">Lewandowski, D., Kurowicka, D., &amp; Joe, H. (2009). Generating random correlation matrices based on vines and extended onion method.</w:t>
      </w:r>
      <w:r>
        <w:t xml:space="preserve"> </w:t>
      </w:r>
      <w:r>
        <w:rPr>
          <w:i/>
          <w:iCs/>
        </w:rPr>
        <w:t xml:space="preserve">Journal of Multivariate Analysis</w:t>
      </w:r>
      <w:r>
        <w:t xml:space="preserve">,</w:t>
      </w:r>
      <w:r>
        <w:t xml:space="preserve"> </w:t>
      </w:r>
      <w:r>
        <w:rPr>
          <w:i/>
          <w:iCs/>
        </w:rPr>
        <w:t xml:space="preserve">100</w:t>
      </w:r>
      <w:r>
        <w:t xml:space="preserve">(9), 1989–2001.</w:t>
      </w:r>
      <w:r>
        <w:t xml:space="preserve"> </w:t>
      </w:r>
      <w:hyperlink r:id="rId262">
        <w:r>
          <w:rPr>
            <w:rStyle w:val="Hyperlink"/>
          </w:rPr>
          <w:t xml:space="preserve">https://doi.org/10.1016/j.jmva.2009.04.008</w:t>
        </w:r>
      </w:hyperlink>
    </w:p>
    <w:bookmarkEnd w:id="263"/>
    <w:bookmarkStart w:id="265" w:name="ref-lhq3"/>
    <w:p>
      <w:pPr>
        <w:pStyle w:val="Bibliography"/>
      </w:pPr>
      <w:r>
        <w:t xml:space="preserve">Li, P., Zhang, F., Yu, A., &amp; Zhao, X. (2020).</w:t>
      </w:r>
      <w:r>
        <w:t xml:space="preserve"> </w:t>
      </w:r>
      <w:r>
        <w:t xml:space="preserve">Language History Questionnaire</w:t>
      </w:r>
      <w:r>
        <w:t xml:space="preserve"> </w:t>
      </w:r>
      <w:r>
        <w:t xml:space="preserve">(</w:t>
      </w:r>
      <w:r>
        <w:t xml:space="preserve">LHQ3</w:t>
      </w:r>
      <w:r>
        <w:t xml:space="preserve">): An enhanced tool for assessing multilingual experience.</w:t>
      </w:r>
      <w:r>
        <w:t xml:space="preserve"> </w:t>
      </w:r>
      <w:r>
        <w:rPr>
          <w:i/>
          <w:iCs/>
        </w:rPr>
        <w:t xml:space="preserve">Bilingualism: Language and Cognition</w:t>
      </w:r>
      <w:r>
        <w:t xml:space="preserve">,</w:t>
      </w:r>
      <w:r>
        <w:t xml:space="preserve"> </w:t>
      </w:r>
      <w:r>
        <w:rPr>
          <w:i/>
          <w:iCs/>
        </w:rPr>
        <w:t xml:space="preserve">23</w:t>
      </w:r>
      <w:r>
        <w:t xml:space="preserve">(5), 938–944.</w:t>
      </w:r>
      <w:r>
        <w:t xml:space="preserve"> </w:t>
      </w:r>
      <w:hyperlink r:id="rId264">
        <w:r>
          <w:rPr>
            <w:rStyle w:val="Hyperlink"/>
          </w:rPr>
          <w:t xml:space="preserve">https://doi.org/10.1017/S1366728918001153</w:t>
        </w:r>
      </w:hyperlink>
    </w:p>
    <w:bookmarkEnd w:id="265"/>
    <w:bookmarkStart w:id="267" w:name="ref-loken2017"/>
    <w:p>
      <w:pPr>
        <w:pStyle w:val="Bibliography"/>
      </w:pPr>
      <w:r>
        <w:t xml:space="preserve">Loken, E., &amp; Gelman, A. (2017). Measurement error and the replication crisis.</w:t>
      </w:r>
      <w:r>
        <w:t xml:space="preserve"> </w:t>
      </w:r>
      <w:r>
        <w:rPr>
          <w:i/>
          <w:iCs/>
        </w:rPr>
        <w:t xml:space="preserve">Science</w:t>
      </w:r>
      <w:r>
        <w:t xml:space="preserve">,</w:t>
      </w:r>
      <w:r>
        <w:t xml:space="preserve"> </w:t>
      </w:r>
      <w:r>
        <w:rPr>
          <w:i/>
          <w:iCs/>
        </w:rPr>
        <w:t xml:space="preserve">355</w:t>
      </w:r>
      <w:r>
        <w:t xml:space="preserve">(6325), 584–585.</w:t>
      </w:r>
      <w:r>
        <w:t xml:space="preserve"> </w:t>
      </w:r>
      <w:hyperlink r:id="rId266">
        <w:r>
          <w:rPr>
            <w:rStyle w:val="Hyperlink"/>
          </w:rPr>
          <w:t xml:space="preserve">https://doi.org/10.1126/science.aal3618</w:t>
        </w:r>
      </w:hyperlink>
    </w:p>
    <w:bookmarkEnd w:id="267"/>
    <w:bookmarkStart w:id="269"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268">
        <w:r>
          <w:rPr>
            <w:rStyle w:val="Hyperlink"/>
          </w:rPr>
          <w:t xml:space="preserve">https://doi.org/10.3389/fpsyg.2019.02767</w:t>
        </w:r>
      </w:hyperlink>
    </w:p>
    <w:bookmarkEnd w:id="269"/>
    <w:bookmarkStart w:id="271" w:name="ref-maris2007"/>
    <w:p>
      <w:pPr>
        <w:pStyle w:val="Bibliography"/>
      </w:pPr>
      <w:r>
        <w:t xml:space="preserve">Maris, E., &amp; Oostenveld, R. (2007). Nonparametric statistical testing of</w:t>
      </w:r>
      <w:r>
        <w:t xml:space="preserve"> </w:t>
      </w:r>
      <w:r>
        <w:t xml:space="preserve">EEG</w:t>
      </w:r>
      <w:r>
        <w:t xml:space="preserve">- and</w:t>
      </w:r>
      <w:r>
        <w:t xml:space="preserve"> </w:t>
      </w:r>
      <w:r>
        <w:t xml:space="preserve">MEG</w:t>
      </w:r>
      <w:r>
        <w:t xml:space="preserve">-data.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270">
        <w:r>
          <w:rPr>
            <w:rStyle w:val="Hyperlink"/>
          </w:rPr>
          <w:t xml:space="preserve">https://doi.org/10.1016/j.jneumeth.2007.03.024</w:t>
        </w:r>
      </w:hyperlink>
    </w:p>
    <w:bookmarkEnd w:id="271"/>
    <w:bookmarkStart w:id="273" w:name="ref-marwick2018"/>
    <w:p>
      <w:pPr>
        <w:pStyle w:val="Bibliography"/>
      </w:pPr>
      <w:r>
        <w:t xml:space="preserve">Marwick, B., Boettiger, C., &amp; Mullen, L. (2018). Packaging data analytical work reproducibly using</w:t>
      </w:r>
      <w:r>
        <w:t xml:space="preserve"> </w:t>
      </w:r>
      <w:r>
        <w:t xml:space="preserve">R</w:t>
      </w:r>
      <w:r>
        <w:t xml:space="preserve"> </w:t>
      </w:r>
      <w:r>
        <w:t xml:space="preserve">(and friends).</w:t>
      </w:r>
      <w:r>
        <w:t xml:space="preserve"> </w:t>
      </w:r>
      <w:r>
        <w:rPr>
          <w:i/>
          <w:iCs/>
        </w:rPr>
        <w:t xml:space="preserve">The American Statistician</w:t>
      </w:r>
      <w:r>
        <w:t xml:space="preserve">,</w:t>
      </w:r>
      <w:r>
        <w:t xml:space="preserve"> </w:t>
      </w:r>
      <w:r>
        <w:rPr>
          <w:i/>
          <w:iCs/>
        </w:rPr>
        <w:t xml:space="preserve">72</w:t>
      </w:r>
      <w:r>
        <w:t xml:space="preserve">(1), 80–88.</w:t>
      </w:r>
      <w:r>
        <w:t xml:space="preserve"> </w:t>
      </w:r>
      <w:hyperlink r:id="rId272">
        <w:r>
          <w:rPr>
            <w:rStyle w:val="Hyperlink"/>
          </w:rPr>
          <w:t xml:space="preserve">https://doi.org/10.1080/00031305.2017.1375986</w:t>
        </w:r>
      </w:hyperlink>
    </w:p>
    <w:bookmarkEnd w:id="273"/>
    <w:bookmarkStart w:id="275" w:name="ref-matuschek2017"/>
    <w:p>
      <w:pPr>
        <w:pStyle w:val="Bibliography"/>
      </w:pPr>
      <w:r>
        <w:t xml:space="preserve">Matuschek, H., Kliegl, R., Vasishth, S., Baayen, H., &amp; Bates, D. (2017). Balancing</w:t>
      </w:r>
      <w:r>
        <w:t xml:space="preserve"> </w:t>
      </w:r>
      <w:r>
        <w:t xml:space="preserve">Type</w:t>
      </w:r>
      <w:r>
        <w:t xml:space="preserve"> </w:t>
      </w:r>
      <w:r>
        <w:t xml:space="preserve">I</w:t>
      </w:r>
      <w:r>
        <w:t xml:space="preserve"> </w:t>
      </w:r>
      <w:r>
        <w:t xml:space="preserve">error and power in linear mixed models.</w:t>
      </w:r>
      <w:r>
        <w:t xml:space="preserve"> </w:t>
      </w:r>
      <w:r>
        <w:rPr>
          <w:i/>
          <w:iCs/>
        </w:rPr>
        <w:t xml:space="preserve">Journal of Memory and Language</w:t>
      </w:r>
      <w:r>
        <w:t xml:space="preserve">,</w:t>
      </w:r>
      <w:r>
        <w:t xml:space="preserve"> </w:t>
      </w:r>
      <w:r>
        <w:rPr>
          <w:i/>
          <w:iCs/>
        </w:rPr>
        <w:t xml:space="preserve">94</w:t>
      </w:r>
      <w:r>
        <w:t xml:space="preserve">, 305–315.</w:t>
      </w:r>
      <w:r>
        <w:t xml:space="preserve"> </w:t>
      </w:r>
      <w:hyperlink r:id="rId274">
        <w:r>
          <w:rPr>
            <w:rStyle w:val="Hyperlink"/>
          </w:rPr>
          <w:t xml:space="preserve">https://doi.org/10.1016/j.jml.2017.01.001</w:t>
        </w:r>
      </w:hyperlink>
    </w:p>
    <w:bookmarkEnd w:id="275"/>
    <w:bookmarkStart w:id="277" w:name="ref-mclaughlin2004"/>
    <w:p>
      <w:pPr>
        <w:pStyle w:val="Bibliography"/>
      </w:pPr>
      <w:r>
        <w:t xml:space="preserve">McLaughlin, J., Osterhout, L., &amp; Kim, A. (2004). Neural correlates of second-language word learning: Minimal instruction produces rapid change.</w:t>
      </w:r>
      <w:r>
        <w:t xml:space="preserve"> </w:t>
      </w:r>
      <w:r>
        <w:rPr>
          <w:i/>
          <w:iCs/>
        </w:rPr>
        <w:t xml:space="preserve">Nature Neuroscience</w:t>
      </w:r>
      <w:r>
        <w:t xml:space="preserve">,</w:t>
      </w:r>
      <w:r>
        <w:t xml:space="preserve"> </w:t>
      </w:r>
      <w:r>
        <w:rPr>
          <w:i/>
          <w:iCs/>
        </w:rPr>
        <w:t xml:space="preserve">7</w:t>
      </w:r>
      <w:r>
        <w:t xml:space="preserve">(7), 703–704.</w:t>
      </w:r>
      <w:r>
        <w:t xml:space="preserve"> </w:t>
      </w:r>
      <w:hyperlink r:id="rId276">
        <w:r>
          <w:rPr>
            <w:rStyle w:val="Hyperlink"/>
          </w:rPr>
          <w:t xml:space="preserve">https://doi.org/10.1038/nn1264</w:t>
        </w:r>
      </w:hyperlink>
    </w:p>
    <w:bookmarkEnd w:id="277"/>
    <w:bookmarkStart w:id="279" w:name="ref-mirkovic2016"/>
    <w:p>
      <w:pPr>
        <w:pStyle w:val="Bibliography"/>
      </w:pPr>
      <w:r>
        <w:t xml:space="preserve">Mirković, J., &amp; Gaskell, M. G. (2016). Does sleep improve your grammar? Preferential consolidation of arbitrary components of new linguistic knowledge.</w:t>
      </w:r>
      <w:r>
        <w:t xml:space="preserve"> </w:t>
      </w:r>
      <w:r>
        <w:rPr>
          <w:i/>
          <w:iCs/>
        </w:rPr>
        <w:t xml:space="preserve">PLOS ONE</w:t>
      </w:r>
      <w:r>
        <w:t xml:space="preserve">,</w:t>
      </w:r>
      <w:r>
        <w:t xml:space="preserve"> </w:t>
      </w:r>
      <w:r>
        <w:rPr>
          <w:i/>
          <w:iCs/>
        </w:rPr>
        <w:t xml:space="preserve">11</w:t>
      </w:r>
      <w:r>
        <w:t xml:space="preserve">(4), e0152489.</w:t>
      </w:r>
      <w:r>
        <w:t xml:space="preserve"> </w:t>
      </w:r>
      <w:hyperlink r:id="rId278">
        <w:r>
          <w:rPr>
            <w:rStyle w:val="Hyperlink"/>
          </w:rPr>
          <w:t xml:space="preserve">https://doi.org/10.1371/journal.pone.0152489</w:t>
        </w:r>
      </w:hyperlink>
    </w:p>
    <w:bookmarkEnd w:id="279"/>
    <w:bookmarkStart w:id="281" w:name="ref-mitrofanova2023"/>
    <w:p>
      <w:pPr>
        <w:pStyle w:val="Bibliography"/>
      </w:pPr>
      <w:r>
        <w:t xml:space="preserve">Mitrofanova, N., Leivada, E., &amp; Westergaard, M. (2023). Crosslinguistic influence in</w:t>
      </w:r>
      <w:r>
        <w:t xml:space="preserve"> </w:t>
      </w:r>
      <w:r>
        <w:t xml:space="preserve">L3</w:t>
      </w:r>
      <w:r>
        <w:t xml:space="preserve"> </w:t>
      </w:r>
      <w:r>
        <w:t xml:space="preserve">acquisition: Evidence from artificial language learning.</w:t>
      </w:r>
      <w:r>
        <w:t xml:space="preserve"> </w:t>
      </w:r>
      <w:r>
        <w:rPr>
          <w:i/>
          <w:iCs/>
        </w:rPr>
        <w:t xml:space="preserve">Linguistic Approaches to Bilingualism</w:t>
      </w:r>
      <w:r>
        <w:t xml:space="preserve">,</w:t>
      </w:r>
      <w:r>
        <w:t xml:space="preserve"> </w:t>
      </w:r>
      <w:r>
        <w:rPr>
          <w:i/>
          <w:iCs/>
        </w:rPr>
        <w:t xml:space="preserve">13</w:t>
      </w:r>
      <w:r>
        <w:t xml:space="preserve">(5), 717–742.</w:t>
      </w:r>
      <w:r>
        <w:t xml:space="preserve"> </w:t>
      </w:r>
      <w:hyperlink r:id="rId280">
        <w:r>
          <w:rPr>
            <w:rStyle w:val="Hyperlink"/>
          </w:rPr>
          <w:t xml:space="preserve">https://doi.org/10.1075/lab.22063.mit</w:t>
        </w:r>
      </w:hyperlink>
    </w:p>
    <w:bookmarkEnd w:id="281"/>
    <w:bookmarkStart w:id="283" w:name="ref-morganshort2012plos"/>
    <w:p>
      <w:pPr>
        <w:pStyle w:val="Bibliography"/>
      </w:pPr>
      <w:r>
        <w:t xml:space="preserve">Morgan-Short, K., Finger, I., Grey, S., &amp; Ullman, M. T. (2012). Second language processing shows increased native-like neural responses after months of no exposure.</w:t>
      </w:r>
      <w:r>
        <w:t xml:space="preserve"> </w:t>
      </w:r>
      <w:r>
        <w:rPr>
          <w:i/>
          <w:iCs/>
        </w:rPr>
        <w:t xml:space="preserve">PLoS ONE</w:t>
      </w:r>
      <w:r>
        <w:t xml:space="preserve">,</w:t>
      </w:r>
      <w:r>
        <w:t xml:space="preserve"> </w:t>
      </w:r>
      <w:r>
        <w:rPr>
          <w:i/>
          <w:iCs/>
        </w:rPr>
        <w:t xml:space="preserve">7</w:t>
      </w:r>
      <w:r>
        <w:t xml:space="preserve">(3), e32974.</w:t>
      </w:r>
      <w:r>
        <w:t xml:space="preserve"> </w:t>
      </w:r>
      <w:hyperlink r:id="rId282">
        <w:r>
          <w:rPr>
            <w:rStyle w:val="Hyperlink"/>
          </w:rPr>
          <w:t xml:space="preserve">https://doi.org/10.1371/journal.pone.0032974</w:t>
        </w:r>
      </w:hyperlink>
    </w:p>
    <w:bookmarkEnd w:id="283"/>
    <w:bookmarkStart w:id="285" w:name="ref-morganshort2010"/>
    <w:p>
      <w:pPr>
        <w:pStyle w:val="Bibliography"/>
      </w:pPr>
      <w:r>
        <w:t xml:space="preserve">Morgan-Short, K., Sanz, C., Steinhauer, K., &amp; Ullman, M. T. (2010). Second language acquisition of gender agreement in explicit and implicit training conditions: An event-related potential study.</w:t>
      </w:r>
      <w:r>
        <w:t xml:space="preserve"> </w:t>
      </w:r>
      <w:r>
        <w:rPr>
          <w:i/>
          <w:iCs/>
        </w:rPr>
        <w:t xml:space="preserve">Language Learning</w:t>
      </w:r>
      <w:r>
        <w:t xml:space="preserve">,</w:t>
      </w:r>
      <w:r>
        <w:t xml:space="preserve"> </w:t>
      </w:r>
      <w:r>
        <w:rPr>
          <w:i/>
          <w:iCs/>
        </w:rPr>
        <w:t xml:space="preserve">60</w:t>
      </w:r>
      <w:r>
        <w:t xml:space="preserve">(1), 154–193.</w:t>
      </w:r>
      <w:r>
        <w:t xml:space="preserve"> </w:t>
      </w:r>
      <w:hyperlink r:id="rId284">
        <w:r>
          <w:rPr>
            <w:rStyle w:val="Hyperlink"/>
          </w:rPr>
          <w:t xml:space="preserve">https://doi.org/10.1111/j.1467-9922.2009.00554.x</w:t>
        </w:r>
      </w:hyperlink>
    </w:p>
    <w:bookmarkEnd w:id="285"/>
    <w:bookmarkStart w:id="287" w:name="ref-morganshort2012"/>
    <w:p>
      <w:pPr>
        <w:pStyle w:val="Bibliography"/>
      </w:pPr>
      <w:r>
        <w:t xml:space="preserve">Morgan-Short, K., Steinhauer, K., Sanz, C., &amp; Ullman, M. T. (2012). Explicit and implicit second language training differentially affect the achievement of native-like brain activation patterns.</w:t>
      </w:r>
      <w:r>
        <w:t xml:space="preserve"> </w:t>
      </w:r>
      <w:r>
        <w:rPr>
          <w:i/>
          <w:iCs/>
        </w:rPr>
        <w:t xml:space="preserve">Journal of Cognitive Neuroscience</w:t>
      </w:r>
      <w:r>
        <w:t xml:space="preserve">,</w:t>
      </w:r>
      <w:r>
        <w:t xml:space="preserve"> </w:t>
      </w:r>
      <w:r>
        <w:rPr>
          <w:i/>
          <w:iCs/>
        </w:rPr>
        <w:t xml:space="preserve">24</w:t>
      </w:r>
      <w:r>
        <w:t xml:space="preserve">(4), 933–947.</w:t>
      </w:r>
      <w:r>
        <w:t xml:space="preserve"> </w:t>
      </w:r>
      <w:hyperlink r:id="rId286">
        <w:r>
          <w:rPr>
            <w:rStyle w:val="Hyperlink"/>
          </w:rPr>
          <w:t xml:space="preserve">https://doi.org/10.1162/jocn_a_00119</w:t>
        </w:r>
      </w:hyperlink>
    </w:p>
    <w:bookmarkEnd w:id="287"/>
    <w:bookmarkStart w:id="289" w:name="ref-mueller2005"/>
    <w:p>
      <w:pPr>
        <w:pStyle w:val="Bibliography"/>
      </w:pPr>
      <w:r>
        <w:t xml:space="preserve">Mueller, J. L., Hahne, A., Fujii, Y., &amp; Friederici, A. D. (2005). Native and nonnative speakers’ processing of a miniature version of</w:t>
      </w:r>
      <w:r>
        <w:t xml:space="preserve"> </w:t>
      </w:r>
      <w:r>
        <w:t xml:space="preserve">Japanese</w:t>
      </w:r>
      <w:r>
        <w:t xml:space="preserve"> </w:t>
      </w:r>
      <w:r>
        <w:t xml:space="preserve">as revealed by</w:t>
      </w:r>
      <w:r>
        <w:t xml:space="preserve"> </w:t>
      </w:r>
      <w:r>
        <w:t xml:space="preserve">ERPs</w:t>
      </w:r>
      <w:r>
        <w:t xml:space="preserve">.</w:t>
      </w:r>
      <w:r>
        <w:t xml:space="preserve"> </w:t>
      </w:r>
      <w:r>
        <w:rPr>
          <w:i/>
          <w:iCs/>
        </w:rPr>
        <w:t xml:space="preserve">Journal of Cognitive Neuroscience</w:t>
      </w:r>
      <w:r>
        <w:t xml:space="preserve">,</w:t>
      </w:r>
      <w:r>
        <w:t xml:space="preserve"> </w:t>
      </w:r>
      <w:r>
        <w:rPr>
          <w:i/>
          <w:iCs/>
        </w:rPr>
        <w:t xml:space="preserve">17</w:t>
      </w:r>
      <w:r>
        <w:t xml:space="preserve">(8), 1229–1244.</w:t>
      </w:r>
      <w:r>
        <w:t xml:space="preserve"> </w:t>
      </w:r>
      <w:hyperlink r:id="rId288">
        <w:r>
          <w:rPr>
            <w:rStyle w:val="Hyperlink"/>
          </w:rPr>
          <w:t xml:space="preserve">https://doi.org/10.1162/0898929055002463</w:t>
        </w:r>
      </w:hyperlink>
    </w:p>
    <w:bookmarkEnd w:id="289"/>
    <w:bookmarkStart w:id="291" w:name="ref-mueller2007"/>
    <w:p>
      <w:pPr>
        <w:pStyle w:val="Bibliography"/>
      </w:pPr>
      <w:r>
        <w:t xml:space="preserve">Mueller, J. L., Hirotani, M., &amp; Friederici, A. D. (2007).</w:t>
      </w:r>
      <w:r>
        <w:t xml:space="preserve"> </w:t>
      </w:r>
      <w:r>
        <w:t xml:space="preserve">ERP</w:t>
      </w:r>
      <w:r>
        <w:t xml:space="preserve"> </w:t>
      </w:r>
      <w:r>
        <w:t xml:space="preserve">evidence for different strategies in the processing of case markers in native speakers and non-native learners.</w:t>
      </w:r>
      <w:r>
        <w:t xml:space="preserve"> </w:t>
      </w:r>
      <w:r>
        <w:rPr>
          <w:i/>
          <w:iCs/>
        </w:rPr>
        <w:t xml:space="preserve">BMC Neuroscience</w:t>
      </w:r>
      <w:r>
        <w:t xml:space="preserve">,</w:t>
      </w:r>
      <w:r>
        <w:t xml:space="preserve"> </w:t>
      </w:r>
      <w:r>
        <w:rPr>
          <w:i/>
          <w:iCs/>
        </w:rPr>
        <w:t xml:space="preserve">8</w:t>
      </w:r>
      <w:r>
        <w:t xml:space="preserve">(1), 18.</w:t>
      </w:r>
      <w:r>
        <w:t xml:space="preserve"> </w:t>
      </w:r>
      <w:hyperlink r:id="rId290">
        <w:r>
          <w:rPr>
            <w:rStyle w:val="Hyperlink"/>
          </w:rPr>
          <w:t xml:space="preserve">https://doi.org/10.1186/1471-2202-8-18</w:t>
        </w:r>
      </w:hyperlink>
    </w:p>
    <w:bookmarkEnd w:id="291"/>
    <w:bookmarkStart w:id="293" w:name="ref-mueller2009"/>
    <w:p>
      <w:pPr>
        <w:pStyle w:val="Bibliography"/>
      </w:pPr>
      <w:r>
        <w:t xml:space="preserve">Mueller, J. L., Oberecker, R., &amp; Friederici, A. D. (2009). Syntactic learning by mere exposure: An</w:t>
      </w:r>
      <w:r>
        <w:t xml:space="preserve"> </w:t>
      </w:r>
      <w:r>
        <w:t xml:space="preserve">ERP</w:t>
      </w:r>
      <w:r>
        <w:t xml:space="preserve"> </w:t>
      </w:r>
      <w:r>
        <w:t xml:space="preserve">study in adult learners.</w:t>
      </w:r>
      <w:r>
        <w:t xml:space="preserve"> </w:t>
      </w:r>
      <w:r>
        <w:rPr>
          <w:i/>
          <w:iCs/>
        </w:rPr>
        <w:t xml:space="preserve">BMC Neuroscience</w:t>
      </w:r>
      <w:r>
        <w:t xml:space="preserve">,</w:t>
      </w:r>
      <w:r>
        <w:t xml:space="preserve"> </w:t>
      </w:r>
      <w:r>
        <w:rPr>
          <w:i/>
          <w:iCs/>
        </w:rPr>
        <w:t xml:space="preserve">10</w:t>
      </w:r>
      <w:r>
        <w:t xml:space="preserve">(1), 89.</w:t>
      </w:r>
      <w:r>
        <w:t xml:space="preserve"> </w:t>
      </w:r>
      <w:hyperlink r:id="rId292">
        <w:r>
          <w:rPr>
            <w:rStyle w:val="Hyperlink"/>
          </w:rPr>
          <w:t xml:space="preserve">https://doi.org/10.1186/1471-2202-10-89</w:t>
        </w:r>
      </w:hyperlink>
    </w:p>
    <w:bookmarkEnd w:id="293"/>
    <w:bookmarkStart w:id="295" w:name="ref-nichols2019"/>
    <w:p>
      <w:pPr>
        <w:pStyle w:val="Bibliography"/>
      </w:pPr>
      <w:r>
        <w:t xml:space="preserve">Nichols, E. S., &amp; Joanisse, M. F. (2019). Individual differences predict</w:t>
      </w:r>
      <w:r>
        <w:t xml:space="preserve"> </w:t>
      </w:r>
      <w:r>
        <w:t xml:space="preserve">ERP</w:t>
      </w:r>
      <w:r>
        <w:t xml:space="preserve"> </w:t>
      </w:r>
      <w:r>
        <w:t xml:space="preserve">signatures of second language learning of novel grammatical rules.</w:t>
      </w:r>
      <w:r>
        <w:t xml:space="preserve"> </w:t>
      </w:r>
      <w:r>
        <w:rPr>
          <w:i/>
          <w:iCs/>
        </w:rPr>
        <w:t xml:space="preserve">Bilingualism: Language and Cognition</w:t>
      </w:r>
      <w:r>
        <w:t xml:space="preserve">,</w:t>
      </w:r>
      <w:r>
        <w:t xml:space="preserve"> </w:t>
      </w:r>
      <w:r>
        <w:rPr>
          <w:i/>
          <w:iCs/>
        </w:rPr>
        <w:t xml:space="preserve">22</w:t>
      </w:r>
      <w:r>
        <w:t xml:space="preserve">(1), 78–92.</w:t>
      </w:r>
      <w:r>
        <w:t xml:space="preserve"> </w:t>
      </w:r>
      <w:hyperlink r:id="rId294">
        <w:r>
          <w:rPr>
            <w:rStyle w:val="Hyperlink"/>
          </w:rPr>
          <w:t xml:space="preserve">https://doi.org/10.1017/S1366728917000566</w:t>
        </w:r>
      </w:hyperlink>
    </w:p>
    <w:bookmarkEnd w:id="295"/>
    <w:bookmarkStart w:id="297" w:name="ref-nichols2002"/>
    <w:p>
      <w:pPr>
        <w:pStyle w:val="Bibliography"/>
      </w:pPr>
      <w:r>
        <w:t xml:space="preserve">Nichols, T. E., &amp; Holmes, A. P. (2002). Nonparametric permutation tests for functional neuroimaging: A primer with examples.</w:t>
      </w:r>
      <w:r>
        <w:t xml:space="preserve"> </w:t>
      </w:r>
      <w:r>
        <w:rPr>
          <w:i/>
          <w:iCs/>
        </w:rPr>
        <w:t xml:space="preserve">Human Brain Mapping</w:t>
      </w:r>
      <w:r>
        <w:t xml:space="preserve">,</w:t>
      </w:r>
      <w:r>
        <w:t xml:space="preserve"> </w:t>
      </w:r>
      <w:r>
        <w:rPr>
          <w:i/>
          <w:iCs/>
        </w:rPr>
        <w:t xml:space="preserve">15</w:t>
      </w:r>
      <w:r>
        <w:t xml:space="preserve">(1), 1–25.</w:t>
      </w:r>
      <w:r>
        <w:t xml:space="preserve"> </w:t>
      </w:r>
      <w:hyperlink r:id="rId296">
        <w:r>
          <w:rPr>
            <w:rStyle w:val="Hyperlink"/>
          </w:rPr>
          <w:t xml:space="preserve">https://doi.org/10.1002/hbm.1058</w:t>
        </w:r>
      </w:hyperlink>
    </w:p>
    <w:bookmarkEnd w:id="297"/>
    <w:bookmarkStart w:id="299" w:name="ref-nieuwenhuis2013"/>
    <w:p>
      <w:pPr>
        <w:pStyle w:val="Bibliography"/>
      </w:pPr>
      <w:r>
        <w:t xml:space="preserve">Nieuwenhuis, I. L. C., Folia, V., Forkstam, C., Jensen, O., &amp; Petersson, K. M. (2013). Sleep promotes the extraction of grammatical rules.</w:t>
      </w:r>
      <w:r>
        <w:t xml:space="preserve"> </w:t>
      </w:r>
      <w:r>
        <w:rPr>
          <w:i/>
          <w:iCs/>
        </w:rPr>
        <w:t xml:space="preserve">PLoS ONE</w:t>
      </w:r>
      <w:r>
        <w:t xml:space="preserve">,</w:t>
      </w:r>
      <w:r>
        <w:t xml:space="preserve"> </w:t>
      </w:r>
      <w:r>
        <w:rPr>
          <w:i/>
          <w:iCs/>
        </w:rPr>
        <w:t xml:space="preserve">8</w:t>
      </w:r>
      <w:r>
        <w:t xml:space="preserve">(6), e65046.</w:t>
      </w:r>
      <w:r>
        <w:t xml:space="preserve"> </w:t>
      </w:r>
      <w:hyperlink r:id="rId298">
        <w:r>
          <w:rPr>
            <w:rStyle w:val="Hyperlink"/>
          </w:rPr>
          <w:t xml:space="preserve">https://doi.org/10.1371/journal.pone.0065046</w:t>
        </w:r>
      </w:hyperlink>
    </w:p>
    <w:bookmarkEnd w:id="299"/>
    <w:bookmarkStart w:id="301" w:name="ref-nieuwenhuis2011"/>
    <w:p>
      <w:pPr>
        <w:pStyle w:val="Bibliography"/>
      </w:pPr>
      <w:r>
        <w:t xml:space="preserve">Nieuwenhuis, S., Forstmann, B. U., &amp; Wagenmakers, E.-J. (2011). Erroneous analyses of interactions in neuroscience: A problem of significance.</w:t>
      </w:r>
      <w:r>
        <w:t xml:space="preserve"> </w:t>
      </w:r>
      <w:r>
        <w:rPr>
          <w:i/>
          <w:iCs/>
        </w:rPr>
        <w:t xml:space="preserve">Nature Neuroscience</w:t>
      </w:r>
      <w:r>
        <w:t xml:space="preserve">,</w:t>
      </w:r>
      <w:r>
        <w:t xml:space="preserve"> </w:t>
      </w:r>
      <w:r>
        <w:rPr>
          <w:i/>
          <w:iCs/>
        </w:rPr>
        <w:t xml:space="preserve">14</w:t>
      </w:r>
      <w:r>
        <w:t xml:space="preserve">(9), 1105–1107.</w:t>
      </w:r>
      <w:r>
        <w:t xml:space="preserve"> </w:t>
      </w:r>
      <w:hyperlink r:id="rId300">
        <w:r>
          <w:rPr>
            <w:rStyle w:val="Hyperlink"/>
          </w:rPr>
          <w:t xml:space="preserve">https://doi.org/10.1038/nn.2886</w:t>
        </w:r>
      </w:hyperlink>
    </w:p>
    <w:bookmarkEnd w:id="301"/>
    <w:bookmarkStart w:id="303" w:name="ref-nieuwland2013"/>
    <w:p>
      <w:pPr>
        <w:pStyle w:val="Bibliography"/>
      </w:pPr>
      <w:r>
        <w:t xml:space="preserve">Nieuwland, M. S., Martin, A. E., &amp; Carreiras, M. (2013). Event-related brain potential evidence for animacy processing asymmetries during sentence comprehension.</w:t>
      </w:r>
      <w:r>
        <w:t xml:space="preserve"> </w:t>
      </w:r>
      <w:r>
        <w:rPr>
          <w:i/>
          <w:iCs/>
        </w:rPr>
        <w:t xml:space="preserve">Brain and Language</w:t>
      </w:r>
      <w:r>
        <w:t xml:space="preserve">,</w:t>
      </w:r>
      <w:r>
        <w:t xml:space="preserve"> </w:t>
      </w:r>
      <w:r>
        <w:rPr>
          <w:i/>
          <w:iCs/>
        </w:rPr>
        <w:t xml:space="preserve">126</w:t>
      </w:r>
      <w:r>
        <w:t xml:space="preserve">(2), 151–158.</w:t>
      </w:r>
      <w:r>
        <w:t xml:space="preserve"> </w:t>
      </w:r>
      <w:hyperlink r:id="rId302">
        <w:r>
          <w:rPr>
            <w:rStyle w:val="Hyperlink"/>
          </w:rPr>
          <w:t xml:space="preserve">https://doi.org/10.1016/j.bandl.2013.04.005</w:t>
        </w:r>
      </w:hyperlink>
    </w:p>
    <w:bookmarkEnd w:id="303"/>
    <w:bookmarkStart w:id="305" w:name="ref-nosek2018"/>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304">
        <w:r>
          <w:rPr>
            <w:rStyle w:val="Hyperlink"/>
          </w:rPr>
          <w:t xml:space="preserve">https://doi.org/10.1073/pnas.1708274114</w:t>
        </w:r>
      </w:hyperlink>
    </w:p>
    <w:bookmarkEnd w:id="305"/>
    <w:bookmarkStart w:id="307" w:name="ref-osterhout1992"/>
    <w:p>
      <w:pPr>
        <w:pStyle w:val="Bibliography"/>
      </w:pPr>
      <w:r>
        <w:t xml:space="preserve">Osterhout, L., &amp; Holcomb, P. J. (1992). Event-related brain potentials elicited by syntactic anomaly.</w:t>
      </w:r>
      <w:r>
        <w:t xml:space="preserve"> </w:t>
      </w:r>
      <w:r>
        <w:rPr>
          <w:i/>
          <w:iCs/>
        </w:rPr>
        <w:t xml:space="preserve">Journal of Memory and Language</w:t>
      </w:r>
      <w:r>
        <w:t xml:space="preserve">,</w:t>
      </w:r>
      <w:r>
        <w:t xml:space="preserve"> </w:t>
      </w:r>
      <w:r>
        <w:rPr>
          <w:i/>
          <w:iCs/>
        </w:rPr>
        <w:t xml:space="preserve">31</w:t>
      </w:r>
      <w:r>
        <w:t xml:space="preserve">(6), 785–806.</w:t>
      </w:r>
      <w:r>
        <w:t xml:space="preserve"> </w:t>
      </w:r>
      <w:hyperlink r:id="rId306">
        <w:r>
          <w:rPr>
            <w:rStyle w:val="Hyperlink"/>
          </w:rPr>
          <w:t xml:space="preserve">https://doi.org/10.1016/0749-596X(92)90039-Z</w:t>
        </w:r>
      </w:hyperlink>
    </w:p>
    <w:bookmarkEnd w:id="307"/>
    <w:bookmarkStart w:id="309" w:name="ref-osterhout2006"/>
    <w:p>
      <w:pPr>
        <w:pStyle w:val="Bibliography"/>
      </w:pPr>
      <w:r>
        <w:t xml:space="preserve">Osterhout, L., McLaughlin, J., Pitkänen, I., Frenck-Mestre, C., &amp; Molinaro, N. (2006). Novice learners, longitudinal designs, and event-related potentials: A means for exploring the neurocognition of second language processing.</w:t>
      </w:r>
      <w:r>
        <w:t xml:space="preserve"> </w:t>
      </w:r>
      <w:r>
        <w:rPr>
          <w:i/>
          <w:iCs/>
        </w:rPr>
        <w:t xml:space="preserve">Language Learning</w:t>
      </w:r>
      <w:r>
        <w:t xml:space="preserve">,</w:t>
      </w:r>
      <w:r>
        <w:t xml:space="preserve"> </w:t>
      </w:r>
      <w:r>
        <w:rPr>
          <w:i/>
          <w:iCs/>
        </w:rPr>
        <w:t xml:space="preserve">56</w:t>
      </w:r>
      <w:r>
        <w:t xml:space="preserve">(s1), 199–230.</w:t>
      </w:r>
      <w:r>
        <w:t xml:space="preserve"> </w:t>
      </w:r>
      <w:hyperlink r:id="rId308">
        <w:r>
          <w:rPr>
            <w:rStyle w:val="Hyperlink"/>
          </w:rPr>
          <w:t xml:space="preserve">https://doi.org/10.1111/j.1467-9922.2006.00361.x</w:t>
        </w:r>
      </w:hyperlink>
    </w:p>
    <w:bookmarkEnd w:id="309"/>
    <w:bookmarkStart w:id="311" w:name="ref-peelen2023"/>
    <w:p>
      <w:pPr>
        <w:pStyle w:val="Bibliography"/>
      </w:pPr>
      <w:r>
        <w:t xml:space="preserve">Peelen, M. V., &amp; Downing, P. E. (2023). Testing cognitive theories with multivariate pattern analysis of neuroimaging data.</w:t>
      </w:r>
      <w:r>
        <w:t xml:space="preserve"> </w:t>
      </w:r>
      <w:r>
        <w:rPr>
          <w:i/>
          <w:iCs/>
        </w:rPr>
        <w:t xml:space="preserve">Nature Human Behaviour</w:t>
      </w:r>
      <w:r>
        <w:t xml:space="preserve">,</w:t>
      </w:r>
      <w:r>
        <w:t xml:space="preserve"> </w:t>
      </w:r>
      <w:r>
        <w:rPr>
          <w:i/>
          <w:iCs/>
        </w:rPr>
        <w:t xml:space="preserve">7</w:t>
      </w:r>
      <w:r>
        <w:t xml:space="preserve">(9), 1430–1441.</w:t>
      </w:r>
      <w:r>
        <w:t xml:space="preserve"> </w:t>
      </w:r>
      <w:hyperlink r:id="rId310">
        <w:r>
          <w:rPr>
            <w:rStyle w:val="Hyperlink"/>
          </w:rPr>
          <w:t xml:space="preserve">https://doi.org/10.1038/s41562-023-01680-z</w:t>
        </w:r>
      </w:hyperlink>
    </w:p>
    <w:bookmarkEnd w:id="311"/>
    <w:bookmarkStart w:id="313" w:name="ref-pereirasoares2022"/>
    <w:p>
      <w:pPr>
        <w:pStyle w:val="Bibliography"/>
      </w:pPr>
      <w:r>
        <w:t xml:space="preserve">Pereira Soares, S. M., Kupisch, T., &amp; Rothman, J. (2022). Testing potential transfer effects in heritage and adult</w:t>
      </w:r>
      <w:r>
        <w:t xml:space="preserve"> </w:t>
      </w:r>
      <w:r>
        <w:t xml:space="preserve">L2</w:t>
      </w:r>
      <w:r>
        <w:t xml:space="preserve"> </w:t>
      </w:r>
      <w:r>
        <w:t xml:space="preserve">bilinguals acquiring a mini grammar as an additional language: An</w:t>
      </w:r>
      <w:r>
        <w:t xml:space="preserve"> </w:t>
      </w:r>
      <w:r>
        <w:t xml:space="preserve">ERP</w:t>
      </w:r>
      <w:r>
        <w:t xml:space="preserve"> </w:t>
      </w:r>
      <w:r>
        <w:t xml:space="preserve">approach.</w:t>
      </w:r>
      <w:r>
        <w:t xml:space="preserve"> </w:t>
      </w:r>
      <w:r>
        <w:rPr>
          <w:i/>
          <w:iCs/>
        </w:rPr>
        <w:t xml:space="preserve">Brain Sciences</w:t>
      </w:r>
      <w:r>
        <w:t xml:space="preserve">,</w:t>
      </w:r>
      <w:r>
        <w:t xml:space="preserve"> </w:t>
      </w:r>
      <w:r>
        <w:rPr>
          <w:i/>
          <w:iCs/>
        </w:rPr>
        <w:t xml:space="preserve">12</w:t>
      </w:r>
      <w:r>
        <w:t xml:space="preserve">(5), 669.</w:t>
      </w:r>
      <w:r>
        <w:t xml:space="preserve"> </w:t>
      </w:r>
      <w:hyperlink r:id="rId312">
        <w:r>
          <w:rPr>
            <w:rStyle w:val="Hyperlink"/>
          </w:rPr>
          <w:t xml:space="preserve">https://doi.org/10.3390/brainsci12050669</w:t>
        </w:r>
      </w:hyperlink>
    </w:p>
    <w:bookmarkEnd w:id="313"/>
    <w:bookmarkStart w:id="315" w:name="ref-phipson2010"/>
    <w:p>
      <w:pPr>
        <w:pStyle w:val="Bibliography"/>
      </w:pPr>
      <w:r>
        <w:t xml:space="preserve">Phipson, B., &amp; Smyth, G. K. (2010). Permutation</w:t>
      </w:r>
      <w:r>
        <w:t xml:space="preserve"> </w:t>
      </w:r>
      <w:r>
        <w:t xml:space="preserve">P</w:t>
      </w:r>
      <w:r>
        <w:t xml:space="preserve">-values should never be zero: Calculating exact</w:t>
      </w:r>
      <w:r>
        <w:t xml:space="preserve"> </w:t>
      </w:r>
      <w:r>
        <w:t xml:space="preserve">P</w:t>
      </w:r>
      <w:r>
        <w:t xml:space="preserve">-values when permutations are randomly drawn.</w:t>
      </w:r>
      <w:r>
        <w:t xml:space="preserve"> </w:t>
      </w:r>
      <w:r>
        <w:rPr>
          <w:i/>
          <w:iCs/>
        </w:rPr>
        <w:t xml:space="preserve">Statistical Applications in Genetics and Molecular Biology</w:t>
      </w:r>
      <w:r>
        <w:t xml:space="preserve">,</w:t>
      </w:r>
      <w:r>
        <w:t xml:space="preserve"> </w:t>
      </w:r>
      <w:r>
        <w:rPr>
          <w:i/>
          <w:iCs/>
        </w:rPr>
        <w:t xml:space="preserve">9</w:t>
      </w:r>
      <w:r>
        <w:t xml:space="preserve">(1), Article 39.</w:t>
      </w:r>
      <w:r>
        <w:t xml:space="preserve"> </w:t>
      </w:r>
      <w:hyperlink r:id="rId314">
        <w:r>
          <w:rPr>
            <w:rStyle w:val="Hyperlink"/>
          </w:rPr>
          <w:t xml:space="preserve">https://doi.org/10.2202/1544-6115.1585</w:t>
        </w:r>
      </w:hyperlink>
    </w:p>
    <w:bookmarkEnd w:id="315"/>
    <w:bookmarkStart w:id="317" w:name="ref-puigmayenco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w:t>
      </w:r>
      <w:r>
        <w:t xml:space="preserve"> </w:t>
      </w:r>
      <w:hyperlink r:id="rId316">
        <w:r>
          <w:rPr>
            <w:rStyle w:val="Hyperlink"/>
          </w:rPr>
          <w:t xml:space="preserve">https://doi.org/10.1177/0267658318809147</w:t>
        </w:r>
      </w:hyperlink>
    </w:p>
    <w:bookmarkEnd w:id="317"/>
    <w:bookmarkStart w:id="319" w:name="ref-rcoreteam"/>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318">
        <w:r>
          <w:rPr>
            <w:rStyle w:val="Hyperlink"/>
          </w:rPr>
          <w:t xml:space="preserve">https://www.R-project.org/</w:t>
        </w:r>
      </w:hyperlink>
    </w:p>
    <w:bookmarkEnd w:id="319"/>
    <w:bookmarkStart w:id="321" w:name="ref-ritchie2019"/>
    <w:p>
      <w:pPr>
        <w:pStyle w:val="Bibliography"/>
      </w:pPr>
      <w:r>
        <w:t xml:space="preserve">Ritchie, J. B., Kaplan, D. M., &amp; Klein, C. (2019). Decoding the brain: Neural representation and the limits of multivariate pattern analysis in cognitive neuroscience.</w:t>
      </w:r>
      <w:r>
        <w:t xml:space="preserve"> </w:t>
      </w:r>
      <w:r>
        <w:rPr>
          <w:i/>
          <w:iCs/>
        </w:rPr>
        <w:t xml:space="preserve">The British Journal for the Philosophy of Science</w:t>
      </w:r>
      <w:r>
        <w:t xml:space="preserve">,</w:t>
      </w:r>
      <w:r>
        <w:t xml:space="preserve"> </w:t>
      </w:r>
      <w:r>
        <w:rPr>
          <w:i/>
          <w:iCs/>
        </w:rPr>
        <w:t xml:space="preserve">70</w:t>
      </w:r>
      <w:r>
        <w:t xml:space="preserve">(2), 581–607.</w:t>
      </w:r>
      <w:r>
        <w:t xml:space="preserve"> </w:t>
      </w:r>
      <w:hyperlink r:id="rId320">
        <w:r>
          <w:rPr>
            <w:rStyle w:val="Hyperlink"/>
          </w:rPr>
          <w:t xml:space="preserve">https://doi.org/10.1093/bjps/axx023</w:t>
        </w:r>
      </w:hyperlink>
    </w:p>
    <w:bookmarkEnd w:id="321"/>
    <w:bookmarkStart w:id="323" w:name="ref-robertson2004"/>
    <w:p>
      <w:pPr>
        <w:pStyle w:val="Bibliography"/>
      </w:pPr>
      <w:r>
        <w:t xml:space="preserve">Robertson, E. M., Pascual-Leone, A., &amp; Miall, R. C. (2004). Current concepts in procedural consolidation.</w:t>
      </w:r>
      <w:r>
        <w:t xml:space="preserve"> </w:t>
      </w:r>
      <w:r>
        <w:rPr>
          <w:i/>
          <w:iCs/>
        </w:rPr>
        <w:t xml:space="preserve">Nature Reviews Neuroscience</w:t>
      </w:r>
      <w:r>
        <w:t xml:space="preserve">,</w:t>
      </w:r>
      <w:r>
        <w:t xml:space="preserve"> </w:t>
      </w:r>
      <w:r>
        <w:rPr>
          <w:i/>
          <w:iCs/>
        </w:rPr>
        <w:t xml:space="preserve">5</w:t>
      </w:r>
      <w:r>
        <w:t xml:space="preserve">(7), 576–582.</w:t>
      </w:r>
      <w:r>
        <w:t xml:space="preserve"> </w:t>
      </w:r>
      <w:hyperlink r:id="rId322">
        <w:r>
          <w:rPr>
            <w:rStyle w:val="Hyperlink"/>
          </w:rPr>
          <w:t xml:space="preserve">https://doi.org/10.1038/nrn1426</w:t>
        </w:r>
      </w:hyperlink>
    </w:p>
    <w:bookmarkEnd w:id="323"/>
    <w:bookmarkStart w:id="325" w:name="ref-rothman2011"/>
    <w:p>
      <w:pPr>
        <w:pStyle w:val="Bibliography"/>
      </w:pPr>
      <w:r>
        <w:t xml:space="preserve">Rothman, J. (2011).</w:t>
      </w:r>
      <w:r>
        <w:t xml:space="preserve"> </w:t>
      </w:r>
      <w:r>
        <w:t xml:space="preserve">L3</w:t>
      </w:r>
      <w:r>
        <w:t xml:space="preserve"> </w:t>
      </w:r>
      <w:r>
        <w:t xml:space="preserve">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r>
        <w:t xml:space="preserve"> </w:t>
      </w:r>
      <w:hyperlink r:id="rId324">
        <w:r>
          <w:rPr>
            <w:rStyle w:val="Hyperlink"/>
          </w:rPr>
          <w:t xml:space="preserve">https://doi.org/10.1177/0267658310386439</w:t>
        </w:r>
      </w:hyperlink>
    </w:p>
    <w:bookmarkEnd w:id="325"/>
    <w:bookmarkStart w:id="327" w:name="ref-rothman2015"/>
    <w:p>
      <w:pPr>
        <w:pStyle w:val="Bibliography"/>
      </w:pPr>
      <w:r>
        <w:t xml:space="preserve">Rothman, J. (2015). Linguistic and cognitive motivations for the</w:t>
      </w:r>
      <w:r>
        <w:t xml:space="preserve"> </w:t>
      </w:r>
      <w:r>
        <w:t xml:space="preserve">Typological Primacy Model</w:t>
      </w:r>
      <w:r>
        <w:t xml:space="preserve"> </w:t>
      </w:r>
      <w:r>
        <w:t xml:space="preserve">(</w:t>
      </w:r>
      <w:r>
        <w:t xml:space="preserve">TPM</w:t>
      </w:r>
      <w:r>
        <w:t xml:space="preserve">) of third language (</w:t>
      </w:r>
      <w:r>
        <w:t xml:space="preserve">L3</w:t>
      </w:r>
      <w:r>
        <w:t xml:space="preserve">)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r>
        <w:t xml:space="preserve"> </w:t>
      </w:r>
      <w:hyperlink r:id="rId326">
        <w:r>
          <w:rPr>
            <w:rStyle w:val="Hyperlink"/>
          </w:rPr>
          <w:t xml:space="preserve">https://doi.org/10.1017/S136672891300059X</w:t>
        </w:r>
      </w:hyperlink>
    </w:p>
    <w:bookmarkEnd w:id="327"/>
    <w:bookmarkStart w:id="329" w:name="ref-rothmanalemanbanon2015"/>
    <w:p>
      <w:pPr>
        <w:pStyle w:val="Bibliography"/>
      </w:pPr>
      <w:r>
        <w:t xml:space="preserve">Rothman, J., Alemán Bañón, J., &amp; González Alonso, J. (2015). Neurolinguistic measures of typological effects in multilingual transfer: Introducing an</w:t>
      </w:r>
      <w:r>
        <w:t xml:space="preserve"> </w:t>
      </w:r>
      <w:r>
        <w:t xml:space="preserve">ERP</w:t>
      </w:r>
      <w:r>
        <w:t xml:space="preserve"> </w:t>
      </w:r>
      <w:r>
        <w:t xml:space="preserve">methodology.</w:t>
      </w:r>
      <w:r>
        <w:t xml:space="preserve"> </w:t>
      </w:r>
      <w:r>
        <w:rPr>
          <w:i/>
          <w:iCs/>
        </w:rPr>
        <w:t xml:space="preserve">Frontiers in Psychology</w:t>
      </w:r>
      <w:r>
        <w:t xml:space="preserve">,</w:t>
      </w:r>
      <w:r>
        <w:t xml:space="preserve"> </w:t>
      </w:r>
      <w:r>
        <w:rPr>
          <w:i/>
          <w:iCs/>
        </w:rPr>
        <w:t xml:space="preserve">6</w:t>
      </w:r>
      <w:r>
        <w:t xml:space="preserve">, 1087.</w:t>
      </w:r>
      <w:r>
        <w:t xml:space="preserve"> </w:t>
      </w:r>
      <w:hyperlink r:id="rId328">
        <w:r>
          <w:rPr>
            <w:rStyle w:val="Hyperlink"/>
          </w:rPr>
          <w:t xml:space="preserve">https://doi.org/10.3389/fpsyg.2015.01087</w:t>
        </w:r>
      </w:hyperlink>
    </w:p>
    <w:bookmarkEnd w:id="329"/>
    <w:bookmarkStart w:id="331" w:name="ref-rothman2019"/>
    <w:p>
      <w:pPr>
        <w:pStyle w:val="Bibliography"/>
      </w:pPr>
      <w:r>
        <w:t xml:space="preserve">Rothman, J., González Alonso, J., &amp; Puig-Mayenco, E. (2019).</w:t>
      </w:r>
      <w:r>
        <w:t xml:space="preserve"> </w:t>
      </w:r>
      <w:r>
        <w:rPr>
          <w:i/>
          <w:iCs/>
        </w:rPr>
        <w:t xml:space="preserve">Third language acquisition and linguistic transfer</w:t>
      </w:r>
      <w:r>
        <w:t xml:space="preserve">. Cambridge University Press.</w:t>
      </w:r>
      <w:r>
        <w:t xml:space="preserve"> </w:t>
      </w:r>
      <w:hyperlink r:id="rId330">
        <w:r>
          <w:rPr>
            <w:rStyle w:val="Hyperlink"/>
          </w:rPr>
          <w:t xml:space="preserve">https://doi.org/10.1017/9781316014660</w:t>
        </w:r>
      </w:hyperlink>
    </w:p>
    <w:bookmarkEnd w:id="331"/>
    <w:bookmarkStart w:id="333" w:name="ref-rubin2021"/>
    <w:p>
      <w:pPr>
        <w:pStyle w:val="Bibliography"/>
      </w:pPr>
      <w:r>
        <w:t xml:space="preserve">Rubin, M. (2021). When to adjust alpha during multiple testing: A consideration of disjunction, conjunction, and individual testing.</w:t>
      </w:r>
      <w:r>
        <w:t xml:space="preserve"> </w:t>
      </w:r>
      <w:r>
        <w:rPr>
          <w:i/>
          <w:iCs/>
        </w:rPr>
        <w:t xml:space="preserve">Synthese</w:t>
      </w:r>
      <w:r>
        <w:t xml:space="preserve">,</w:t>
      </w:r>
      <w:r>
        <w:t xml:space="preserve"> </w:t>
      </w:r>
      <w:r>
        <w:rPr>
          <w:i/>
          <w:iCs/>
        </w:rPr>
        <w:t xml:space="preserve">199</w:t>
      </w:r>
      <w:r>
        <w:t xml:space="preserve">(3-4), 10969–11000.</w:t>
      </w:r>
      <w:r>
        <w:t xml:space="preserve"> </w:t>
      </w:r>
      <w:hyperlink r:id="rId332">
        <w:r>
          <w:rPr>
            <w:rStyle w:val="Hyperlink"/>
          </w:rPr>
          <w:t xml:space="preserve">https://doi.org/10.1007/s11229-021-03276-4</w:t>
        </w:r>
      </w:hyperlink>
    </w:p>
    <w:bookmarkEnd w:id="333"/>
    <w:bookmarkStart w:id="335" w:name="ref-sassenhagen2019cluster"/>
    <w:p>
      <w:pPr>
        <w:pStyle w:val="Bibliography"/>
      </w:pPr>
      <w:r>
        <w:t xml:space="preserve">Sassenhagen, J., &amp; Draschkow, D. (2019). Cluster-based permutation tests of</w:t>
      </w:r>
      <w:r>
        <w:t xml:space="preserve"> </w:t>
      </w:r>
      <w:r>
        <w:t xml:space="preserve">MEG</w:t>
      </w:r>
      <w:r>
        <w:t xml:space="preserve">/</w:t>
      </w:r>
      <w:r>
        <w:t xml:space="preserve">EEG</w:t>
      </w:r>
      <w:r>
        <w:t xml:space="preserve"> </w:t>
      </w:r>
      <w:r>
        <w:t xml:space="preserve">data do not establish significance of effect latency or location.</w:t>
      </w:r>
      <w:r>
        <w:t xml:space="preserve"> </w:t>
      </w:r>
      <w:r>
        <w:rPr>
          <w:i/>
          <w:iCs/>
        </w:rPr>
        <w:t xml:space="preserve">Psychophysiology</w:t>
      </w:r>
      <w:r>
        <w:t xml:space="preserve">,</w:t>
      </w:r>
      <w:r>
        <w:t xml:space="preserve"> </w:t>
      </w:r>
      <w:r>
        <w:rPr>
          <w:i/>
          <w:iCs/>
        </w:rPr>
        <w:t xml:space="preserve">56</w:t>
      </w:r>
      <w:r>
        <w:t xml:space="preserve">(6), e13335.</w:t>
      </w:r>
      <w:r>
        <w:t xml:space="preserve"> </w:t>
      </w:r>
      <w:hyperlink r:id="rId334">
        <w:r>
          <w:rPr>
            <w:rStyle w:val="Hyperlink"/>
          </w:rPr>
          <w:t xml:space="preserve">https://doi.org/10.1111/psyp.13335</w:t>
        </w:r>
      </w:hyperlink>
    </w:p>
    <w:bookmarkEnd w:id="335"/>
    <w:bookmarkStart w:id="337" w:name="ref-sassenhagen2019"/>
    <w:p>
      <w:pPr>
        <w:pStyle w:val="Bibliography"/>
      </w:pPr>
      <w:r>
        <w:t xml:space="preserve">Sassenhagen, J., &amp; Fiebach, C. J. (2019). Finding the</w:t>
      </w:r>
      <w:r>
        <w:t xml:space="preserve"> </w:t>
      </w:r>
      <w:r>
        <w:t xml:space="preserve">P3</w:t>
      </w:r>
      <w:r>
        <w:t xml:space="preserve"> </w:t>
      </w:r>
      <w:r>
        <w:t xml:space="preserve">in the</w:t>
      </w:r>
      <w:r>
        <w:t xml:space="preserve"> </w:t>
      </w:r>
      <w:r>
        <w:t xml:space="preserve">P600</w:t>
      </w:r>
      <w:r>
        <w:t xml:space="preserve">: Decoding shared neural mechanisms of responses to syntactic violations and oddball targets.</w:t>
      </w:r>
      <w:r>
        <w:t xml:space="preserve"> </w:t>
      </w:r>
      <w:r>
        <w:rPr>
          <w:i/>
          <w:iCs/>
        </w:rPr>
        <w:t xml:space="preserve">NeuroImage</w:t>
      </w:r>
      <w:r>
        <w:t xml:space="preserve">,</w:t>
      </w:r>
      <w:r>
        <w:t xml:space="preserve"> </w:t>
      </w:r>
      <w:r>
        <w:rPr>
          <w:i/>
          <w:iCs/>
        </w:rPr>
        <w:t xml:space="preserve">200</w:t>
      </w:r>
      <w:r>
        <w:t xml:space="preserve">, 425–436.</w:t>
      </w:r>
      <w:r>
        <w:t xml:space="preserve"> </w:t>
      </w:r>
      <w:hyperlink r:id="rId336">
        <w:r>
          <w:rPr>
            <w:rStyle w:val="Hyperlink"/>
          </w:rPr>
          <w:t xml:space="preserve">https://doi.org/10.1016/j.neuroimage.2019.06.048</w:t>
        </w:r>
      </w:hyperlink>
    </w:p>
    <w:bookmarkEnd w:id="337"/>
    <w:bookmarkStart w:id="339" w:name="ref-schad2021"/>
    <w:p>
      <w:pPr>
        <w:pStyle w:val="Bibliography"/>
      </w:pPr>
      <w:r>
        <w:t xml:space="preserve">Schad, D. J., Betancourt, M., &amp; Vasishth, S. (2021). Toward a principled</w:t>
      </w:r>
      <w:r>
        <w:t xml:space="preserve"> </w:t>
      </w:r>
      <w:r>
        <w:t xml:space="preserve">Bayesian</w:t>
      </w:r>
      <w:r>
        <w:t xml:space="preserve"> </w:t>
      </w:r>
      <w:r>
        <w:t xml:space="preserve">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338">
        <w:r>
          <w:rPr>
            <w:rStyle w:val="Hyperlink"/>
          </w:rPr>
          <w:t xml:space="preserve">https://doi.org/10.1037/met0000275</w:t>
        </w:r>
      </w:hyperlink>
    </w:p>
    <w:bookmarkEnd w:id="339"/>
    <w:bookmarkStart w:id="341" w:name="ref-schielzeth2010"/>
    <w:p>
      <w:pPr>
        <w:pStyle w:val="Bibliography"/>
      </w:pPr>
      <w:r>
        <w:t xml:space="preserve">Schielzeth, H. (2010). Simple means to improve the interpretability of regression coefficients.</w:t>
      </w:r>
      <w:r>
        <w:t xml:space="preserve"> </w:t>
      </w:r>
      <w:r>
        <w:rPr>
          <w:i/>
          <w:iCs/>
        </w:rPr>
        <w:t xml:space="preserve">Methods in Ecology and Evolution</w:t>
      </w:r>
      <w:r>
        <w:t xml:space="preserve">,</w:t>
      </w:r>
      <w:r>
        <w:t xml:space="preserve"> </w:t>
      </w:r>
      <w:r>
        <w:rPr>
          <w:i/>
          <w:iCs/>
        </w:rPr>
        <w:t xml:space="preserve">1</w:t>
      </w:r>
      <w:r>
        <w:t xml:space="preserve">(2), 103–113.</w:t>
      </w:r>
      <w:r>
        <w:t xml:space="preserve"> </w:t>
      </w:r>
      <w:hyperlink r:id="rId340">
        <w:r>
          <w:rPr>
            <w:rStyle w:val="Hyperlink"/>
          </w:rPr>
          <w:t xml:space="preserve">https://doi.org/10.1111/j.2041-210X.2010.00012.x</w:t>
        </w:r>
      </w:hyperlink>
    </w:p>
    <w:bookmarkEnd w:id="341"/>
    <w:bookmarkStart w:id="343" w:name="ref-schwartzsprouse2021"/>
    <w:p>
      <w:pPr>
        <w:pStyle w:val="Bibliography"/>
      </w:pPr>
      <w:r>
        <w:t xml:space="preserve">Schwartz, B. D., &amp; Sprouse, R. A. (2021). The</w:t>
      </w:r>
      <w:r>
        <w:t xml:space="preserve"> </w:t>
      </w:r>
      <w:r>
        <w:t xml:space="preserve">Full Transfer/Full Access</w:t>
      </w:r>
      <w:r>
        <w:t xml:space="preserve"> </w:t>
      </w:r>
      <w:r>
        <w:t xml:space="preserve">model and</w:t>
      </w:r>
      <w:r>
        <w:t xml:space="preserve"> </w:t>
      </w:r>
      <w:r>
        <w:t xml:space="preserve">L3</w:t>
      </w:r>
      <w:r>
        <w:t xml:space="preserve"> </w:t>
      </w:r>
      <w:r>
        <w:t xml:space="preserve">cognitive states.</w:t>
      </w:r>
      <w:r>
        <w:t xml:space="preserve"> </w:t>
      </w:r>
      <w:r>
        <w:rPr>
          <w:i/>
          <w:iCs/>
        </w:rPr>
        <w:t xml:space="preserve">Linguistic Approaches to Bilingualism</w:t>
      </w:r>
      <w:r>
        <w:t xml:space="preserve">,</w:t>
      </w:r>
      <w:r>
        <w:t xml:space="preserve"> </w:t>
      </w:r>
      <w:r>
        <w:rPr>
          <w:i/>
          <w:iCs/>
        </w:rPr>
        <w:t xml:space="preserve">11</w:t>
      </w:r>
      <w:r>
        <w:t xml:space="preserve">(1), 1–29.</w:t>
      </w:r>
      <w:r>
        <w:t xml:space="preserve"> </w:t>
      </w:r>
      <w:hyperlink r:id="rId342">
        <w:r>
          <w:rPr>
            <w:rStyle w:val="Hyperlink"/>
          </w:rPr>
          <w:t xml:space="preserve">https://doi.org/10.1075/lab.20055.sch</w:t>
        </w:r>
      </w:hyperlink>
    </w:p>
    <w:bookmarkEnd w:id="343"/>
    <w:bookmarkStart w:id="345" w:name="ref-silva2017"/>
    <w:p>
      <w:pPr>
        <w:pStyle w:val="Bibliography"/>
      </w:pPr>
      <w:r>
        <w:t xml:space="preserve">Silva, S., Folia, V., Hagoort, P., &amp; Petersson, K. M. (2017). The</w:t>
      </w:r>
      <w:r>
        <w:t xml:space="preserve"> </w:t>
      </w:r>
      <w:r>
        <w:t xml:space="preserve">P600</w:t>
      </w:r>
      <w:r>
        <w:t xml:space="preserve"> </w:t>
      </w:r>
      <w:r>
        <w:t xml:space="preserve">in implicit artificial grammar learning.</w:t>
      </w:r>
      <w:r>
        <w:t xml:space="preserve"> </w:t>
      </w:r>
      <w:r>
        <w:rPr>
          <w:i/>
          <w:iCs/>
        </w:rPr>
        <w:t xml:space="preserve">Cognitive Science</w:t>
      </w:r>
      <w:r>
        <w:t xml:space="preserve">,</w:t>
      </w:r>
      <w:r>
        <w:t xml:space="preserve"> </w:t>
      </w:r>
      <w:r>
        <w:rPr>
          <w:i/>
          <w:iCs/>
        </w:rPr>
        <w:t xml:space="preserve">41</w:t>
      </w:r>
      <w:r>
        <w:t xml:space="preserve">(1), 137–157.</w:t>
      </w:r>
      <w:r>
        <w:t xml:space="preserve"> </w:t>
      </w:r>
      <w:hyperlink r:id="rId344">
        <w:r>
          <w:rPr>
            <w:rStyle w:val="Hyperlink"/>
          </w:rPr>
          <w:t xml:space="preserve">https://doi.org/10.1111/cogs.12343</w:t>
        </w:r>
      </w:hyperlink>
    </w:p>
    <w:bookmarkEnd w:id="345"/>
    <w:bookmarkStart w:id="347" w:name="ref-skalba2026"/>
    <w:p>
      <w:pPr>
        <w:pStyle w:val="Bibliography"/>
      </w:pPr>
      <w:r>
        <w:t xml:space="preserve">Skałba, A., Żychliński, S., &amp; Wrembel, M. (2026). Selective cross-linguistic influence in</w:t>
      </w:r>
      <w:r>
        <w:t xml:space="preserve"> </w:t>
      </w:r>
      <w:r>
        <w:t xml:space="preserve">L3</w:t>
      </w:r>
      <w:r>
        <w:t xml:space="preserve"> </w:t>
      </w:r>
      <w:r>
        <w:t xml:space="preserve">acquisition ab initio: An eye-tracking study.</w:t>
      </w:r>
      <w:r>
        <w:t xml:space="preserve"> </w:t>
      </w:r>
      <w:r>
        <w:rPr>
          <w:i/>
          <w:iCs/>
        </w:rPr>
        <w:t xml:space="preserve">Second Language Research</w:t>
      </w:r>
      <w:r>
        <w:t xml:space="preserve">. Advance online publication.</w:t>
      </w:r>
      <w:r>
        <w:t xml:space="preserve"> </w:t>
      </w:r>
      <w:hyperlink r:id="rId346">
        <w:r>
          <w:rPr>
            <w:rStyle w:val="Hyperlink"/>
          </w:rPr>
          <w:t xml:space="preserve">https://doi.org/10.1177/02676583261426778</w:t>
        </w:r>
      </w:hyperlink>
    </w:p>
    <w:bookmarkEnd w:id="347"/>
    <w:bookmarkStart w:id="349" w:name="ref-slabakova2017"/>
    <w:p>
      <w:pPr>
        <w:pStyle w:val="Bibliography"/>
      </w:pPr>
      <w:r>
        <w:t xml:space="preserve">Slabakova, R. (2017). The scalpel model of third language acquisition.</w:t>
      </w:r>
      <w:r>
        <w:t xml:space="preserve"> </w:t>
      </w:r>
      <w:r>
        <w:rPr>
          <w:i/>
          <w:iCs/>
        </w:rPr>
        <w:t xml:space="preserve">International Journal of Bilingualism</w:t>
      </w:r>
      <w:r>
        <w:t xml:space="preserve">,</w:t>
      </w:r>
      <w:r>
        <w:t xml:space="preserve"> </w:t>
      </w:r>
      <w:r>
        <w:rPr>
          <w:i/>
          <w:iCs/>
        </w:rPr>
        <w:t xml:space="preserve">21</w:t>
      </w:r>
      <w:r>
        <w:t xml:space="preserve">(6), 651–665.</w:t>
      </w:r>
      <w:r>
        <w:t xml:space="preserve"> </w:t>
      </w:r>
      <w:hyperlink r:id="rId348">
        <w:r>
          <w:rPr>
            <w:rStyle w:val="Hyperlink"/>
          </w:rPr>
          <w:t xml:space="preserve">https://doi.org/10.1177/1367006916655413</w:t>
        </w:r>
      </w:hyperlink>
    </w:p>
    <w:bookmarkEnd w:id="349"/>
    <w:bookmarkStart w:id="351" w:name="ref-tamminen2015"/>
    <w:p>
      <w:pPr>
        <w:pStyle w:val="Bibliography"/>
      </w:pPr>
      <w:r>
        <w:t xml:space="preserve">Tamminen, J., Davis, M. H., &amp; Rastle, K. (2015). From specific examples to general knowledge in language learning.</w:t>
      </w:r>
      <w:r>
        <w:t xml:space="preserve"> </w:t>
      </w:r>
      <w:r>
        <w:rPr>
          <w:i/>
          <w:iCs/>
        </w:rPr>
        <w:t xml:space="preserve">Cognitive Psychology</w:t>
      </w:r>
      <w:r>
        <w:t xml:space="preserve">,</w:t>
      </w:r>
      <w:r>
        <w:t xml:space="preserve"> </w:t>
      </w:r>
      <w:r>
        <w:rPr>
          <w:i/>
          <w:iCs/>
        </w:rPr>
        <w:t xml:space="preserve">79</w:t>
      </w:r>
      <w:r>
        <w:t xml:space="preserve">, 1–39.</w:t>
      </w:r>
      <w:r>
        <w:t xml:space="preserve"> </w:t>
      </w:r>
      <w:hyperlink r:id="rId350">
        <w:r>
          <w:rPr>
            <w:rStyle w:val="Hyperlink"/>
          </w:rPr>
          <w:t xml:space="preserve">https://doi.org/10.1016/j.cogpsych.2015.03.003</w:t>
        </w:r>
      </w:hyperlink>
    </w:p>
    <w:bookmarkEnd w:id="351"/>
    <w:bookmarkStart w:id="353" w:name="ref-tanner2013"/>
    <w:p>
      <w:pPr>
        <w:pStyle w:val="Bibliography"/>
      </w:pPr>
      <w:r>
        <w:t xml:space="preserve">Tanner, D., McLaughlin, J., Herschensohn, J., &amp; Osterhout, L. (2013). Individual differences reveal stages of</w:t>
      </w:r>
      <w:r>
        <w:t xml:space="preserve"> </w:t>
      </w:r>
      <w:r>
        <w:t xml:space="preserve">L2</w:t>
      </w:r>
      <w:r>
        <w:t xml:space="preserve"> </w:t>
      </w:r>
      <w:r>
        <w:t xml:space="preserve">grammatical acquisition:</w:t>
      </w:r>
      <w:r>
        <w:t xml:space="preserve"> </w:t>
      </w:r>
      <w:r>
        <w:t xml:space="preserve">ERP</w:t>
      </w:r>
      <w:r>
        <w:t xml:space="preserve"> </w:t>
      </w:r>
      <w:r>
        <w:t xml:space="preserve">evidence.</w:t>
      </w:r>
      <w:r>
        <w:t xml:space="preserve"> </w:t>
      </w:r>
      <w:r>
        <w:rPr>
          <w:i/>
          <w:iCs/>
        </w:rPr>
        <w:t xml:space="preserve">Bilingualism: Language and Cognition</w:t>
      </w:r>
      <w:r>
        <w:t xml:space="preserve">,</w:t>
      </w:r>
      <w:r>
        <w:t xml:space="preserve"> </w:t>
      </w:r>
      <w:r>
        <w:rPr>
          <w:i/>
          <w:iCs/>
        </w:rPr>
        <w:t xml:space="preserve">16</w:t>
      </w:r>
      <w:r>
        <w:t xml:space="preserve">(2), 367–382.</w:t>
      </w:r>
      <w:r>
        <w:t xml:space="preserve"> </w:t>
      </w:r>
      <w:hyperlink r:id="rId352">
        <w:r>
          <w:rPr>
            <w:rStyle w:val="Hyperlink"/>
          </w:rPr>
          <w:t xml:space="preserve">https://doi.org/10.1017/S1366728912000302</w:t>
        </w:r>
      </w:hyperlink>
    </w:p>
    <w:bookmarkEnd w:id="353"/>
    <w:bookmarkStart w:id="355" w:name="ref-tanner2015"/>
    <w:p>
      <w:pPr>
        <w:pStyle w:val="Bibliography"/>
      </w:pPr>
      <w:r>
        <w:t xml:space="preserve">Tanner, D., Morgan-Short, K., &amp; Luck, S. J. (2015). How inappropriate high-pass filters can produce artifactual effects and incorrect conclusions in</w:t>
      </w:r>
      <w:r>
        <w:t xml:space="preserve"> </w:t>
      </w:r>
      <w:r>
        <w:t xml:space="preserve">ERP</w:t>
      </w:r>
      <w:r>
        <w:t xml:space="preserve"> </w:t>
      </w:r>
      <w:r>
        <w:t xml:space="preserve">studies of language and cognition.</w:t>
      </w:r>
      <w:r>
        <w:t xml:space="preserve"> </w:t>
      </w:r>
      <w:r>
        <w:rPr>
          <w:i/>
          <w:iCs/>
        </w:rPr>
        <w:t xml:space="preserve">Psychophysiology</w:t>
      </w:r>
      <w:r>
        <w:t xml:space="preserve">,</w:t>
      </w:r>
      <w:r>
        <w:t xml:space="preserve"> </w:t>
      </w:r>
      <w:r>
        <w:rPr>
          <w:i/>
          <w:iCs/>
        </w:rPr>
        <w:t xml:space="preserve">52</w:t>
      </w:r>
      <w:r>
        <w:t xml:space="preserve">(8), 997–1009.</w:t>
      </w:r>
      <w:r>
        <w:t xml:space="preserve"> </w:t>
      </w:r>
      <w:hyperlink r:id="rId354">
        <w:r>
          <w:rPr>
            <w:rStyle w:val="Hyperlink"/>
          </w:rPr>
          <w:t xml:space="preserve">https://doi.org/10.1111/psyp.12437</w:t>
        </w:r>
      </w:hyperlink>
    </w:p>
    <w:bookmarkEnd w:id="355"/>
    <w:bookmarkStart w:id="357" w:name="ref-tanner2014"/>
    <w:p>
      <w:pPr>
        <w:pStyle w:val="Bibliography"/>
      </w:pPr>
      <w:r>
        <w:t xml:space="preserve">Tanner, D., &amp; Van Hell, J. G. (2014).</w:t>
      </w:r>
      <w:r>
        <w:t xml:space="preserve"> </w:t>
      </w:r>
      <w:r>
        <w:t xml:space="preserve">ERPs</w:t>
      </w:r>
      <w:r>
        <w:t xml:space="preserve"> </w:t>
      </w:r>
      <w:r>
        <w:t xml:space="preserve">reveal individual differences in morphosyntactic processing.</w:t>
      </w:r>
      <w:r>
        <w:t xml:space="preserve"> </w:t>
      </w:r>
      <w:r>
        <w:rPr>
          <w:i/>
          <w:iCs/>
        </w:rPr>
        <w:t xml:space="preserve">Neuropsychologia</w:t>
      </w:r>
      <w:r>
        <w:t xml:space="preserve">,</w:t>
      </w:r>
      <w:r>
        <w:t xml:space="preserve"> </w:t>
      </w:r>
      <w:r>
        <w:rPr>
          <w:i/>
          <w:iCs/>
        </w:rPr>
        <w:t xml:space="preserve">56</w:t>
      </w:r>
      <w:r>
        <w:t xml:space="preserve">, 289–301.</w:t>
      </w:r>
      <w:r>
        <w:t xml:space="preserve"> </w:t>
      </w:r>
      <w:hyperlink r:id="rId356">
        <w:r>
          <w:rPr>
            <w:rStyle w:val="Hyperlink"/>
          </w:rPr>
          <w:t xml:space="preserve">https://doi.org/10.1016/j.neuropsychologia.2014.02.002</w:t>
        </w:r>
      </w:hyperlink>
    </w:p>
    <w:bookmarkEnd w:id="357"/>
    <w:bookmarkStart w:id="359" w:name="ref-teichmann2022"/>
    <w:p>
      <w:pPr>
        <w:pStyle w:val="Bibliography"/>
      </w:pPr>
      <w:r>
        <w:t xml:space="preserve">Teichmann, L. (2022). An empirically driven guide on using</w:t>
      </w:r>
      <w:r>
        <w:t xml:space="preserve"> </w:t>
      </w:r>
      <w:r>
        <w:t xml:space="preserve">Bayes</w:t>
      </w:r>
      <w:r>
        <w:t xml:space="preserve"> </w:t>
      </w:r>
      <w:r>
        <w:t xml:space="preserve">factors for</w:t>
      </w:r>
      <w:r>
        <w:t xml:space="preserve"> </w:t>
      </w:r>
      <w:r>
        <w:t xml:space="preserve">M/EEG</w:t>
      </w:r>
      <w:r>
        <w:t xml:space="preserve"> </w:t>
      </w:r>
      <w:r>
        <w:t xml:space="preserve">decoding.</w:t>
      </w:r>
      <w:r>
        <w:t xml:space="preserve"> </w:t>
      </w:r>
      <w:r>
        <w:rPr>
          <w:i/>
          <w:iCs/>
        </w:rPr>
        <w:t xml:space="preserve">Aperture Neuro</w:t>
      </w:r>
      <w:r>
        <w:t xml:space="preserve">,</w:t>
      </w:r>
      <w:r>
        <w:t xml:space="preserve"> </w:t>
      </w:r>
      <w:r>
        <w:rPr>
          <w:i/>
          <w:iCs/>
        </w:rPr>
        <w:t xml:space="preserve">2</w:t>
      </w:r>
      <w:r>
        <w:t xml:space="preserve">, 1–10.</w:t>
      </w:r>
      <w:r>
        <w:t xml:space="preserve"> </w:t>
      </w:r>
      <w:hyperlink r:id="rId358">
        <w:r>
          <w:rPr>
            <w:rStyle w:val="Hyperlink"/>
          </w:rPr>
          <w:t xml:space="preserve">https://doi.org/10.52294/apertureneuro.2022.2.maoc6465</w:t>
        </w:r>
      </w:hyperlink>
    </w:p>
    <w:bookmarkEnd w:id="359"/>
    <w:bookmarkStart w:id="361" w:name="ref-vandeschoot2021"/>
    <w:p>
      <w:pPr>
        <w:pStyle w:val="Bibliography"/>
      </w:pPr>
      <w:r>
        <w:t xml:space="preserve">van de Schoot, R., Depaoli, S., King, R., Kramer, B., Märtens, K., Tadesse, M. G., Vannucci, M., Gelman, A., Veen, D., Willemsen, J., &amp; Yau, C. (2021).</w:t>
      </w:r>
      <w:r>
        <w:t xml:space="preserve"> </w:t>
      </w:r>
      <w:r>
        <w:t xml:space="preserve">Bayesian</w:t>
      </w:r>
      <w:r>
        <w:t xml:space="preserve"> </w:t>
      </w:r>
      <w:r>
        <w:t xml:space="preserve">statistics and modelling.</w:t>
      </w:r>
      <w:r>
        <w:t xml:space="preserve"> </w:t>
      </w:r>
      <w:r>
        <w:rPr>
          <w:i/>
          <w:iCs/>
        </w:rPr>
        <w:t xml:space="preserve">Nature Reviews Methods Primers</w:t>
      </w:r>
      <w:r>
        <w:t xml:space="preserve">,</w:t>
      </w:r>
      <w:r>
        <w:t xml:space="preserve"> </w:t>
      </w:r>
      <w:r>
        <w:rPr>
          <w:i/>
          <w:iCs/>
        </w:rPr>
        <w:t xml:space="preserve">1</w:t>
      </w:r>
      <w:r>
        <w:t xml:space="preserve">(1), 1.</w:t>
      </w:r>
      <w:r>
        <w:t xml:space="preserve"> </w:t>
      </w:r>
      <w:hyperlink r:id="rId360">
        <w:r>
          <w:rPr>
            <w:rStyle w:val="Hyperlink"/>
          </w:rPr>
          <w:t xml:space="preserve">https://doi.org/10.1038/s43586-020-00001-2</w:t>
        </w:r>
      </w:hyperlink>
    </w:p>
    <w:bookmarkEnd w:id="361"/>
    <w:bookmarkStart w:id="363" w:name="ref-varoquaux2018"/>
    <w:p>
      <w:pPr>
        <w:pStyle w:val="Bibliography"/>
      </w:pPr>
      <w:r>
        <w:t xml:space="preserve">Varoquaux, G. (2018). Cross-validation failure: Small sample sizes lead to large error bars.</w:t>
      </w:r>
      <w:r>
        <w:t xml:space="preserve"> </w:t>
      </w:r>
      <w:r>
        <w:rPr>
          <w:i/>
          <w:iCs/>
        </w:rPr>
        <w:t xml:space="preserve">NeuroImage</w:t>
      </w:r>
      <w:r>
        <w:t xml:space="preserve">,</w:t>
      </w:r>
      <w:r>
        <w:t xml:space="preserve"> </w:t>
      </w:r>
      <w:r>
        <w:rPr>
          <w:i/>
          <w:iCs/>
        </w:rPr>
        <w:t xml:space="preserve">180</w:t>
      </w:r>
      <w:r>
        <w:t xml:space="preserve">, 68–77.</w:t>
      </w:r>
      <w:r>
        <w:t xml:space="preserve"> </w:t>
      </w:r>
      <w:hyperlink r:id="rId362">
        <w:r>
          <w:rPr>
            <w:rStyle w:val="Hyperlink"/>
          </w:rPr>
          <w:t xml:space="preserve">https://doi.org/10.1016/j.neuroimage.2017.06.061</w:t>
        </w:r>
      </w:hyperlink>
    </w:p>
    <w:bookmarkEnd w:id="363"/>
    <w:bookmarkStart w:id="365" w:name="ref-varoquaux2017"/>
    <w:p>
      <w:pPr>
        <w:pStyle w:val="Bibliography"/>
      </w:pPr>
      <w:r>
        <w:t xml:space="preserve">Varoquaux, G., Raamana, P. R., Engemann, D. A., Hoyos-Idrobo, A., Schwartz, Y., &amp; Thirion, B. (2017). Assessing and tuning brain decoders: Cross-validation, caveats, and guidelines.</w:t>
      </w:r>
      <w:r>
        <w:t xml:space="preserve"> </w:t>
      </w:r>
      <w:r>
        <w:rPr>
          <w:i/>
          <w:iCs/>
        </w:rPr>
        <w:t xml:space="preserve">NeuroImage</w:t>
      </w:r>
      <w:r>
        <w:t xml:space="preserve">,</w:t>
      </w:r>
      <w:r>
        <w:t xml:space="preserve"> </w:t>
      </w:r>
      <w:r>
        <w:rPr>
          <w:i/>
          <w:iCs/>
        </w:rPr>
        <w:t xml:space="preserve">145</w:t>
      </w:r>
      <w:r>
        <w:t xml:space="preserve">, 166–179.</w:t>
      </w:r>
      <w:r>
        <w:t xml:space="preserve"> </w:t>
      </w:r>
      <w:hyperlink r:id="rId364">
        <w:r>
          <w:rPr>
            <w:rStyle w:val="Hyperlink"/>
          </w:rPr>
          <w:t xml:space="preserve">https://doi.org/10.1016/j.neuroimage.2016.10.038</w:t>
        </w:r>
      </w:hyperlink>
    </w:p>
    <w:bookmarkEnd w:id="365"/>
    <w:bookmarkStart w:id="367" w:name="ref-vasishth2018"/>
    <w:p>
      <w:pPr>
        <w:pStyle w:val="Bibliography"/>
      </w:pPr>
      <w:r>
        <w:t xml:space="preserve">Vasishth, S., Mertzen, D., Jäger, L. A., &amp; Gelman, A. (2018). The statistical significance filter leads to overoptimistic expectations of replicability.</w:t>
      </w:r>
      <w:r>
        <w:t xml:space="preserve"> </w:t>
      </w:r>
      <w:r>
        <w:rPr>
          <w:i/>
          <w:iCs/>
        </w:rPr>
        <w:t xml:space="preserve">Journal of Memory and Language</w:t>
      </w:r>
      <w:r>
        <w:t xml:space="preserve">,</w:t>
      </w:r>
      <w:r>
        <w:t xml:space="preserve"> </w:t>
      </w:r>
      <w:r>
        <w:rPr>
          <w:i/>
          <w:iCs/>
        </w:rPr>
        <w:t xml:space="preserve">103</w:t>
      </w:r>
      <w:r>
        <w:t xml:space="preserve">, 151–175.</w:t>
      </w:r>
      <w:r>
        <w:t xml:space="preserve"> </w:t>
      </w:r>
      <w:hyperlink r:id="rId366">
        <w:r>
          <w:rPr>
            <w:rStyle w:val="Hyperlink"/>
          </w:rPr>
          <w:t xml:space="preserve">https://doi.org/10.1016/j.jml.2018.07.004</w:t>
        </w:r>
      </w:hyperlink>
    </w:p>
    <w:bookmarkEnd w:id="367"/>
    <w:bookmarkStart w:id="369" w:name="ref-vehtari2021"/>
    <w:p>
      <w:pPr>
        <w:pStyle w:val="Bibliography"/>
      </w:pPr>
      <w:r>
        <w:t xml:space="preserve">Vehtari, A., Gelman, A., Simpson, D., Carpenter, B., &amp;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368">
        <w:r>
          <w:rPr>
            <w:rStyle w:val="Hyperlink"/>
          </w:rPr>
          <w:t xml:space="preserve">https://doi.org/10.1214/20-BA1221</w:t>
        </w:r>
      </w:hyperlink>
    </w:p>
    <w:bookmarkEnd w:id="369"/>
    <w:bookmarkStart w:id="371" w:name="ref-volpertesmond2021"/>
    <w:p>
      <w:pPr>
        <w:pStyle w:val="Bibliography"/>
      </w:pPr>
      <w:r>
        <w:t xml:space="preserve">Volpert-Esmond, H. I., Page-Gould, E., &amp; Bartholow, B. D. (2021). Using multilevel models for the analysis of event-related potentials.</w:t>
      </w:r>
      <w:r>
        <w:t xml:space="preserve"> </w:t>
      </w:r>
      <w:r>
        <w:rPr>
          <w:i/>
          <w:iCs/>
        </w:rPr>
        <w:t xml:space="preserve">International Journal of Psychophysiology</w:t>
      </w:r>
      <w:r>
        <w:t xml:space="preserve">,</w:t>
      </w:r>
      <w:r>
        <w:t xml:space="preserve"> </w:t>
      </w:r>
      <w:r>
        <w:rPr>
          <w:i/>
          <w:iCs/>
        </w:rPr>
        <w:t xml:space="preserve">162</w:t>
      </w:r>
      <w:r>
        <w:t xml:space="preserve">, 145–156.</w:t>
      </w:r>
      <w:r>
        <w:t xml:space="preserve"> </w:t>
      </w:r>
      <w:hyperlink r:id="rId370">
        <w:r>
          <w:rPr>
            <w:rStyle w:val="Hyperlink"/>
          </w:rPr>
          <w:t xml:space="preserve">https://doi.org/10.1016/j.ijpsycho.2021.02.006</w:t>
        </w:r>
      </w:hyperlink>
    </w:p>
    <w:bookmarkEnd w:id="371"/>
    <w:bookmarkStart w:id="373" w:name="ref-wagenmakers2012"/>
    <w:p>
      <w:pPr>
        <w:pStyle w:val="Bibliography"/>
      </w:pPr>
      <w:r>
        <w:t xml:space="preserve">Wagenmakers, E.-J., Wetzels, R., Borsboom, D., van der Maas, H. L. J., &amp; Kievit, R. A. (2012). An agenda for purely confirmatory research.</w:t>
      </w:r>
      <w:r>
        <w:t xml:space="preserve"> </w:t>
      </w:r>
      <w:r>
        <w:rPr>
          <w:i/>
          <w:iCs/>
        </w:rPr>
        <w:t xml:space="preserve">Perspectives on Psychological Science</w:t>
      </w:r>
      <w:r>
        <w:t xml:space="preserve">,</w:t>
      </w:r>
      <w:r>
        <w:t xml:space="preserve"> </w:t>
      </w:r>
      <w:r>
        <w:rPr>
          <w:i/>
          <w:iCs/>
        </w:rPr>
        <w:t xml:space="preserve">7</w:t>
      </w:r>
      <w:r>
        <w:t xml:space="preserve">(6), 632–638.</w:t>
      </w:r>
      <w:r>
        <w:t xml:space="preserve"> </w:t>
      </w:r>
      <w:hyperlink r:id="rId372">
        <w:r>
          <w:rPr>
            <w:rStyle w:val="Hyperlink"/>
          </w:rPr>
          <w:t xml:space="preserve">https://doi.org/10.1177/1745691612463078</w:t>
        </w:r>
      </w:hyperlink>
    </w:p>
    <w:bookmarkEnd w:id="373"/>
    <w:bookmarkStart w:id="375" w:name="ref-wang2024"/>
    <w:p>
      <w:pPr>
        <w:pStyle w:val="Bibliography"/>
      </w:pPr>
      <w:r>
        <w:t xml:space="preserve">Wang, L., &amp; Kuperberg, G. R. (2024). Better together: Integrating multivariate with univariate methods, and</w:t>
      </w:r>
      <w:r>
        <w:t xml:space="preserve"> </w:t>
      </w:r>
      <w:r>
        <w:t xml:space="preserve">MEG</w:t>
      </w:r>
      <w:r>
        <w:t xml:space="preserve"> </w:t>
      </w:r>
      <w:r>
        <w:t xml:space="preserve">with</w:t>
      </w:r>
      <w:r>
        <w:t xml:space="preserve"> </w:t>
      </w:r>
      <w:r>
        <w:t xml:space="preserve">EEG</w:t>
      </w:r>
      <w:r>
        <w:t xml:space="preserve"> </w:t>
      </w:r>
      <w:r>
        <w:t xml:space="preserve">to study language comprehension.</w:t>
      </w:r>
      <w:r>
        <w:t xml:space="preserve"> </w:t>
      </w:r>
      <w:r>
        <w:rPr>
          <w:i/>
          <w:iCs/>
        </w:rPr>
        <w:t xml:space="preserve">Language, Cognition and Neuroscience</w:t>
      </w:r>
      <w:r>
        <w:t xml:space="preserve">,</w:t>
      </w:r>
      <w:r>
        <w:t xml:space="preserve"> </w:t>
      </w:r>
      <w:r>
        <w:rPr>
          <w:i/>
          <w:iCs/>
        </w:rPr>
        <w:t xml:space="preserve">39</w:t>
      </w:r>
      <w:r>
        <w:t xml:space="preserve">(8), 991–1019.</w:t>
      </w:r>
      <w:r>
        <w:t xml:space="preserve"> </w:t>
      </w:r>
      <w:hyperlink r:id="rId374">
        <w:r>
          <w:rPr>
            <w:rStyle w:val="Hyperlink"/>
          </w:rPr>
          <w:t xml:space="preserve">https://doi.org/10.1080/23273798.2023.2223783</w:t>
        </w:r>
      </w:hyperlink>
    </w:p>
    <w:bookmarkEnd w:id="375"/>
    <w:bookmarkStart w:id="377" w:name="ref-westergaard2021"/>
    <w:p>
      <w:pPr>
        <w:pStyle w:val="Bibliography"/>
      </w:pPr>
      <w:r>
        <w:t xml:space="preserve">Westergaard, M. (2021). Microvariation in multilingual situations: The importance of property-by-property acquisition.</w:t>
      </w:r>
      <w:r>
        <w:t xml:space="preserve"> </w:t>
      </w:r>
      <w:r>
        <w:rPr>
          <w:i/>
          <w:iCs/>
        </w:rPr>
        <w:t xml:space="preserve">Second Language Research</w:t>
      </w:r>
      <w:r>
        <w:t xml:space="preserve">,</w:t>
      </w:r>
      <w:r>
        <w:t xml:space="preserve"> </w:t>
      </w:r>
      <w:r>
        <w:rPr>
          <w:i/>
          <w:iCs/>
        </w:rPr>
        <w:t xml:space="preserve">37</w:t>
      </w:r>
      <w:r>
        <w:t xml:space="preserve">(3), 379–407.</w:t>
      </w:r>
      <w:r>
        <w:t xml:space="preserve"> </w:t>
      </w:r>
      <w:hyperlink r:id="rId376">
        <w:r>
          <w:rPr>
            <w:rStyle w:val="Hyperlink"/>
          </w:rPr>
          <w:t xml:space="preserve">https://doi.org/10.1177/0267658319884116</w:t>
        </w:r>
      </w:hyperlink>
    </w:p>
    <w:bookmarkEnd w:id="377"/>
    <w:bookmarkStart w:id="379" w:name="ref-westergaard2017"/>
    <w:p>
      <w:pPr>
        <w:pStyle w:val="Bibliography"/>
      </w:pPr>
      <w:r>
        <w:t xml:space="preserve">Westergaard, M., Mitrofanova, N., Mykhaylyk, R., &amp; Rodina, Y. (2017). Crosslinguistic influence in the acquisition of a third language: The</w:t>
      </w:r>
      <w:r>
        <w:t xml:space="preserve"> </w:t>
      </w:r>
      <w:r>
        <w:t xml:space="preserve">Linguistic Proximity Model</w:t>
      </w:r>
      <w:r>
        <w:t xml:space="preserve">.</w:t>
      </w:r>
      <w:r>
        <w:t xml:space="preserve"> </w:t>
      </w:r>
      <w:r>
        <w:rPr>
          <w:i/>
          <w:iCs/>
        </w:rPr>
        <w:t xml:space="preserve">International Journal of Bilingualism</w:t>
      </w:r>
      <w:r>
        <w:t xml:space="preserve">,</w:t>
      </w:r>
      <w:r>
        <w:t xml:space="preserve"> </w:t>
      </w:r>
      <w:r>
        <w:rPr>
          <w:i/>
          <w:iCs/>
        </w:rPr>
        <w:t xml:space="preserve">21</w:t>
      </w:r>
      <w:r>
        <w:t xml:space="preserve">(6), 666–682.</w:t>
      </w:r>
      <w:r>
        <w:t xml:space="preserve"> </w:t>
      </w:r>
      <w:hyperlink r:id="rId378">
        <w:r>
          <w:rPr>
            <w:rStyle w:val="Hyperlink"/>
          </w:rPr>
          <w:t xml:space="preserve">https://doi.org/10.1177/1367006916648859</w:t>
        </w:r>
      </w:hyperlink>
    </w:p>
    <w:bookmarkEnd w:id="379"/>
    <w:bookmarkStart w:id="381" w:name="ref-westergaard2023"/>
    <w:p>
      <w:pPr>
        <w:pStyle w:val="Bibliography"/>
      </w:pPr>
      <w:r>
        <w:t xml:space="preserve">Westergaard, M., Mitrofanova, N., Rodina, Y., &amp; Slabakova, R. (2023). Full transfer potential in</w:t>
      </w:r>
      <w:r>
        <w:t xml:space="preserve"> </w:t>
      </w:r>
      <w:r>
        <w:t xml:space="preserve">L3/Ln</w:t>
      </w:r>
      <w:r>
        <w:t xml:space="preserve"> </w:t>
      </w:r>
      <w:r>
        <w:t xml:space="preserve">acquisition: Crosslinguistic influence as a property-by-property process. In</w:t>
      </w:r>
      <w:r>
        <w:t xml:space="preserve"> </w:t>
      </w:r>
      <w:r>
        <w:rPr>
          <w:i/>
          <w:iCs/>
        </w:rPr>
        <w:t xml:space="preserve">The cambridge handbook of third language acquisition</w:t>
      </w:r>
      <w:r>
        <w:t xml:space="preserve"> </w:t>
      </w:r>
      <w:r>
        <w:t xml:space="preserve">(pp. 219–242). Cambridge University Press.</w:t>
      </w:r>
      <w:r>
        <w:t xml:space="preserve"> </w:t>
      </w:r>
      <w:hyperlink r:id="rId380">
        <w:r>
          <w:rPr>
            <w:rStyle w:val="Hyperlink"/>
          </w:rPr>
          <w:t xml:space="preserve">https://doi.org/10.1017/9781108957823.010</w:t>
        </w:r>
      </w:hyperlink>
    </w:p>
    <w:bookmarkEnd w:id="381"/>
    <w:bookmarkStart w:id="383" w:name="ref-white2012"/>
    <w:p>
      <w:pPr>
        <w:pStyle w:val="Bibliography"/>
      </w:pPr>
      <w:r>
        <w:t xml:space="preserve">White, E. J., Genesee, F., &amp; Steinhauer, K. (2012). Brain responses before and after intensive second language learning: Proficiency based changes and first language background effects in adult learners.</w:t>
      </w:r>
      <w:r>
        <w:t xml:space="preserve"> </w:t>
      </w:r>
      <w:r>
        <w:rPr>
          <w:i/>
          <w:iCs/>
        </w:rPr>
        <w:t xml:space="preserve">PLoS ONE</w:t>
      </w:r>
      <w:r>
        <w:t xml:space="preserve">,</w:t>
      </w:r>
      <w:r>
        <w:t xml:space="preserve"> </w:t>
      </w:r>
      <w:r>
        <w:rPr>
          <w:i/>
          <w:iCs/>
        </w:rPr>
        <w:t xml:space="preserve">7</w:t>
      </w:r>
      <w:r>
        <w:t xml:space="preserve">(12), e52318.</w:t>
      </w:r>
      <w:r>
        <w:t xml:space="preserve"> </w:t>
      </w:r>
      <w:hyperlink r:id="rId382">
        <w:r>
          <w:rPr>
            <w:rStyle w:val="Hyperlink"/>
          </w:rPr>
          <w:t xml:space="preserve">https://doi.org/10.1371/journal.pone.0052318</w:t>
        </w:r>
      </w:hyperlink>
    </w:p>
    <w:bookmarkEnd w:id="383"/>
    <w:bookmarkStart w:id="385" w:name="ref-wickham2016"/>
    <w:p>
      <w:pPr>
        <w:pStyle w:val="Bibliography"/>
      </w:pPr>
      <w:r>
        <w:t xml:space="preserve">Wickham, H. (2016).</w:t>
      </w:r>
      <w:r>
        <w:t xml:space="preserve"> </w:t>
      </w:r>
      <w:r>
        <w:rPr>
          <w:i/>
          <w:iCs/>
        </w:rPr>
        <w:t xml:space="preserve">ggplot2</w:t>
      </w:r>
      <w:r>
        <w:rPr>
          <w:i/>
          <w:iCs/>
        </w:rPr>
        <w:t xml:space="preserve">: Elegant graphics for data analysis</w:t>
      </w:r>
      <w:r>
        <w:t xml:space="preserve">. Springer International Publishing.</w:t>
      </w:r>
      <w:r>
        <w:t xml:space="preserve"> </w:t>
      </w:r>
      <w:hyperlink r:id="rId384">
        <w:r>
          <w:rPr>
            <w:rStyle w:val="Hyperlink"/>
          </w:rPr>
          <w:t xml:space="preserve">https://doi.org/10.1007/978-3-319-24277-4</w:t>
        </w:r>
      </w:hyperlink>
    </w:p>
    <w:bookmarkEnd w:id="385"/>
    <w:bookmarkStart w:id="387" w:name="ref-widmann2015"/>
    <w:p>
      <w:pPr>
        <w:pStyle w:val="Bibliography"/>
      </w:pPr>
      <w:r>
        <w:t xml:space="preserve">Widmann, A., Schröger, E., &amp; Maess, B. (2015). Digital filter design for electrophysiological data – a practical approach.</w:t>
      </w:r>
      <w:r>
        <w:t xml:space="preserve"> </w:t>
      </w:r>
      <w:r>
        <w:rPr>
          <w:i/>
          <w:iCs/>
        </w:rPr>
        <w:t xml:space="preserve">Journal of Neuroscience Methods</w:t>
      </w:r>
      <w:r>
        <w:t xml:space="preserve">,</w:t>
      </w:r>
      <w:r>
        <w:t xml:space="preserve"> </w:t>
      </w:r>
      <w:r>
        <w:rPr>
          <w:i/>
          <w:iCs/>
        </w:rPr>
        <w:t xml:space="preserve">250</w:t>
      </w:r>
      <w:r>
        <w:t xml:space="preserve">, 34–46.</w:t>
      </w:r>
      <w:r>
        <w:t xml:space="preserve"> </w:t>
      </w:r>
      <w:hyperlink r:id="rId386">
        <w:r>
          <w:rPr>
            <w:rStyle w:val="Hyperlink"/>
          </w:rPr>
          <w:t xml:space="preserve">https://doi.org/10.1016/j.jneumeth.2014.08.002</w:t>
        </w:r>
      </w:hyperlink>
    </w:p>
    <w:bookmarkEnd w:id="387"/>
    <w:bookmarkStart w:id="389" w:name="ref-xu2024"/>
    <w:p>
      <w:pPr>
        <w:pStyle w:val="Bibliography"/>
      </w:pPr>
      <w:r>
        <w:t xml:space="preserve">Xu, E. S., Matthews, S., Yip, V., &amp; Wong, P. C. M. (2024). Memory systems modulate crosslinguistic influence on third language morphosyntactic acquisition.</w:t>
      </w:r>
      <w:r>
        <w:t xml:space="preserve"> </w:t>
      </w:r>
      <w:r>
        <w:rPr>
          <w:i/>
          <w:iCs/>
        </w:rPr>
        <w:t xml:space="preserve">PLOS ONE</w:t>
      </w:r>
      <w:r>
        <w:t xml:space="preserve">,</w:t>
      </w:r>
      <w:r>
        <w:t xml:space="preserve"> </w:t>
      </w:r>
      <w:r>
        <w:rPr>
          <w:i/>
          <w:iCs/>
        </w:rPr>
        <w:t xml:space="preserve">19</w:t>
      </w:r>
      <w:r>
        <w:t xml:space="preserve">(7), e0304572.</w:t>
      </w:r>
      <w:r>
        <w:t xml:space="preserve"> </w:t>
      </w:r>
      <w:hyperlink r:id="rId388">
        <w:r>
          <w:rPr>
            <w:rStyle w:val="Hyperlink"/>
          </w:rPr>
          <w:t xml:space="preserve">https://doi.org/10.1371/journal.pone.0304572</w:t>
        </w:r>
      </w:hyperlink>
    </w:p>
    <w:bookmarkEnd w:id="389"/>
    <w:bookmarkStart w:id="391" w:name="ref-zhao2025"/>
    <w:p>
      <w:pPr>
        <w:pStyle w:val="Bibliography"/>
      </w:pPr>
      <w:r>
        <w:t xml:space="preserve">Zhao, J., Gao, R., &amp; Brennan, J. R. (2025). Decoding the neural dynamics of headed syntactic structure building.</w:t>
      </w:r>
      <w:r>
        <w:t xml:space="preserve"> </w:t>
      </w:r>
      <w:r>
        <w:rPr>
          <w:i/>
          <w:iCs/>
        </w:rPr>
        <w:t xml:space="preserve">The Journal of Neuroscience</w:t>
      </w:r>
      <w:r>
        <w:t xml:space="preserve">,</w:t>
      </w:r>
      <w:r>
        <w:t xml:space="preserve"> </w:t>
      </w:r>
      <w:r>
        <w:rPr>
          <w:i/>
          <w:iCs/>
        </w:rPr>
        <w:t xml:space="preserve">45</w:t>
      </w:r>
      <w:r>
        <w:t xml:space="preserve">(17), e2126242025.</w:t>
      </w:r>
      <w:r>
        <w:t xml:space="preserve"> </w:t>
      </w:r>
      <w:hyperlink r:id="rId390">
        <w:r>
          <w:rPr>
            <w:rStyle w:val="Hyperlink"/>
          </w:rPr>
          <w:t xml:space="preserve">https://doi.org/10.1523/JNEUROSCI.2126-24.2025</w:t>
        </w:r>
      </w:hyperlink>
    </w:p>
    <w:bookmarkEnd w:id="391"/>
    <w:bookmarkEnd w:id="392"/>
    <w:p>
      <w:pPr>
        <w:pStyle w:val="Heading1"/>
      </w:pPr>
      <w:r>
        <w:t xml:space="preserve">Appendix A</w:t>
      </w:r>
    </w:p>
    <w:bookmarkStart w:id="397" w:name="apx-analytic-decisions-in-detail"/>
    <w:p>
      <w:pPr>
        <w:pStyle w:val="Heading1"/>
      </w:pPr>
      <w:r>
        <w:t xml:space="preserve">Analytic decisions in detail</w:t>
      </w:r>
    </w:p>
    <w:p>
      <w:pPr>
        <w:pStyle w:val="FirstParagraph"/>
      </w:pPr>
      <w:r>
        <w:t xml:space="preserve">This appendix sets out the reasoning behind two analytic choices that the Method states</w:t>
      </w:r>
      <w:r>
        <w:t xml:space="preserve"> </w:t>
      </w:r>
      <w:r>
        <w:t xml:space="preserve">but does not argue in full: the retention of the by-item grammaticality slope in the ERP</w:t>
      </w:r>
      <w:r>
        <w:t xml:space="preserve"> </w:t>
      </w:r>
      <w:r>
        <w:t xml:space="preserve">models, and the definition of the false-discovery-rate correction family for the</w:t>
      </w:r>
      <w:r>
        <w:t xml:space="preserve"> </w:t>
      </w:r>
      <w:r>
        <w:t xml:space="preserve">decoding analyses.</w:t>
      </w:r>
    </w:p>
    <w:bookmarkStart w:id="393" w:name="the-by-item-grammaticality-slope"/>
    <w:p>
      <w:pPr>
        <w:pStyle w:val="Heading2"/>
      </w:pPr>
      <w:r>
        <w:t xml:space="preserve">The by-item grammaticality slope</w:t>
      </w:r>
    </w:p>
    <w:p>
      <w:pPr>
        <w:pStyle w:val="FirstParagraph"/>
      </w:pPr>
      <w:r>
        <w:t xml:space="preserve">The reason for keeping the by-item grammaticality slope is that dropping it would bias the</w:t>
      </w:r>
      <w:r>
        <w:t xml:space="preserve"> </w:t>
      </w:r>
      <w:r>
        <w:t xml:space="preserve">test in the direction of the hypothesis.</w:t>
      </w:r>
      <w:r>
        <w:t xml:space="preserve"> </w:t>
      </w:r>
      <w:r>
        <w:t xml:space="preserve">Barr et al. (</w:t>
      </w:r>
      <w:hyperlink w:anchor="ref-barr2013">
        <w:r>
          <w:rPr>
            <w:rStyle w:val="Hyperlink"/>
          </w:rPr>
          <w:t xml:space="preserve">2013</w:t>
        </w:r>
      </w:hyperlink>
      <w:r>
        <w:t xml:space="preserve">)</w:t>
      </w:r>
      <w:r>
        <w:t xml:space="preserve"> </w:t>
      </w:r>
      <w:r>
        <w:t xml:space="preserve">show that omitting random-effect</w:t>
      </w:r>
      <w:r>
        <w:t xml:space="preserve"> </w:t>
      </w:r>
      <w:r>
        <w:t xml:space="preserve">structure that is present in the population inflates the Type I error rate. They add that,</w:t>
      </w:r>
      <w:r>
        <w:t xml:space="preserve"> </w:t>
      </w:r>
      <w:r>
        <w:t xml:space="preserve">for within-items manipulations specifically, an intercept-only by-item structure can inflate</w:t>
      </w:r>
      <w:r>
        <w:t xml:space="preserve"> </w:t>
      </w:r>
      <w:r>
        <w:t xml:space="preserve">it severely, whatever method is used to obtain</w:t>
      </w:r>
      <w:r>
        <w:t xml:space="preserve"> </w:t>
      </w:r>
      <m:oMath>
        <m:r>
          <m:t>p</m:t>
        </m:r>
      </m:oMath>
      <w:r>
        <w:t xml:space="preserve">-values or intervals. Grammaticality is a</w:t>
      </w:r>
      <w:r>
        <w:t xml:space="preserve"> </w:t>
      </w:r>
      <w:r>
        <w:t xml:space="preserve">within-item manipulation here, so an item term carrying only an intercept and a session</w:t>
      </w:r>
      <w:r>
        <w:t xml:space="preserve"> </w:t>
      </w:r>
      <w:r>
        <w:t xml:space="preserve">slope is exactly that case for the effect under test.</w:t>
      </w:r>
    </w:p>
    <w:p>
      <w:pPr>
        <w:pStyle w:val="BodyText"/>
      </w:pPr>
      <w:r>
        <w:t xml:space="preserve">Matuschek et al. (</w:t>
      </w:r>
      <w:hyperlink w:anchor="ref-matuschek2017">
        <w:r>
          <w:rPr>
            <w:rStyle w:val="Hyperlink"/>
          </w:rPr>
          <w:t xml:space="preserve">2017</w:t>
        </w:r>
      </w:hyperlink>
      <w:r>
        <w:t xml:space="preserve">)</w:t>
      </w:r>
      <w:r>
        <w:t xml:space="preserve"> </w:t>
      </w:r>
      <w:r>
        <w:t xml:space="preserve">argue the other side: a maximal model can cost power, and they recommend</w:t>
      </w:r>
      <w:r>
        <w:t xml:space="preserve"> </w:t>
      </w:r>
      <w:r>
        <w:t xml:space="preserve">reducing to a structure the data support. We report the maximal structure nonetheless, for</w:t>
      </w:r>
      <w:r>
        <w:t xml:space="preserve"> </w:t>
      </w:r>
      <w:r>
        <w:t xml:space="preserve">two reasons. Their argument is that a maximal structure the data do not support costs power, a</w:t>
      </w:r>
      <w:r>
        <w:t xml:space="preserve"> </w:t>
      </w:r>
      <w:r>
        <w:t xml:space="preserve">result they establish in simulations of models that converge, so it does not turn on</w:t>
      </w:r>
      <w:r>
        <w:t xml:space="preserve"> </w:t>
      </w:r>
      <w:r>
        <w:t xml:space="preserve">convergence failure. They themselves note that maximal models usually do converge when</w:t>
      </w:r>
      <w:r>
        <w:t xml:space="preserve"> </w:t>
      </w:r>
      <w:r>
        <w:t xml:space="preserve">fitted in a Bayesian framework such as Stan, while explicitly leaving open whether</w:t>
      </w:r>
      <w:r>
        <w:t xml:space="preserve"> </w:t>
      </w:r>
      <w:r>
        <w:t xml:space="preserve">fitting overparameterised maximal models makes sense there. Ours converged, meeting the</w:t>
      </w:r>
      <w:r>
        <w:t xml:space="preserve"> </w:t>
      </w:r>
      <w:r>
        <w:t xml:space="preserve">same criteria as every other</w:t>
      </w:r>
      <w:r>
        <w:t xml:space="preserve"> </w:t>
      </w:r>
      <w:r>
        <w:t xml:space="preserve">model reported here. We also fit the whole grid a second time without the</w:t>
      </w:r>
      <w:r>
        <w:t xml:space="preserve"> </w:t>
      </w:r>
      <w:r>
        <w:t xml:space="preserve">by-item grammaticality slope, so a reader can see which conclusions depend on it. That</w:t>
      </w:r>
      <w:r>
        <w:t xml:space="preserve"> </w:t>
      </w:r>
      <w:r>
        <w:t xml:space="preserve">comparison follows.</w:t>
      </w:r>
    </w:p>
    <w:bookmarkEnd w:id="393"/>
    <w:bookmarkStart w:id="394" w:name="X61f9105b9c4f67c8a70721911d2ac0c431d2f53"/>
    <w:p>
      <w:pPr>
        <w:pStyle w:val="Heading2"/>
      </w:pPr>
      <w:r>
        <w:t xml:space="preserve">Sensitivity to the by-item grammaticality slope</w:t>
      </w:r>
    </w:p>
    <w:p>
      <w:pPr>
        <w:pStyle w:val="FirstParagraph"/>
      </w:pPr>
      <w:r>
        <w:t xml:space="preserve">To show what the maximal structure buys, we refitted the whole grid without the by-item</w:t>
      </w:r>
      <w:r>
        <w:t xml:space="preserve"> </w:t>
      </w:r>
      <w:r>
        <w:t xml:space="preserve">grammaticality slope, the structure a design in which grammaticality varied only within</w:t>
      </w:r>
      <w:r>
        <w:t xml:space="preserve"> </w:t>
      </w:r>
      <w:r>
        <w:t xml:space="preserve">participants would have justified. All eighteen cells met the same convergence criteria</w:t>
      </w:r>
      <w:r>
        <w:t xml:space="preserve"> </w:t>
      </w:r>
      <w:r>
        <w:t xml:space="preserve">under both. The consequence differs sharply between the interaction terms and the main</w:t>
      </w:r>
      <w:r>
        <w:t xml:space="preserve"> </w:t>
      </w:r>
      <w:r>
        <w:t xml:space="preserve">effect, so we separate them.</w:t>
      </w:r>
    </w:p>
    <w:p>
      <w:pPr>
        <w:pStyle w:val="BodyText"/>
      </w:pPr>
      <w:r>
        <w:t xml:space="preserve">The transfer conclusions do not depend on the choice. The interaction is credible for</w:t>
      </w:r>
      <w:r>
        <w:t xml:space="preserve"> </w:t>
      </w:r>
      <w:r>
        <w:t xml:space="preserve">differential object marking and verb–object number agreement under both structures, and</w:t>
      </w:r>
      <w:r>
        <w:t xml:space="preserve"> </w:t>
      </w:r>
      <w:r>
        <w:t xml:space="preserve">its intervals are essentially identical in width (1.00 times the</w:t>
      </w:r>
      <w:r>
        <w:t xml:space="preserve"> </w:t>
      </w:r>
      <w:r>
        <w:t xml:space="preserve">simpler structure’s width at the median). The maximal structure is in fact the more</w:t>
      </w:r>
      <w:r>
        <w:t xml:space="preserve"> </w:t>
      </w:r>
      <w:r>
        <w:t xml:space="preserve">generous of the two here, since one further cell reaches credibility under it</w:t>
      </w:r>
      <w:r>
        <w:t xml:space="preserve"> </w:t>
      </w:r>
      <w:r>
        <w:t xml:space="preserve">(differential object marking, 300–600 ms</w:t>
      </w:r>
      <w:r>
        <w:t xml:space="preserve"> </w:t>
      </w:r>
      <w:r>
        <w:t xml:space="preserve">lateral). The count is</w:t>
      </w:r>
      <w:r>
        <w:t xml:space="preserve"> </w:t>
      </w:r>
      <w:r>
        <w:t xml:space="preserve">3 of 18</w:t>
      </w:r>
      <w:r>
        <w:t xml:space="preserve"> </w:t>
      </w:r>
      <w:r>
        <w:t xml:space="preserve">cells against</w:t>
      </w:r>
      <w:r>
        <w:t xml:space="preserve"> </w:t>
      </w:r>
      <w:r>
        <w:t xml:space="preserve">2 of 18</w:t>
      </w:r>
      <w:r>
        <w:t xml:space="preserve"> </w:t>
      </w:r>
      <w:r>
        <w:t xml:space="preserve">without the slope.</w:t>
      </w:r>
    </w:p>
    <w:p>
      <w:pPr>
        <w:pStyle w:val="BodyText"/>
      </w:pPr>
      <w:r>
        <w:t xml:space="preserve">The grammaticality main effect is a different matter, and it is where the simpler</w:t>
      </w:r>
      <w:r>
        <w:t xml:space="preserve"> </w:t>
      </w:r>
      <w:r>
        <w:t xml:space="preserve">structure would have misled. Posterior medians barely move between the two, but the</w:t>
      </w:r>
      <w:r>
        <w:t xml:space="preserve"> </w:t>
      </w:r>
      <w:r>
        <w:t xml:space="preserve">maximal structure’s intervals are about</w:t>
      </w:r>
      <w:r>
        <w:t xml:space="preserve"> </w:t>
      </w:r>
      <w:r>
        <w:t xml:space="preserve">1.13 times as wide as the simpler</w:t>
      </w:r>
      <w:r>
        <w:t xml:space="preserve"> </w:t>
      </w:r>
      <w:r>
        <w:t xml:space="preserve">structure’s, and that widening is enough to change how many cells clear the credibility</w:t>
      </w:r>
      <w:r>
        <w:t xml:space="preserve"> </w:t>
      </w:r>
      <w:r>
        <w:t xml:space="preserve">threshold. For gender agreement, the count is</w:t>
      </w:r>
      <w:r>
        <w:t xml:space="preserve"> </w:t>
      </w:r>
      <w:r>
        <w:t xml:space="preserve">2 of 6 cells under</w:t>
      </w:r>
      <w:r>
        <w:t xml:space="preserve"> </w:t>
      </w:r>
      <w:r>
        <w:t xml:space="preserve">the maximal structure against</w:t>
      </w:r>
      <w:r>
        <w:t xml:space="preserve"> </w:t>
      </w:r>
      <w:r>
        <w:t xml:space="preserve">5 of 6 without the slope,</w:t>
      </w:r>
      <w:r>
        <w:t xml:space="preserve"> </w:t>
      </w:r>
      <w:r>
        <w:t xml:space="preserve">and, for differential object marking,</w:t>
      </w:r>
      <w:r>
        <w:t xml:space="preserve"> </w:t>
      </w:r>
      <w:r>
        <w:t xml:space="preserve">1 of 6</w:t>
      </w:r>
      <w:r>
        <w:t xml:space="preserve"> </w:t>
      </w:r>
      <w:r>
        <w:t xml:space="preserve">against 2 of 6.</w:t>
      </w:r>
      <w:r>
        <w:t xml:space="preserve"> </w:t>
      </w:r>
      <w:r>
        <w:t xml:space="preserve">By-item variability in the grammaticality response is therefore not negligible in these</w:t>
      </w:r>
      <w:r>
        <w:t xml:space="preserve"> </w:t>
      </w:r>
      <w:r>
        <w:t xml:space="preserve">data. Had we reported the simpler structure, we would have described the gender-agreement</w:t>
      </w:r>
      <w:r>
        <w:t xml:space="preserve"> </w:t>
      </w:r>
      <w:r>
        <w:t xml:space="preserve">grammaticality effect as credible across nearly the whole grid. Under the structure the</w:t>
      </w:r>
      <w:r>
        <w:t xml:space="preserve"> </w:t>
      </w:r>
      <w:r>
        <w:t xml:space="preserve">design justifies, it keeps its sign and magnitude but is credible in a minority of</w:t>
      </w:r>
      <w:r>
        <w:t xml:space="preserve"> </w:t>
      </w:r>
      <w:r>
        <w:t xml:space="preserve">cells. The structure-dependent claim is therefore how widely the effect is distributed,</w:t>
      </w:r>
      <w:r>
        <w:t xml:space="preserve"> </w:t>
      </w:r>
      <w:r>
        <w:t xml:space="preserve">while the existence and direction of the effect hold under both.</w:t>
      </w:r>
    </w:p>
    <w:bookmarkEnd w:id="394"/>
    <w:bookmarkStart w:id="395" w:name="the-session-3-filter-exclusion"/>
    <w:p>
      <w:pPr>
        <w:pStyle w:val="Heading2"/>
      </w:pPr>
      <w:r>
        <w:t xml:space="preserve">The Session 3 filter exclusion</w:t>
      </w:r>
    </w:p>
    <w:p>
      <w:pPr>
        <w:pStyle w:val="FirstParagraph"/>
      </w:pPr>
      <w:r>
        <w:t xml:space="preserve">The Method excludes the Session 3 recordings of four participants, which were high-pass</w:t>
      </w:r>
      <w:r>
        <w:t xml:space="preserve"> </w:t>
      </w:r>
      <w:r>
        <w:t xml:space="preserve">filtered at 1 Hz where every other recording was filtered at 0.1 Hz. We did not assess</w:t>
      </w:r>
      <w:r>
        <w:t xml:space="preserve"> </w:t>
      </w:r>
      <w:r>
        <w:t xml:space="preserve">whether these participants’ data look unusual, and the exclusion does not rest on that.</w:t>
      </w:r>
      <w:r>
        <w:t xml:space="preserve"> </w:t>
      </w:r>
      <w:r>
        <w:t xml:space="preserve">It rests on the setting itself, which is a documented generator of artefacts in this kind</w:t>
      </w:r>
      <w:r>
        <w:t xml:space="preserve"> </w:t>
      </w:r>
      <w:r>
        <w:t xml:space="preserve">of paradigm. Filtering data from a syntactic- and semantic-violation experiment at</w:t>
      </w:r>
      <w:r>
        <w:t xml:space="preserve"> </w:t>
      </w:r>
      <w:r>
        <w:t xml:space="preserve">cutoffs of 0.3 Hz and above introduces spurious deflections of opposite polarity</w:t>
      </w:r>
      <w:r>
        <w:t xml:space="preserve"> </w:t>
      </w:r>
      <w:r>
        <w:t xml:space="preserve">immediately before the true N400 and P600 effects</w:t>
      </w:r>
      <w:r>
        <w:t xml:space="preserve"> </w:t>
      </w:r>
      <w:r>
        <w:t xml:space="preserve">(</w:t>
      </w:r>
      <w:hyperlink w:anchor="ref-tanner2015">
        <w:r>
          <w:rPr>
            <w:rStyle w:val="Hyperlink"/>
          </w:rPr>
          <w:t xml:space="preserve">Tanner et al., 2015</w:t>
        </w:r>
      </w:hyperlink>
      <w:r>
        <w:t xml:space="preserve">)</w:t>
      </w:r>
      <w:r>
        <w:t xml:space="preserve">, and 1 Hz lies well</w:t>
      </w:r>
      <w:r>
        <w:t xml:space="preserve"> </w:t>
      </w:r>
      <w:r>
        <w:t xml:space="preserve">inside that range. The general principle, that a high-pass cutoff must be matched to the</w:t>
      </w:r>
      <w:r>
        <w:t xml:space="preserve"> </w:t>
      </w:r>
      <w:r>
        <w:t xml:space="preserve">analysis window because an inappropriate one generates artefactual slow deflections, is</w:t>
      </w:r>
      <w:r>
        <w:t xml:space="preserve"> </w:t>
      </w:r>
      <w:r>
        <w:t xml:space="preserve">set out by</w:t>
      </w:r>
      <w:r>
        <w:t xml:space="preserve"> </w:t>
      </w:r>
      <w:r>
        <w:t xml:space="preserve">Widmann et al. (</w:t>
      </w:r>
      <w:hyperlink w:anchor="ref-widmann2015">
        <w:r>
          <w:rPr>
            <w:rStyle w:val="Hyperlink"/>
          </w:rPr>
          <w:t xml:space="preserve">2015</w:t>
        </w:r>
      </w:hyperlink>
      <w:r>
        <w:t xml:space="preserve">)</w:t>
      </w:r>
      <w:r>
        <w:t xml:space="preserve">. Because the exclusion follows from the filter’s known</w:t>
      </w:r>
      <w:r>
        <w:t xml:space="preserve"> </w:t>
      </w:r>
      <w:r>
        <w:t xml:space="preserve">behaviour, and nothing observed in these participants bore on it, it is not a</w:t>
      </w:r>
      <w:r>
        <w:t xml:space="preserve"> </w:t>
      </w:r>
      <w:r>
        <w:t xml:space="preserve">results-contingent choice.</w:t>
      </w:r>
    </w:p>
    <w:bookmarkEnd w:id="395"/>
    <w:bookmarkStart w:id="396" w:name="the-decoding-correction-family"/>
    <w:p>
      <w:pPr>
        <w:pStyle w:val="Heading2"/>
      </w:pPr>
      <w:r>
        <w:t xml:space="preserve">The decoding correction family</w:t>
      </w:r>
    </w:p>
    <w:p>
      <w:pPr>
        <w:pStyle w:val="FirstParagraph"/>
      </w:pPr>
      <w:r>
        <w:t xml:space="preserve">The Method states how the second layer of multiplicity control on the decoding analyses</w:t>
      </w:r>
      <w:r>
        <w:t xml:space="preserve"> </w:t>
      </w:r>
      <w:r>
        <w:t xml:space="preserve">is defined. Correcting instead across the pooled, per-session and</w:t>
      </w:r>
      <w:r>
        <w:t xml:space="preserve"> </w:t>
      </w:r>
      <w:r>
        <w:t xml:space="preserve">per-session-by-language cells of one property would span nested, overlapping re-analyses</w:t>
      </w:r>
      <w:r>
        <w:t xml:space="preserve"> </w:t>
      </w:r>
      <w:r>
        <w:t xml:space="preserve">of the same trials. Across those, the number of hypotheses is not well defined, and the</w:t>
      </w:r>
      <w:r>
        <w:t xml:space="preserve"> </w:t>
      </w:r>
      <w:r>
        <w:t xml:space="preserve">positive-dependence condition that licenses Benjamini–Hochberg under dependence cannot</w:t>
      </w:r>
      <w:r>
        <w:t xml:space="preserve"> </w:t>
      </w:r>
      <w:r>
        <w:t xml:space="preserve">be established. A false-discovery rate computed over such a family is not interpretable.</w:t>
      </w:r>
      <w:r>
        <w:t xml:space="preserve"> </w:t>
      </w:r>
      <w:r>
        <w:t xml:space="preserve">The three properties’ pooled time-courses rest on disjoint sets of trials, and correcting</w:t>
      </w:r>
      <w:r>
        <w:t xml:space="preserve"> </w:t>
      </w:r>
      <w:r>
        <w:t xml:space="preserve">each property’s family separately keeps every family self-contained. The confirmatory decisions reported here rest on the family just defined and on the full permutation null. Only the exploratory breakdowns for gender agreement still carry the coarser null of the earlier run, and no decision in the confirmatory family depends on them.</w:t>
      </w:r>
    </w:p>
    <w:p>
      <w:r>
        <w:br w:type="page"/>
      </w:r>
    </w:p>
    <w:bookmarkEnd w:id="396"/>
    <w:bookmarkEnd w:id="397"/>
    <w:p>
      <w:pPr>
        <w:pStyle w:val="Heading1"/>
      </w:pPr>
      <w:r>
        <w:t xml:space="preserve">Appendix B</w:t>
      </w:r>
    </w:p>
    <w:bookmarkStart w:id="400" w:name="apx-retention-tables"/>
    <w:p>
      <w:pPr>
        <w:pStyle w:val="Heading1"/>
      </w:pPr>
      <w:r>
        <w:t xml:space="preserve">Retention contrasts in full</w:t>
      </w:r>
    </w:p>
    <w:p>
      <w:pPr>
        <w:pStyle w:val="FirstParagraph"/>
      </w:pPr>
      <w:r>
        <w:t xml:space="preserve">The Results report the retention contrasts that carry the argument. The two tables below</w:t>
      </w:r>
      <w:r>
        <w:t xml:space="preserve"> </w:t>
      </w:r>
      <w:r>
        <w:t xml:space="preserve">give the full record: every Session 4 to Session 6 contrast of the reported ERP and accuracy</w:t>
      </w:r>
      <w:r>
        <w:t xml:space="preserve"> </w:t>
      </w:r>
      <w:r>
        <w:t xml:space="preserve">models (</w:t>
      </w:r>
      <w:hyperlink w:anchor="tbl-retention">
        <w:r>
          <w:rPr>
            <w:rStyle w:val="Hyperlink"/>
          </w:rPr>
          <w:t xml:space="preserve">Table B1</w:t>
        </w:r>
      </w:hyperlink>
      <w:r>
        <w:t xml:space="preserve">), and every retention-free contrast from the refits that carry an</w:t>
      </w:r>
      <w:r>
        <w:t xml:space="preserve"> </w:t>
      </w:r>
      <w:r>
        <w:t xml:space="preserve">explicit retention indicator (</w:t>
      </w:r>
      <w:hyperlink w:anchor="tbl-retention-free">
        <w:r>
          <w:rPr>
            <w:rStyle w:val="Hyperlink"/>
          </w:rPr>
          <w:t xml:space="preserve">Table B2</w:t>
        </w:r>
      </w:hyperlink>
      <w:r>
        <w:t xml:space="preserve">). Both are read from the pooled contrast</w:t>
      </w:r>
      <w:r>
        <w:t xml:space="preserve"> </w:t>
      </w:r>
      <w:r>
        <w:t xml:space="preserve">artefact and reproduce with it.</w:t>
      </w:r>
    </w:p>
    <w:bookmarkStart w:id="398" w:name="tbl-retention"/>
    <w:p>
      <w:pPr>
        <w:pStyle w:val="FigureTitle"/>
      </w:pPr>
      <w:r>
        <w:t xml:space="preserve">Table B1</w:t>
      </w:r>
    </w:p>
    <w:p>
      <w:pPr>
        <w:pStyle w:val="Caption"/>
      </w:pPr>
      <w:r>
        <w:t xml:space="preserve">Session 4 to Session 6 Retention Contrasts</w:t>
      </w:r>
    </w:p>
    <w:tbl>
      <w:tblPr>
        <w:tblStyle w:val="Table"/>
        <w:tblW w:type="pct" w:w="5000"/>
        <w:tblLayout w:type="fixed"/>
        <w:tblLook w:firstRow="1" w:lastRow="0" w:firstColumn="0" w:lastColumn="0" w:noHBand="0" w:noVBand="0" w:val="0020"/>
      </w:tblPr>
      <w:tblGrid>
        <w:gridCol w:w="1425"/>
        <w:gridCol w:w="871"/>
        <w:gridCol w:w="712"/>
        <w:gridCol w:w="712"/>
        <w:gridCol w:w="1425"/>
        <w:gridCol w:w="792"/>
        <w:gridCol w:w="1504"/>
        <w:gridCol w:w="475"/>
      </w:tblGrid>
      <w:tr>
        <w:trPr>
          <w:tblHeader w:val="on"/>
        </w:trPr>
        <w:tc>
          <w:tcPr/>
          <w:p>
            <w:pPr>
              <w:pStyle w:val="Compact"/>
              <w:jc w:val="left"/>
            </w:pPr>
            <w:r>
              <w:t xml:space="preserve">Property</w:t>
            </w:r>
          </w:p>
        </w:tc>
        <w:tc>
          <w:tcPr/>
          <w:p>
            <w:pPr>
              <w:pStyle w:val="Compact"/>
              <w:jc w:val="left"/>
            </w:pPr>
            <w:r>
              <w:t xml:space="preserve">Window (ms)</w:t>
            </w:r>
          </w:p>
        </w:tc>
        <w:tc>
          <w:tcPr/>
          <w:p>
            <w:pPr>
              <w:pStyle w:val="Compact"/>
              <w:jc w:val="left"/>
            </w:pPr>
            <w:r>
              <w:t xml:space="preserve">Region</w:t>
            </w:r>
          </w:p>
        </w:tc>
        <w:tc>
          <w:tcPr/>
          <w:p>
            <w:pPr>
              <w:pStyle w:val="Compact"/>
              <w:jc w:val="left"/>
            </w:pPr>
            <w:r>
              <w:t xml:space="preserve">Measure</w:t>
            </w:r>
          </w:p>
        </w:tc>
        <w:tc>
          <w:tcPr/>
          <w:p>
            <w:pPr>
              <w:pStyle w:val="Compact"/>
              <w:jc w:val="left"/>
            </w:pPr>
            <w:r>
              <w:t xml:space="preserve">Contrast</w:t>
            </w:r>
          </w:p>
        </w:tc>
        <w:tc>
          <w:tcPr/>
          <w:p>
            <w:pPr>
              <w:pStyle w:val="Compact"/>
              <w:jc w:val="right"/>
            </w:pPr>
            <w:r>
              <w:t xml:space="preserve">Median</w:t>
            </w:r>
          </w:p>
        </w:tc>
        <w:tc>
          <w:tcPr/>
          <w:p>
            <w:pPr>
              <w:pStyle w:val="Compact"/>
              <w:jc w:val="right"/>
            </w:pPr>
            <w:r>
              <w:t xml:space="preserve">95% CrI</w:t>
            </w:r>
          </w:p>
        </w:tc>
        <w:tc>
          <w:tcPr/>
          <w:p>
            <w:pPr>
              <w:pStyle w:val="Compact"/>
              <w:jc w:val="right"/>
            </w:pPr>
            <m:oMath>
              <m:sSub>
                <m:e>
                  <m:r>
                    <m:t>p</m:t>
                  </m:r>
                </m:e>
                <m:sub>
                  <m:r>
                    <m:t>d</m:t>
                  </m:r>
                </m:sub>
              </m:sSub>
            </m:oMath>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0.0114</w:t>
            </w:r>
          </w:p>
        </w:tc>
        <w:tc>
          <w:tcPr/>
          <w:p>
            <w:pPr>
              <w:pStyle w:val="Compact"/>
              <w:jc w:val="right"/>
            </w:pPr>
            <w:r>
              <w:t xml:space="preserve">[0.0056, 0.0172]</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0.0105</w:t>
            </w:r>
          </w:p>
        </w:tc>
        <w:tc>
          <w:tcPr/>
          <w:p>
            <w:pPr>
              <w:pStyle w:val="Compact"/>
              <w:jc w:val="right"/>
            </w:pPr>
            <w:r>
              <w:t xml:space="preserve">[0.0021, 0.0189]</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0.0123</w:t>
            </w:r>
          </w:p>
        </w:tc>
        <w:tc>
          <w:tcPr/>
          <w:p>
            <w:pPr>
              <w:pStyle w:val="Compact"/>
              <w:jc w:val="right"/>
            </w:pPr>
            <w:r>
              <w:t xml:space="preserve">[0.0043, 0.0203]</w:t>
            </w:r>
          </w:p>
        </w:tc>
        <w:tc>
          <w:tcPr/>
          <w:p>
            <w:pPr>
              <w:pStyle w:val="Compact"/>
              <w:jc w:val="right"/>
            </w:pPr>
            <w:r>
              <w:t xml:space="preserve">.999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-0.0018</w:t>
            </w:r>
          </w:p>
        </w:tc>
        <w:tc>
          <w:tcPr/>
          <w:p>
            <w:pPr>
              <w:pStyle w:val="Compact"/>
              <w:jc w:val="right"/>
            </w:pPr>
            <w:r>
              <w:t xml:space="preserve">[-0.0135, 0.0098]</w:t>
            </w:r>
          </w:p>
        </w:tc>
        <w:tc>
          <w:tcPr/>
          <w:p>
            <w:pPr>
              <w:pStyle w:val="Compact"/>
              <w:jc w:val="right"/>
            </w:pPr>
            <w:r>
              <w:t xml:space="preserve">.62</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0.0070</w:t>
            </w:r>
          </w:p>
        </w:tc>
        <w:tc>
          <w:tcPr/>
          <w:p>
            <w:pPr>
              <w:pStyle w:val="Compact"/>
              <w:jc w:val="right"/>
            </w:pPr>
            <w:r>
              <w:t xml:space="preserve">[-0.0014, 0.0153]</w:t>
            </w:r>
          </w:p>
        </w:tc>
        <w:tc>
          <w:tcPr/>
          <w:p>
            <w:pPr>
              <w:pStyle w:val="Compact"/>
              <w:jc w:val="right"/>
            </w:pPr>
            <w:r>
              <w:t xml:space="preserve">.95</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0.0135</w:t>
            </w:r>
          </w:p>
        </w:tc>
        <w:tc>
          <w:tcPr/>
          <w:p>
            <w:pPr>
              <w:pStyle w:val="Compact"/>
              <w:jc w:val="right"/>
            </w:pPr>
            <w:r>
              <w:t xml:space="preserve">[0.0014, 0.0257]</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0.0006</w:t>
            </w:r>
          </w:p>
        </w:tc>
        <w:tc>
          <w:tcPr/>
          <w:p>
            <w:pPr>
              <w:pStyle w:val="Compact"/>
              <w:jc w:val="right"/>
            </w:pPr>
            <w:r>
              <w:t xml:space="preserve">[-0.0110, 0.0124]</w:t>
            </w:r>
          </w:p>
        </w:tc>
        <w:tc>
          <w:tcPr/>
          <w:p>
            <w:pPr>
              <w:pStyle w:val="Compact"/>
              <w:jc w:val="right"/>
            </w:pPr>
            <w:r>
              <w:t xml:space="preserve">.54</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0.0128</w:t>
            </w:r>
          </w:p>
        </w:tc>
        <w:tc>
          <w:tcPr/>
          <w:p>
            <w:pPr>
              <w:pStyle w:val="Compact"/>
              <w:jc w:val="right"/>
            </w:pPr>
            <w:r>
              <w:t xml:space="preserve">[-0.0040, 0.0298]</w:t>
            </w:r>
          </w:p>
        </w:tc>
        <w:tc>
          <w:tcPr/>
          <w:p>
            <w:pPr>
              <w:pStyle w:val="Compact"/>
              <w:jc w:val="right"/>
            </w:pPr>
            <w:r>
              <w:t xml:space="preserve">.93</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0.0125</w:t>
            </w:r>
          </w:p>
        </w:tc>
        <w:tc>
          <w:tcPr/>
          <w:p>
            <w:pPr>
              <w:pStyle w:val="Compact"/>
              <w:jc w:val="right"/>
            </w:pPr>
            <w:r>
              <w:t xml:space="preserve">[0.0065, 0.0186]</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0.0101</w:t>
            </w:r>
          </w:p>
        </w:tc>
        <w:tc>
          <w:tcPr/>
          <w:p>
            <w:pPr>
              <w:pStyle w:val="Compact"/>
              <w:jc w:val="right"/>
            </w:pPr>
            <w:r>
              <w:t xml:space="preserve">[0.0013, 0.0188]</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0.0149</w:t>
            </w:r>
          </w:p>
        </w:tc>
        <w:tc>
          <w:tcPr/>
          <w:p>
            <w:pPr>
              <w:pStyle w:val="Compact"/>
              <w:jc w:val="right"/>
            </w:pPr>
            <w:r>
              <w:t xml:space="preserve">[0.0065, 0.0232]</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-0.0048</w:t>
            </w:r>
          </w:p>
        </w:tc>
        <w:tc>
          <w:tcPr/>
          <w:p>
            <w:pPr>
              <w:pStyle w:val="Compact"/>
              <w:jc w:val="right"/>
            </w:pPr>
            <w:r>
              <w:t xml:space="preserve">[-0.0168, 0.0075]</w:t>
            </w:r>
          </w:p>
        </w:tc>
        <w:tc>
          <w:tcPr/>
          <w:p>
            <w:pPr>
              <w:pStyle w:val="Compact"/>
              <w:jc w:val="right"/>
            </w:pPr>
            <w:r>
              <w:t xml:space="preserve">.78</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0.0101</w:t>
            </w:r>
          </w:p>
        </w:tc>
        <w:tc>
          <w:tcPr/>
          <w:p>
            <w:pPr>
              <w:pStyle w:val="Compact"/>
              <w:jc w:val="right"/>
            </w:pPr>
            <w:r>
              <w:t xml:space="preserve">[0.0015, 0.0189]</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0.0143</w:t>
            </w:r>
          </w:p>
        </w:tc>
        <w:tc>
          <w:tcPr/>
          <w:p>
            <w:pPr>
              <w:pStyle w:val="Compact"/>
              <w:jc w:val="right"/>
            </w:pPr>
            <w:r>
              <w:t xml:space="preserve">[0.0016, 0.0268]</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0.0062</w:t>
            </w:r>
          </w:p>
        </w:tc>
        <w:tc>
          <w:tcPr/>
          <w:p>
            <w:pPr>
              <w:pStyle w:val="Compact"/>
              <w:jc w:val="right"/>
            </w:pPr>
            <w:r>
              <w:t xml:space="preserve">[-0.0058, 0.0181]</w:t>
            </w:r>
          </w:p>
        </w:tc>
        <w:tc>
          <w:tcPr/>
          <w:p>
            <w:pPr>
              <w:pStyle w:val="Compact"/>
              <w:jc w:val="right"/>
            </w:pPr>
            <w:r>
              <w:t xml:space="preserve">.84</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0.0082</w:t>
            </w:r>
          </w:p>
        </w:tc>
        <w:tc>
          <w:tcPr/>
          <w:p>
            <w:pPr>
              <w:pStyle w:val="Compact"/>
              <w:jc w:val="right"/>
            </w:pPr>
            <w:r>
              <w:t xml:space="preserve">[-0.0091, 0.0253]</w:t>
            </w:r>
          </w:p>
        </w:tc>
        <w:tc>
          <w:tcPr/>
          <w:p>
            <w:pPr>
              <w:pStyle w:val="Compact"/>
              <w:jc w:val="right"/>
            </w:pPr>
            <w:r>
              <w:t xml:space="preserve">.82</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0.0155</w:t>
            </w:r>
          </w:p>
        </w:tc>
        <w:tc>
          <w:tcPr/>
          <w:p>
            <w:pPr>
              <w:pStyle w:val="Compact"/>
              <w:jc w:val="right"/>
            </w:pPr>
            <w:r>
              <w:t xml:space="preserve">[0.0092, 0.0217]</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0.0119</w:t>
            </w:r>
          </w:p>
        </w:tc>
        <w:tc>
          <w:tcPr/>
          <w:p>
            <w:pPr>
              <w:pStyle w:val="Compact"/>
              <w:jc w:val="right"/>
            </w:pPr>
            <w:r>
              <w:t xml:space="preserve">[0.0027, 0.0208]</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0.0190</w:t>
            </w:r>
          </w:p>
        </w:tc>
        <w:tc>
          <w:tcPr/>
          <w:p>
            <w:pPr>
              <w:pStyle w:val="Compact"/>
              <w:jc w:val="right"/>
            </w:pPr>
            <w:r>
              <w:t xml:space="preserve">[0.0103, 0.0277]</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-0.0071</w:t>
            </w:r>
          </w:p>
        </w:tc>
        <w:tc>
          <w:tcPr/>
          <w:p>
            <w:pPr>
              <w:pStyle w:val="Compact"/>
              <w:jc w:val="right"/>
            </w:pPr>
            <w:r>
              <w:t xml:space="preserve">[-0.0198, 0.0054]</w:t>
            </w:r>
          </w:p>
        </w:tc>
        <w:tc>
          <w:tcPr/>
          <w:p>
            <w:pPr>
              <w:pStyle w:val="Compact"/>
              <w:jc w:val="right"/>
            </w:pPr>
            <w:r>
              <w:t xml:space="preserve">.87</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0.0190</w:t>
            </w:r>
          </w:p>
        </w:tc>
        <w:tc>
          <w:tcPr/>
          <w:p>
            <w:pPr>
              <w:pStyle w:val="Compact"/>
              <w:jc w:val="right"/>
            </w:pPr>
            <w:r>
              <w:t xml:space="preserve">[0.0101, 0.0280]</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0.0189</w:t>
            </w:r>
          </w:p>
        </w:tc>
        <w:tc>
          <w:tcPr/>
          <w:p>
            <w:pPr>
              <w:pStyle w:val="Compact"/>
              <w:jc w:val="right"/>
            </w:pPr>
            <w:r>
              <w:t xml:space="preserve">[0.0058, 0.0321]</w:t>
            </w:r>
          </w:p>
        </w:tc>
        <w:tc>
          <w:tcPr/>
          <w:p>
            <w:pPr>
              <w:pStyle w:val="Compact"/>
              <w:jc w:val="right"/>
            </w:pPr>
            <w:r>
              <w:t xml:space="preserve">.998</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0.0191</w:t>
            </w:r>
          </w:p>
        </w:tc>
        <w:tc>
          <w:tcPr/>
          <w:p>
            <w:pPr>
              <w:pStyle w:val="Compact"/>
              <w:jc w:val="right"/>
            </w:pPr>
            <w:r>
              <w:t xml:space="preserve">[0.0067, 0.0316]</w:t>
            </w:r>
          </w:p>
        </w:tc>
        <w:tc>
          <w:tcPr/>
          <w:p>
            <w:pPr>
              <w:pStyle w:val="Compact"/>
              <w:jc w:val="right"/>
            </w:pPr>
            <w:r>
              <w:t xml:space="preserve">.999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-0.0002</w:t>
            </w:r>
          </w:p>
        </w:tc>
        <w:tc>
          <w:tcPr/>
          <w:p>
            <w:pPr>
              <w:pStyle w:val="Compact"/>
              <w:jc w:val="right"/>
            </w:pPr>
            <w:r>
              <w:t xml:space="preserve">[-0.0184, 0.0179]</w:t>
            </w:r>
          </w:p>
        </w:tc>
        <w:tc>
          <w:tcPr/>
          <w:p>
            <w:pPr>
              <w:pStyle w:val="Compact"/>
              <w:jc w:val="right"/>
            </w:pPr>
            <w:r>
              <w:t xml:space="preserve">.51</w:t>
            </w:r>
          </w:p>
        </w:tc>
      </w:tr>
      <w:tr>
        <w:tc>
          <w:tcPr/>
          <w:p>
            <w:pPr>
              <w:pStyle w:val="Compact"/>
              <w:jc w:val="left"/>
            </w:pPr>
            <w:r>
              <w:t xml:space="preserve">Gender</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Overall</w:t>
            </w:r>
          </w:p>
        </w:tc>
        <w:tc>
          <w:tcPr/>
          <w:p>
            <w:pPr>
              <w:pStyle w:val="Compact"/>
              <w:jc w:val="right"/>
            </w:pPr>
            <w:r>
              <w:t xml:space="preserve">0.19</w:t>
            </w:r>
          </w:p>
        </w:tc>
        <w:tc>
          <w:tcPr/>
          <w:p>
            <w:pPr>
              <w:pStyle w:val="Compact"/>
              <w:jc w:val="right"/>
            </w:pPr>
            <w:r>
              <w:t xml:space="preserve">[0.12, 0.26]</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Norwegian</w:t>
            </w:r>
          </w:p>
        </w:tc>
        <w:tc>
          <w:tcPr/>
          <w:p>
            <w:pPr>
              <w:pStyle w:val="Compact"/>
              <w:jc w:val="right"/>
            </w:pPr>
            <w:r>
              <w:t xml:space="preserve">0.34</w:t>
            </w:r>
          </w:p>
        </w:tc>
        <w:tc>
          <w:tcPr/>
          <w:p>
            <w:pPr>
              <w:pStyle w:val="Compact"/>
              <w:jc w:val="right"/>
            </w:pPr>
            <w:r>
              <w:t xml:space="preserve">[0.26, 0.43]</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English</w:t>
            </w:r>
          </w:p>
        </w:tc>
        <w:tc>
          <w:tcPr/>
          <w:p>
            <w:pPr>
              <w:pStyle w:val="Compact"/>
              <w:jc w:val="right"/>
            </w:pPr>
            <w:r>
              <w:t xml:space="preserve">0.04</w:t>
            </w:r>
          </w:p>
        </w:tc>
        <w:tc>
          <w:tcPr/>
          <w:p>
            <w:pPr>
              <w:pStyle w:val="Compact"/>
              <w:jc w:val="right"/>
            </w:pPr>
            <w:r>
              <w:t xml:space="preserve">[-0.07, 0.14]</w:t>
            </w:r>
          </w:p>
        </w:tc>
        <w:tc>
          <w:tcPr/>
          <w:p>
            <w:pPr>
              <w:pStyle w:val="Compact"/>
              <w:jc w:val="right"/>
            </w:pPr>
            <w:r>
              <w:t xml:space="preserve">.76</w:t>
            </w:r>
          </w:p>
        </w:tc>
      </w:tr>
      <w:tr>
        <w:tc>
          <w:tcPr/>
          <w:p>
            <w:pPr>
              <w:pStyle w:val="Compact"/>
              <w:jc w:val="left"/>
            </w:pPr>
            <w:r>
              <w:t xml:space="preserve">Gender</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Between languages</w:t>
            </w:r>
          </w:p>
        </w:tc>
        <w:tc>
          <w:tcPr/>
          <w:p>
            <w:pPr>
              <w:pStyle w:val="Compact"/>
              <w:jc w:val="right"/>
            </w:pPr>
            <w:r>
              <w:t xml:space="preserve">0.30</w:t>
            </w:r>
          </w:p>
        </w:tc>
        <w:tc>
          <w:tcPr/>
          <w:p>
            <w:pPr>
              <w:pStyle w:val="Compact"/>
              <w:jc w:val="right"/>
            </w:pPr>
            <w:r>
              <w:t xml:space="preserve">[0.17, 0.44]</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-0.0033</w:t>
            </w:r>
          </w:p>
        </w:tc>
        <w:tc>
          <w:tcPr/>
          <w:p>
            <w:pPr>
              <w:pStyle w:val="Compact"/>
              <w:jc w:val="right"/>
            </w:pPr>
            <w:r>
              <w:t xml:space="preserve">[-0.0133, 0.0067]</w:t>
            </w:r>
          </w:p>
        </w:tc>
        <w:tc>
          <w:tcPr/>
          <w:p>
            <w:pPr>
              <w:pStyle w:val="Compact"/>
              <w:jc w:val="right"/>
            </w:pPr>
            <w:r>
              <w:t xml:space="preserve">.74</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-0.0130</w:t>
            </w:r>
          </w:p>
        </w:tc>
        <w:tc>
          <w:tcPr/>
          <w:p>
            <w:pPr>
              <w:pStyle w:val="Compact"/>
              <w:jc w:val="right"/>
            </w:pPr>
            <w:r>
              <w:t xml:space="preserve">[-0.0274, 0.0014]</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0.0068</w:t>
            </w:r>
          </w:p>
        </w:tc>
        <w:tc>
          <w:tcPr/>
          <w:p>
            <w:pPr>
              <w:pStyle w:val="Compact"/>
              <w:jc w:val="right"/>
            </w:pPr>
            <w:r>
              <w:t xml:space="preserve">[-0.0069, 0.0204]</w:t>
            </w:r>
          </w:p>
        </w:tc>
        <w:tc>
          <w:tcPr/>
          <w:p>
            <w:pPr>
              <w:pStyle w:val="Compact"/>
              <w:jc w:val="right"/>
            </w:pPr>
            <w:r>
              <w:t xml:space="preserve">.83</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-0.0197</w:t>
            </w:r>
          </w:p>
        </w:tc>
        <w:tc>
          <w:tcPr/>
          <w:p>
            <w:pPr>
              <w:pStyle w:val="Compact"/>
              <w:jc w:val="right"/>
            </w:pPr>
            <w:r>
              <w:t xml:space="preserve">[-0.0395, 0.0002]</w:t>
            </w:r>
          </w:p>
        </w:tc>
        <w:tc>
          <w:tcPr/>
          <w:p>
            <w:pPr>
              <w:pStyle w:val="Compact"/>
              <w:jc w:val="right"/>
            </w:pPr>
            <w:r>
              <w:t xml:space="preserve">.97</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-0.0129</w:t>
            </w:r>
          </w:p>
        </w:tc>
        <w:tc>
          <w:tcPr/>
          <w:p>
            <w:pPr>
              <w:pStyle w:val="Compact"/>
              <w:jc w:val="right"/>
            </w:pPr>
            <w:r>
              <w:t xml:space="preserve">[-0.0271, 0.0012]</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-0.0177</w:t>
            </w:r>
          </w:p>
        </w:tc>
        <w:tc>
          <w:tcPr/>
          <w:p>
            <w:pPr>
              <w:pStyle w:val="Compact"/>
              <w:jc w:val="right"/>
            </w:pPr>
            <w:r>
              <w:t xml:space="preserve">[-0.0385, 0.0031]</w:t>
            </w:r>
          </w:p>
        </w:tc>
        <w:tc>
          <w:tcPr/>
          <w:p>
            <w:pPr>
              <w:pStyle w:val="Compact"/>
              <w:jc w:val="right"/>
            </w:pPr>
            <w:r>
              <w:t xml:space="preserve">.95</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-0.0082</w:t>
            </w:r>
          </w:p>
        </w:tc>
        <w:tc>
          <w:tcPr/>
          <w:p>
            <w:pPr>
              <w:pStyle w:val="Compact"/>
              <w:jc w:val="right"/>
            </w:pPr>
            <w:r>
              <w:t xml:space="preserve">[-0.0275, 0.0113]</w:t>
            </w:r>
          </w:p>
        </w:tc>
        <w:tc>
          <w:tcPr/>
          <w:p>
            <w:pPr>
              <w:pStyle w:val="Compact"/>
              <w:jc w:val="right"/>
            </w:pPr>
            <w:r>
              <w:t xml:space="preserve">.80</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-0.0095</w:t>
            </w:r>
          </w:p>
        </w:tc>
        <w:tc>
          <w:tcPr/>
          <w:p>
            <w:pPr>
              <w:pStyle w:val="Compact"/>
              <w:jc w:val="right"/>
            </w:pPr>
            <w:r>
              <w:t xml:space="preserve">[-0.0382, 0.0187]</w:t>
            </w:r>
          </w:p>
        </w:tc>
        <w:tc>
          <w:tcPr/>
          <w:p>
            <w:pPr>
              <w:pStyle w:val="Compact"/>
              <w:jc w:val="right"/>
            </w:pPr>
            <w:r>
              <w:t xml:space="preserve">.74</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0.0042</w:t>
            </w:r>
          </w:p>
        </w:tc>
        <w:tc>
          <w:tcPr/>
          <w:p>
            <w:pPr>
              <w:pStyle w:val="Compact"/>
              <w:jc w:val="right"/>
            </w:pPr>
            <w:r>
              <w:t xml:space="preserve">[-0.0062, 0.0147]</w:t>
            </w:r>
          </w:p>
        </w:tc>
        <w:tc>
          <w:tcPr/>
          <w:p>
            <w:pPr>
              <w:pStyle w:val="Compact"/>
              <w:jc w:val="right"/>
            </w:pPr>
            <w:r>
              <w:t xml:space="preserve">.79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-0.0072</w:t>
            </w:r>
          </w:p>
        </w:tc>
        <w:tc>
          <w:tcPr/>
          <w:p>
            <w:pPr>
              <w:pStyle w:val="Compact"/>
              <w:jc w:val="right"/>
            </w:pPr>
            <w:r>
              <w:t xml:space="preserve">[-0.0222, 0.0078]</w:t>
            </w:r>
          </w:p>
        </w:tc>
        <w:tc>
          <w:tcPr/>
          <w:p>
            <w:pPr>
              <w:pStyle w:val="Compact"/>
              <w:jc w:val="right"/>
            </w:pPr>
            <w:r>
              <w:t xml:space="preserve">.83</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0.0160</w:t>
            </w:r>
          </w:p>
        </w:tc>
        <w:tc>
          <w:tcPr/>
          <w:p>
            <w:pPr>
              <w:pStyle w:val="Compact"/>
              <w:jc w:val="right"/>
            </w:pPr>
            <w:r>
              <w:t xml:space="preserve">[0.0015, 0.0304]</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-0.0231</w:t>
            </w:r>
          </w:p>
        </w:tc>
        <w:tc>
          <w:tcPr/>
          <w:p>
            <w:pPr>
              <w:pStyle w:val="Compact"/>
              <w:jc w:val="right"/>
            </w:pPr>
            <w:r>
              <w:t xml:space="preserve">[-0.0437, -0.0026]</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-0.0015</w:t>
            </w:r>
          </w:p>
        </w:tc>
        <w:tc>
          <w:tcPr/>
          <w:p>
            <w:pPr>
              <w:pStyle w:val="Compact"/>
              <w:jc w:val="right"/>
            </w:pPr>
            <w:r>
              <w:t xml:space="preserve">[-0.0162, 0.0130]</w:t>
            </w:r>
          </w:p>
        </w:tc>
        <w:tc>
          <w:tcPr/>
          <w:p>
            <w:pPr>
              <w:pStyle w:val="Compact"/>
              <w:jc w:val="right"/>
            </w:pPr>
            <w:r>
              <w:t xml:space="preserve">.58</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-0.0065</w:t>
            </w:r>
          </w:p>
        </w:tc>
        <w:tc>
          <w:tcPr/>
          <w:p>
            <w:pPr>
              <w:pStyle w:val="Compact"/>
              <w:jc w:val="right"/>
            </w:pPr>
            <w:r>
              <w:t xml:space="preserve">[-0.0280, 0.0146]</w:t>
            </w:r>
          </w:p>
        </w:tc>
        <w:tc>
          <w:tcPr/>
          <w:p>
            <w:pPr>
              <w:pStyle w:val="Compact"/>
              <w:jc w:val="right"/>
            </w:pPr>
            <w:r>
              <w:t xml:space="preserve">.73</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0.0036</w:t>
            </w:r>
          </w:p>
        </w:tc>
        <w:tc>
          <w:tcPr/>
          <w:p>
            <w:pPr>
              <w:pStyle w:val="Compact"/>
              <w:jc w:val="right"/>
            </w:pPr>
            <w:r>
              <w:t xml:space="preserve">[-0.0165, 0.0235]</w:t>
            </w:r>
          </w:p>
        </w:tc>
        <w:tc>
          <w:tcPr/>
          <w:p>
            <w:pPr>
              <w:pStyle w:val="Compact"/>
              <w:jc w:val="right"/>
            </w:pPr>
            <w:r>
              <w:t xml:space="preserve">.64</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-0.0103</w:t>
            </w:r>
          </w:p>
        </w:tc>
        <w:tc>
          <w:tcPr/>
          <w:p>
            <w:pPr>
              <w:pStyle w:val="Compact"/>
              <w:jc w:val="right"/>
            </w:pPr>
            <w:r>
              <w:t xml:space="preserve">[-0.0396, 0.0188]</w:t>
            </w:r>
          </w:p>
        </w:tc>
        <w:tc>
          <w:tcPr/>
          <w:p>
            <w:pPr>
              <w:pStyle w:val="Compact"/>
              <w:jc w:val="right"/>
            </w:pPr>
            <w:r>
              <w:t xml:space="preserve">.75</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0.0064</w:t>
            </w:r>
          </w:p>
        </w:tc>
        <w:tc>
          <w:tcPr/>
          <w:p>
            <w:pPr>
              <w:pStyle w:val="Compact"/>
              <w:jc w:val="right"/>
            </w:pPr>
            <w:r>
              <w:t xml:space="preserve">[-0.0042, 0.0171]</w:t>
            </w:r>
          </w:p>
        </w:tc>
        <w:tc>
          <w:tcPr/>
          <w:p>
            <w:pPr>
              <w:pStyle w:val="Compact"/>
              <w:jc w:val="right"/>
            </w:pPr>
            <w:r>
              <w:t xml:space="preserve">.88</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-0.0081</w:t>
            </w:r>
          </w:p>
        </w:tc>
        <w:tc>
          <w:tcPr/>
          <w:p>
            <w:pPr>
              <w:pStyle w:val="Compact"/>
              <w:jc w:val="right"/>
            </w:pPr>
            <w:r>
              <w:t xml:space="preserve">[-0.0235, 0.0073]</w:t>
            </w:r>
          </w:p>
        </w:tc>
        <w:tc>
          <w:tcPr/>
          <w:p>
            <w:pPr>
              <w:pStyle w:val="Compact"/>
              <w:jc w:val="right"/>
            </w:pPr>
            <w:r>
              <w:t xml:space="preserve">.85</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0.0214</w:t>
            </w:r>
          </w:p>
        </w:tc>
        <w:tc>
          <w:tcPr/>
          <w:p>
            <w:pPr>
              <w:pStyle w:val="Compact"/>
              <w:jc w:val="right"/>
            </w:pPr>
            <w:r>
              <w:t xml:space="preserve">[0.0067, 0.0360]</w:t>
            </w:r>
          </w:p>
        </w:tc>
        <w:tc>
          <w:tcPr/>
          <w:p>
            <w:pPr>
              <w:pStyle w:val="Compact"/>
              <w:jc w:val="right"/>
            </w:pPr>
            <w:r>
              <w:t xml:space="preserve">.998</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-0.0295</w:t>
            </w:r>
          </w:p>
        </w:tc>
        <w:tc>
          <w:tcPr/>
          <w:p>
            <w:pPr>
              <w:pStyle w:val="Compact"/>
              <w:jc w:val="right"/>
            </w:pPr>
            <w:r>
              <w:t xml:space="preserve">[-0.0507, -0.0081]</w:t>
            </w:r>
          </w:p>
        </w:tc>
        <w:tc>
          <w:tcPr/>
          <w:p>
            <w:pPr>
              <w:pStyle w:val="Compact"/>
              <w:jc w:val="right"/>
            </w:pPr>
            <w:r>
              <w:t xml:space="preserve">.997</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-0.0022</w:t>
            </w:r>
          </w:p>
        </w:tc>
        <w:tc>
          <w:tcPr/>
          <w:p>
            <w:pPr>
              <w:pStyle w:val="Compact"/>
              <w:jc w:val="right"/>
            </w:pPr>
            <w:r>
              <w:t xml:space="preserve">[-0.0172, 0.0129]</w:t>
            </w:r>
          </w:p>
        </w:tc>
        <w:tc>
          <w:tcPr/>
          <w:p>
            <w:pPr>
              <w:pStyle w:val="Compact"/>
              <w:jc w:val="right"/>
            </w:pPr>
            <w:r>
              <w:t xml:space="preserve">.61</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-0.0105</w:t>
            </w:r>
          </w:p>
        </w:tc>
        <w:tc>
          <w:tcPr/>
          <w:p>
            <w:pPr>
              <w:pStyle w:val="Compact"/>
              <w:jc w:val="right"/>
            </w:pPr>
            <w:r>
              <w:t xml:space="preserve">[-0.0319, 0.0112]</w:t>
            </w:r>
          </w:p>
        </w:tc>
        <w:tc>
          <w:tcPr/>
          <w:p>
            <w:pPr>
              <w:pStyle w:val="Compact"/>
              <w:jc w:val="right"/>
            </w:pPr>
            <w:r>
              <w:t xml:space="preserve">.83</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0.0063</w:t>
            </w:r>
          </w:p>
        </w:tc>
        <w:tc>
          <w:tcPr/>
          <w:p>
            <w:pPr>
              <w:pStyle w:val="Compact"/>
              <w:jc w:val="right"/>
            </w:pPr>
            <w:r>
              <w:t xml:space="preserve">[-0.0143, 0.0271]</w:t>
            </w:r>
          </w:p>
        </w:tc>
        <w:tc>
          <w:tcPr/>
          <w:p>
            <w:pPr>
              <w:pStyle w:val="Compact"/>
              <w:jc w:val="right"/>
            </w:pPr>
            <w:r>
              <w:t xml:space="preserve">.73</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-0.0169</w:t>
            </w:r>
          </w:p>
        </w:tc>
        <w:tc>
          <w:tcPr/>
          <w:p>
            <w:pPr>
              <w:pStyle w:val="Compact"/>
              <w:jc w:val="right"/>
            </w:pPr>
            <w:r>
              <w:t xml:space="preserve">[-0.0465, 0.0129]</w:t>
            </w:r>
          </w:p>
        </w:tc>
        <w:tc>
          <w:tcPr/>
          <w:p>
            <w:pPr>
              <w:pStyle w:val="Compact"/>
              <w:jc w:val="right"/>
            </w:pPr>
            <w:r>
              <w:t xml:space="preserve">.86</w:t>
            </w:r>
          </w:p>
        </w:tc>
      </w:tr>
      <w:tr>
        <w:tc>
          <w:tcPr/>
          <w:p>
            <w:pPr>
              <w:pStyle w:val="Compact"/>
              <w:jc w:val="left"/>
            </w:pPr>
            <w:r>
              <w:t xml:space="preserve">Object marking</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Overall</w:t>
            </w:r>
          </w:p>
        </w:tc>
        <w:tc>
          <w:tcPr/>
          <w:p>
            <w:pPr>
              <w:pStyle w:val="Compact"/>
              <w:jc w:val="right"/>
            </w:pPr>
            <w:r>
              <w:t xml:space="preserve">-0.31</w:t>
            </w:r>
          </w:p>
        </w:tc>
        <w:tc>
          <w:tcPr/>
          <w:p>
            <w:pPr>
              <w:pStyle w:val="Compact"/>
              <w:jc w:val="right"/>
            </w:pPr>
            <w:r>
              <w:t xml:space="preserve">[-0.41, -0.21]</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Norwegian</w:t>
            </w:r>
          </w:p>
        </w:tc>
        <w:tc>
          <w:tcPr/>
          <w:p>
            <w:pPr>
              <w:pStyle w:val="Compact"/>
              <w:jc w:val="right"/>
            </w:pPr>
            <w:r>
              <w:t xml:space="preserve">-0.22</w:t>
            </w:r>
          </w:p>
        </w:tc>
        <w:tc>
          <w:tcPr/>
          <w:p>
            <w:pPr>
              <w:pStyle w:val="Compact"/>
              <w:jc w:val="right"/>
            </w:pPr>
            <w:r>
              <w:t xml:space="preserve">[-0.35, -0.10]</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English</w:t>
            </w:r>
          </w:p>
        </w:tc>
        <w:tc>
          <w:tcPr/>
          <w:p>
            <w:pPr>
              <w:pStyle w:val="Compact"/>
              <w:jc w:val="right"/>
            </w:pPr>
            <w:r>
              <w:t xml:space="preserve">-0.40</w:t>
            </w:r>
          </w:p>
        </w:tc>
        <w:tc>
          <w:tcPr/>
          <w:p>
            <w:pPr>
              <w:pStyle w:val="Compact"/>
              <w:jc w:val="right"/>
            </w:pPr>
            <w:r>
              <w:t xml:space="preserve">[-0.57, -0.24]</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Between languages</w:t>
            </w:r>
          </w:p>
        </w:tc>
        <w:tc>
          <w:tcPr/>
          <w:p>
            <w:pPr>
              <w:pStyle w:val="Compact"/>
              <w:jc w:val="right"/>
            </w:pPr>
            <w:r>
              <w:t xml:space="preserve">0.18</w:t>
            </w:r>
          </w:p>
        </w:tc>
        <w:tc>
          <w:tcPr/>
          <w:p>
            <w:pPr>
              <w:pStyle w:val="Compact"/>
              <w:jc w:val="right"/>
            </w:pPr>
            <w:r>
              <w:t xml:space="preserve">[-0.02, 0.39]</w:t>
            </w:r>
          </w:p>
        </w:tc>
        <w:tc>
          <w:tcPr/>
          <w:p>
            <w:pPr>
              <w:pStyle w:val="Compact"/>
              <w:jc w:val="right"/>
            </w:pPr>
            <w:r>
              <w:t xml:space="preserve">.96</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0.0108</w:t>
            </w:r>
          </w:p>
        </w:tc>
        <w:tc>
          <w:tcPr/>
          <w:p>
            <w:pPr>
              <w:pStyle w:val="Compact"/>
              <w:jc w:val="right"/>
            </w:pPr>
            <w:r>
              <w:t xml:space="preserve">[-0.0096, 0.0310]</w:t>
            </w:r>
          </w:p>
        </w:tc>
        <w:tc>
          <w:tcPr/>
          <w:p>
            <w:pPr>
              <w:pStyle w:val="Compact"/>
              <w:jc w:val="right"/>
            </w:pPr>
            <w:r>
              <w:t xml:space="preserve">.85</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0.0187</w:t>
            </w:r>
          </w:p>
        </w:tc>
        <w:tc>
          <w:tcPr/>
          <w:p>
            <w:pPr>
              <w:pStyle w:val="Compact"/>
              <w:jc w:val="right"/>
            </w:pPr>
            <w:r>
              <w:t xml:space="preserve">[-0.0100, 0.0477]</w:t>
            </w:r>
          </w:p>
        </w:tc>
        <w:tc>
          <w:tcPr/>
          <w:p>
            <w:pPr>
              <w:pStyle w:val="Compact"/>
              <w:jc w:val="right"/>
            </w:pPr>
            <w:r>
              <w:t xml:space="preserve">.90</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0.0022</w:t>
            </w:r>
          </w:p>
        </w:tc>
        <w:tc>
          <w:tcPr/>
          <w:p>
            <w:pPr>
              <w:pStyle w:val="Compact"/>
              <w:jc w:val="right"/>
            </w:pPr>
            <w:r>
              <w:t xml:space="preserve">[-0.0267, 0.0311]</w:t>
            </w:r>
          </w:p>
        </w:tc>
        <w:tc>
          <w:tcPr/>
          <w:p>
            <w:pPr>
              <w:pStyle w:val="Compact"/>
              <w:jc w:val="right"/>
            </w:pPr>
            <w:r>
              <w:t xml:space="preserve">.56</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0.0164</w:t>
            </w:r>
          </w:p>
        </w:tc>
        <w:tc>
          <w:tcPr/>
          <w:p>
            <w:pPr>
              <w:pStyle w:val="Compact"/>
              <w:jc w:val="right"/>
            </w:pPr>
            <w:r>
              <w:t xml:space="preserve">[-0.0244, 0.0575]</w:t>
            </w:r>
          </w:p>
        </w:tc>
        <w:tc>
          <w:tcPr/>
          <w:p>
            <w:pPr>
              <w:pStyle w:val="Compact"/>
              <w:jc w:val="right"/>
            </w:pPr>
            <w:r>
              <w:t xml:space="preserve">.79</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-0.0016</w:t>
            </w:r>
          </w:p>
        </w:tc>
        <w:tc>
          <w:tcPr/>
          <w:p>
            <w:pPr>
              <w:pStyle w:val="Compact"/>
              <w:jc w:val="right"/>
            </w:pPr>
            <w:r>
              <w:t xml:space="preserve">[-0.0303, 0.0273]</w:t>
            </w:r>
          </w:p>
        </w:tc>
        <w:tc>
          <w:tcPr/>
          <w:p>
            <w:pPr>
              <w:pStyle w:val="Compact"/>
              <w:jc w:val="right"/>
            </w:pPr>
            <w:r>
              <w:t xml:space="preserve">.54</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0.0047</w:t>
            </w:r>
          </w:p>
        </w:tc>
        <w:tc>
          <w:tcPr/>
          <w:p>
            <w:pPr>
              <w:pStyle w:val="Compact"/>
              <w:jc w:val="right"/>
            </w:pPr>
            <w:r>
              <w:t xml:space="preserve">[-0.0360, 0.0451]</w:t>
            </w:r>
          </w:p>
        </w:tc>
        <w:tc>
          <w:tcPr/>
          <w:p>
            <w:pPr>
              <w:pStyle w:val="Compact"/>
              <w:jc w:val="right"/>
            </w:pPr>
            <w:r>
              <w:t xml:space="preserve">.59</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-0.0081</w:t>
            </w:r>
          </w:p>
        </w:tc>
        <w:tc>
          <w:tcPr/>
          <w:p>
            <w:pPr>
              <w:pStyle w:val="Compact"/>
              <w:jc w:val="right"/>
            </w:pPr>
            <w:r>
              <w:t xml:space="preserve">[-0.0485, 0.0327]</w:t>
            </w:r>
          </w:p>
        </w:tc>
        <w:tc>
          <w:tcPr/>
          <w:p>
            <w:pPr>
              <w:pStyle w:val="Compact"/>
              <w:jc w:val="right"/>
            </w:pPr>
            <w:r>
              <w:t xml:space="preserve">.65</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0.0127</w:t>
            </w:r>
          </w:p>
        </w:tc>
        <w:tc>
          <w:tcPr/>
          <w:p>
            <w:pPr>
              <w:pStyle w:val="Compact"/>
              <w:jc w:val="right"/>
            </w:pPr>
            <w:r>
              <w:t xml:space="preserve">[-0.0449, 0.0705]</w:t>
            </w:r>
          </w:p>
        </w:tc>
        <w:tc>
          <w:tcPr/>
          <w:p>
            <w:pPr>
              <w:pStyle w:val="Compact"/>
              <w:jc w:val="right"/>
            </w:pPr>
            <w:r>
              <w:t xml:space="preserve">.67</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0.0136</w:t>
            </w:r>
          </w:p>
        </w:tc>
        <w:tc>
          <w:tcPr/>
          <w:p>
            <w:pPr>
              <w:pStyle w:val="Compact"/>
              <w:jc w:val="right"/>
            </w:pPr>
            <w:r>
              <w:t xml:space="preserve">[-0.0075, 0.0348]</w:t>
            </w:r>
          </w:p>
        </w:tc>
        <w:tc>
          <w:tcPr/>
          <w:p>
            <w:pPr>
              <w:pStyle w:val="Compact"/>
              <w:jc w:val="right"/>
            </w:pPr>
            <w:r>
              <w:t xml:space="preserve">.90</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0.0191</w:t>
            </w:r>
          </w:p>
        </w:tc>
        <w:tc>
          <w:tcPr/>
          <w:p>
            <w:pPr>
              <w:pStyle w:val="Compact"/>
              <w:jc w:val="right"/>
            </w:pPr>
            <w:r>
              <w:t xml:space="preserve">[-0.0106, 0.0494]</w:t>
            </w:r>
          </w:p>
        </w:tc>
        <w:tc>
          <w:tcPr/>
          <w:p>
            <w:pPr>
              <w:pStyle w:val="Compact"/>
              <w:jc w:val="right"/>
            </w:pPr>
            <w:r>
              <w:t xml:space="preserve">.89</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0.0078</w:t>
            </w:r>
          </w:p>
        </w:tc>
        <w:tc>
          <w:tcPr/>
          <w:p>
            <w:pPr>
              <w:pStyle w:val="Compact"/>
              <w:jc w:val="right"/>
            </w:pPr>
            <w:r>
              <w:t xml:space="preserve">[-0.0217, 0.0375]</w:t>
            </w:r>
          </w:p>
        </w:tc>
        <w:tc>
          <w:tcPr/>
          <w:p>
            <w:pPr>
              <w:pStyle w:val="Compact"/>
              <w:jc w:val="right"/>
            </w:pPr>
            <w:r>
              <w:t xml:space="preserve">.69</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0.0112</w:t>
            </w:r>
          </w:p>
        </w:tc>
        <w:tc>
          <w:tcPr/>
          <w:p>
            <w:pPr>
              <w:pStyle w:val="Compact"/>
              <w:jc w:val="right"/>
            </w:pPr>
            <w:r>
              <w:t xml:space="preserve">[-0.0303, 0.0539]</w:t>
            </w:r>
          </w:p>
        </w:tc>
        <w:tc>
          <w:tcPr/>
          <w:p>
            <w:pPr>
              <w:pStyle w:val="Compact"/>
              <w:jc w:val="right"/>
            </w:pPr>
            <w:r>
              <w:t xml:space="preserve">.70</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0.0074</w:t>
            </w:r>
          </w:p>
        </w:tc>
        <w:tc>
          <w:tcPr/>
          <w:p>
            <w:pPr>
              <w:pStyle w:val="Compact"/>
              <w:jc w:val="right"/>
            </w:pPr>
            <w:r>
              <w:t xml:space="preserve">[-0.0222, 0.0365]</w:t>
            </w:r>
          </w:p>
        </w:tc>
        <w:tc>
          <w:tcPr/>
          <w:p>
            <w:pPr>
              <w:pStyle w:val="Compact"/>
              <w:jc w:val="right"/>
            </w:pPr>
            <w:r>
              <w:t xml:space="preserve">.68</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0.0137</w:t>
            </w:r>
          </w:p>
        </w:tc>
        <w:tc>
          <w:tcPr/>
          <w:p>
            <w:pPr>
              <w:pStyle w:val="Compact"/>
              <w:jc w:val="right"/>
            </w:pPr>
            <w:r>
              <w:t xml:space="preserve">[-0.0283, 0.0558]</w:t>
            </w:r>
          </w:p>
        </w:tc>
        <w:tc>
          <w:tcPr/>
          <w:p>
            <w:pPr>
              <w:pStyle w:val="Compact"/>
              <w:jc w:val="right"/>
            </w:pPr>
            <w:r>
              <w:t xml:space="preserve">.74</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0.0005</w:t>
            </w:r>
          </w:p>
        </w:tc>
        <w:tc>
          <w:tcPr/>
          <w:p>
            <w:pPr>
              <w:pStyle w:val="Compact"/>
              <w:jc w:val="right"/>
            </w:pPr>
            <w:r>
              <w:t xml:space="preserve">[-0.0414, 0.0421]</w:t>
            </w:r>
          </w:p>
        </w:tc>
        <w:tc>
          <w:tcPr/>
          <w:p>
            <w:pPr>
              <w:pStyle w:val="Compact"/>
              <w:jc w:val="right"/>
            </w:pPr>
            <w:r>
              <w:t xml:space="preserve">.51</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0.0135</w:t>
            </w:r>
          </w:p>
        </w:tc>
        <w:tc>
          <w:tcPr/>
          <w:p>
            <w:pPr>
              <w:pStyle w:val="Compact"/>
              <w:jc w:val="right"/>
            </w:pPr>
            <w:r>
              <w:t xml:space="preserve">[-0.0460, 0.0731]</w:t>
            </w:r>
          </w:p>
        </w:tc>
        <w:tc>
          <w:tcPr/>
          <w:p>
            <w:pPr>
              <w:pStyle w:val="Compact"/>
              <w:jc w:val="right"/>
            </w:pPr>
            <w:r>
              <w:t xml:space="preserve">.67</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0.0305</w:t>
            </w:r>
          </w:p>
        </w:tc>
        <w:tc>
          <w:tcPr/>
          <w:p>
            <w:pPr>
              <w:pStyle w:val="Compact"/>
              <w:jc w:val="right"/>
            </w:pPr>
            <w:r>
              <w:t xml:space="preserve">[0.0084, 0.0526]</w:t>
            </w:r>
          </w:p>
        </w:tc>
        <w:tc>
          <w:tcPr/>
          <w:p>
            <w:pPr>
              <w:pStyle w:val="Compact"/>
              <w:jc w:val="right"/>
            </w:pPr>
            <w:r>
              <w:t xml:space="preserve">.997</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0.0551</w:t>
            </w:r>
          </w:p>
        </w:tc>
        <w:tc>
          <w:tcPr/>
          <w:p>
            <w:pPr>
              <w:pStyle w:val="Compact"/>
              <w:jc w:val="right"/>
            </w:pPr>
            <w:r>
              <w:t xml:space="preserve">[0.0241, 0.0866]</w:t>
            </w:r>
          </w:p>
        </w:tc>
        <w:tc>
          <w:tcPr/>
          <w:p>
            <w:pPr>
              <w:pStyle w:val="Compact"/>
              <w:jc w:val="right"/>
            </w:pPr>
            <w:r>
              <w:t xml:space="preserve">&gt; .999</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0.0043</w:t>
            </w:r>
          </w:p>
        </w:tc>
        <w:tc>
          <w:tcPr/>
          <w:p>
            <w:pPr>
              <w:pStyle w:val="Compact"/>
              <w:jc w:val="right"/>
            </w:pPr>
            <w:r>
              <w:t xml:space="preserve">[-0.0271, 0.0357]</w:t>
            </w:r>
          </w:p>
        </w:tc>
        <w:tc>
          <w:tcPr/>
          <w:p>
            <w:pPr>
              <w:pStyle w:val="Compact"/>
              <w:jc w:val="right"/>
            </w:pPr>
            <w:r>
              <w:t xml:space="preserve">.61</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0.0508</w:t>
            </w:r>
          </w:p>
        </w:tc>
        <w:tc>
          <w:tcPr/>
          <w:p>
            <w:pPr>
              <w:pStyle w:val="Compact"/>
              <w:jc w:val="right"/>
            </w:pPr>
            <w:r>
              <w:t xml:space="preserve">[0.0066, 0.0955]</w:t>
            </w:r>
          </w:p>
        </w:tc>
        <w:tc>
          <w:tcPr/>
          <w:p>
            <w:pPr>
              <w:pStyle w:val="Compact"/>
              <w:jc w:val="right"/>
            </w:pPr>
            <w:r>
              <w:t xml:space="preserve">.99</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0.0300</w:t>
            </w:r>
          </w:p>
        </w:tc>
        <w:tc>
          <w:tcPr/>
          <w:p>
            <w:pPr>
              <w:pStyle w:val="Compact"/>
              <w:jc w:val="right"/>
            </w:pPr>
            <w:r>
              <w:t xml:space="preserve">[-0.0017, 0.0612]</w:t>
            </w:r>
          </w:p>
        </w:tc>
        <w:tc>
          <w:tcPr/>
          <w:p>
            <w:pPr>
              <w:pStyle w:val="Compact"/>
              <w:jc w:val="right"/>
            </w:pPr>
            <w:r>
              <w:t xml:space="preserve">.97</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0.0546</w:t>
            </w:r>
          </w:p>
        </w:tc>
        <w:tc>
          <w:tcPr/>
          <w:p>
            <w:pPr>
              <w:pStyle w:val="Compact"/>
              <w:jc w:val="right"/>
            </w:pPr>
            <w:r>
              <w:t xml:space="preserve">[0.0107, 0.0988]</w:t>
            </w:r>
          </w:p>
        </w:tc>
        <w:tc>
          <w:tcPr/>
          <w:p>
            <w:pPr>
              <w:pStyle w:val="Compact"/>
              <w:jc w:val="right"/>
            </w:pPr>
            <w:r>
              <w:t xml:space="preserve">.99</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0.0039</w:t>
            </w:r>
          </w:p>
        </w:tc>
        <w:tc>
          <w:tcPr/>
          <w:p>
            <w:pPr>
              <w:pStyle w:val="Compact"/>
              <w:jc w:val="right"/>
            </w:pPr>
            <w:r>
              <w:t xml:space="preserve">[-0.0409, 0.0475]</w:t>
            </w:r>
          </w:p>
        </w:tc>
        <w:tc>
          <w:tcPr/>
          <w:p>
            <w:pPr>
              <w:pStyle w:val="Compact"/>
              <w:jc w:val="right"/>
            </w:pPr>
            <w:r>
              <w:t xml:space="preserve">.57</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0.0509</w:t>
            </w:r>
          </w:p>
        </w:tc>
        <w:tc>
          <w:tcPr/>
          <w:p>
            <w:pPr>
              <w:pStyle w:val="Compact"/>
              <w:jc w:val="right"/>
            </w:pPr>
            <w:r>
              <w:t xml:space="preserve">[-0.0110, 0.1138]</w:t>
            </w:r>
          </w:p>
        </w:tc>
        <w:tc>
          <w:tcPr/>
          <w:p>
            <w:pPr>
              <w:pStyle w:val="Compact"/>
              <w:jc w:val="right"/>
            </w:pPr>
            <w:r>
              <w:t xml:space="preserve">.95</w:t>
            </w:r>
          </w:p>
        </w:tc>
      </w:tr>
      <w:tr>
        <w:tc>
          <w:tcPr/>
          <w:p>
            <w:pPr>
              <w:pStyle w:val="Compact"/>
              <w:jc w:val="left"/>
            </w:pPr>
            <w:r>
              <w:t xml:space="preserve">Number agreement</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Overall</w:t>
            </w:r>
          </w:p>
        </w:tc>
        <w:tc>
          <w:tcPr/>
          <w:p>
            <w:pPr>
              <w:pStyle w:val="Compact"/>
              <w:jc w:val="right"/>
            </w:pPr>
            <w:r>
              <w:t xml:space="preserve">-0.11</w:t>
            </w:r>
          </w:p>
        </w:tc>
        <w:tc>
          <w:tcPr/>
          <w:p>
            <w:pPr>
              <w:pStyle w:val="Compact"/>
              <w:jc w:val="right"/>
            </w:pPr>
            <w:r>
              <w:t xml:space="preserve">[-0.27, 0.06]</w:t>
            </w:r>
          </w:p>
        </w:tc>
        <w:tc>
          <w:tcPr/>
          <w:p>
            <w:pPr>
              <w:pStyle w:val="Compact"/>
              <w:jc w:val="right"/>
            </w:pPr>
            <w:r>
              <w:t xml:space="preserve">.89</w:t>
            </w:r>
          </w:p>
        </w:tc>
      </w:tr>
      <w:tr>
        <w:tc>
          <w:tcPr/>
          <w:p>
            <w:pPr>
              <w:pStyle w:val="Compact"/>
              <w:jc w:val="left"/>
            </w:pPr>
            <w:r>
              <w:t xml:space="preserve">Number agreement</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Norwegian</w:t>
            </w:r>
          </w:p>
        </w:tc>
        <w:tc>
          <w:tcPr/>
          <w:p>
            <w:pPr>
              <w:pStyle w:val="Compact"/>
              <w:jc w:val="right"/>
            </w:pPr>
            <w:r>
              <w:t xml:space="preserve">-0.02</w:t>
            </w:r>
          </w:p>
        </w:tc>
        <w:tc>
          <w:tcPr/>
          <w:p>
            <w:pPr>
              <w:pStyle w:val="Compact"/>
              <w:jc w:val="right"/>
            </w:pPr>
            <w:r>
              <w:t xml:space="preserve">[-0.25, 0.21]</w:t>
            </w:r>
          </w:p>
        </w:tc>
        <w:tc>
          <w:tcPr/>
          <w:p>
            <w:pPr>
              <w:pStyle w:val="Compact"/>
              <w:jc w:val="right"/>
            </w:pPr>
            <w:r>
              <w:t xml:space="preserve">.57</w:t>
            </w:r>
          </w:p>
        </w:tc>
      </w:tr>
      <w:tr>
        <w:tc>
          <w:tcPr/>
          <w:p>
            <w:pPr>
              <w:pStyle w:val="Compact"/>
              <w:jc w:val="left"/>
            </w:pPr>
            <w:r>
              <w:t xml:space="preserve">Number agreement</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English</w:t>
            </w:r>
          </w:p>
        </w:tc>
        <w:tc>
          <w:tcPr/>
          <w:p>
            <w:pPr>
              <w:pStyle w:val="Compact"/>
              <w:jc w:val="right"/>
            </w:pPr>
            <w:r>
              <w:t xml:space="preserve">-0.20</w:t>
            </w:r>
          </w:p>
        </w:tc>
        <w:tc>
          <w:tcPr/>
          <w:p>
            <w:pPr>
              <w:pStyle w:val="Compact"/>
              <w:jc w:val="right"/>
            </w:pPr>
            <w:r>
              <w:t xml:space="preserve">[-0.44, 0.04]</w:t>
            </w:r>
          </w:p>
        </w:tc>
        <w:tc>
          <w:tcPr/>
          <w:p>
            <w:pPr>
              <w:pStyle w:val="Compact"/>
              <w:jc w:val="right"/>
            </w:pPr>
            <w:r>
              <w:t xml:space="preserve">.95</w:t>
            </w:r>
          </w:p>
        </w:tc>
      </w:tr>
      <w:tr>
        <w:tc>
          <w:tcPr/>
          <w:p>
            <w:pPr>
              <w:pStyle w:val="Compact"/>
              <w:jc w:val="left"/>
            </w:pPr>
            <w:r>
              <w:t xml:space="preserve">Number agreement</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Between languages</w:t>
            </w:r>
          </w:p>
        </w:tc>
        <w:tc>
          <w:tcPr/>
          <w:p>
            <w:pPr>
              <w:pStyle w:val="Compact"/>
              <w:jc w:val="right"/>
            </w:pPr>
            <w:r>
              <w:t xml:space="preserve">0.18</w:t>
            </w:r>
          </w:p>
        </w:tc>
        <w:tc>
          <w:tcPr/>
          <w:p>
            <w:pPr>
              <w:pStyle w:val="Compact"/>
              <w:jc w:val="right"/>
            </w:pPr>
            <w:r>
              <w:t xml:space="preserve">[-0.15, 0.51]</w:t>
            </w:r>
          </w:p>
        </w:tc>
        <w:tc>
          <w:tcPr/>
          <w:p>
            <w:pPr>
              <w:pStyle w:val="Compact"/>
              <w:jc w:val="right"/>
            </w:pPr>
            <w:r>
              <w:t xml:space="preserve">.86</w:t>
            </w:r>
          </w:p>
        </w:tc>
      </w:tr>
    </w:tbl>
    <w:bookmarkEnd w:id="398"/>
    <w:p>
      <w:pPr>
        <w:pStyle w:val="FigureNote"/>
      </w:pPr>
      <w:r>
        <w:rPr>
          <w:i/>
          <w:iCs/>
        </w:rPr>
        <w:t xml:space="preserve">Note</w:t>
      </w:r>
      <w:r>
        <w:t xml:space="preserve">. Each contrast is the change in the grammaticality effect across the retention interval: posterior median, 95% credible interval and probability of direction, overall, within each language and for the between-language difference (Mini-Norwegian minus Mini-English). The two model families are on different scales, as the Measure column records. ERP contrasts are in within-participant SD units of amplitude and accuracy contrasts in log-odds, so medians should be compared only within a measure. Dashes in the window and region columns mark the accuracy models, which are fitted per property and have neither. For compactness, Gender means subject–verb gender agreement, Object marking means differential object marking, and Number agreement means verb–object number agreement.</w:t>
      </w:r>
    </w:p>
    <w:p>
      <w:pPr>
        <w:pStyle w:val="BodyText"/>
      </w:pPr>
      <w:r>
        <w:t xml:space="preserve"> </w:t>
      </w:r>
    </w:p>
    <w:bookmarkStart w:id="399" w:name="tbl-retention-free"/>
    <w:p>
      <w:pPr>
        <w:pStyle w:val="FigureTitle"/>
      </w:pPr>
      <w:r>
        <w:t xml:space="preserve">Table B2</w:t>
      </w:r>
    </w:p>
    <w:p>
      <w:pPr>
        <w:pStyle w:val="Caption"/>
      </w:pPr>
      <w:r>
        <w:t xml:space="preserve">Retention-Free Contrasts From the Refits Carrying an Explicit Retention Indicator</w:t>
      </w:r>
    </w:p>
    <w:tbl>
      <w:tblPr>
        <w:tblStyle w:val="Table"/>
        <w:tblW w:type="pct" w:w="5000"/>
        <w:tblLayout w:type="fixed"/>
        <w:tblLook w:firstRow="1" w:lastRow="0" w:firstColumn="0" w:lastColumn="0" w:noHBand="0" w:noVBand="0" w:val="0020"/>
      </w:tblPr>
      <w:tblGrid>
        <w:gridCol w:w="1425"/>
        <w:gridCol w:w="871"/>
        <w:gridCol w:w="712"/>
        <w:gridCol w:w="1425"/>
        <w:gridCol w:w="792"/>
        <w:gridCol w:w="2217"/>
        <w:gridCol w:w="475"/>
      </w:tblGrid>
      <w:tr>
        <w:trPr>
          <w:tblHeader w:val="on"/>
        </w:trPr>
        <w:tc>
          <w:tcPr/>
          <w:p>
            <w:pPr>
              <w:pStyle w:val="Compact"/>
              <w:jc w:val="left"/>
            </w:pPr>
            <w:r>
              <w:t xml:space="preserve">Property</w:t>
            </w:r>
          </w:p>
        </w:tc>
        <w:tc>
          <w:tcPr/>
          <w:p>
            <w:pPr>
              <w:pStyle w:val="Compact"/>
              <w:jc w:val="left"/>
            </w:pPr>
            <w:r>
              <w:t xml:space="preserve">Window (ms)</w:t>
            </w:r>
          </w:p>
        </w:tc>
        <w:tc>
          <w:tcPr/>
          <w:p>
            <w:pPr>
              <w:pStyle w:val="Compact"/>
              <w:jc w:val="left"/>
            </w:pPr>
            <w:r>
              <w:t xml:space="preserve">Region</w:t>
            </w:r>
          </w:p>
        </w:tc>
        <w:tc>
          <w:tcPr/>
          <w:p>
            <w:pPr>
              <w:pStyle w:val="Compact"/>
              <w:jc w:val="left"/>
            </w:pPr>
            <w:r>
              <w:t xml:space="preserve">Contrast</w:t>
            </w:r>
          </w:p>
        </w:tc>
        <w:tc>
          <w:tcPr/>
          <w:p>
            <w:pPr>
              <w:pStyle w:val="Compact"/>
              <w:jc w:val="right"/>
            </w:pPr>
            <w:r>
              <w:t xml:space="preserve">Median</w:t>
            </w:r>
          </w:p>
        </w:tc>
        <w:tc>
          <w:tcPr/>
          <w:p>
            <w:pPr>
              <w:pStyle w:val="Compact"/>
              <w:jc w:val="right"/>
            </w:pPr>
            <w:r>
              <w:t xml:space="preserve">95% CrI</w:t>
            </w:r>
          </w:p>
        </w:tc>
        <w:tc>
          <w:tcPr/>
          <w:p>
            <w:pPr>
              <w:pStyle w:val="Compact"/>
              <w:jc w:val="right"/>
            </w:pPr>
            <m:oMath>
              <m:sSub>
                <m:e>
                  <m:r>
                    <m:t>p</m:t>
                  </m:r>
                </m:e>
                <m:sub>
                  <m:r>
                    <m:t>d</m:t>
                  </m:r>
                </m:sub>
              </m:sSub>
            </m:oMath>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0.003</w:t>
            </w:r>
          </w:p>
        </w:tc>
        <w:tc>
          <w:tcPr/>
          <w:p>
            <w:pPr>
              <w:pStyle w:val="Compact"/>
              <w:jc w:val="right"/>
            </w:pPr>
            <w:r>
              <w:t xml:space="preserve">[-0.020, 0.027]</w:t>
            </w:r>
          </w:p>
        </w:tc>
        <w:tc>
          <w:tcPr/>
          <w:p>
            <w:pPr>
              <w:pStyle w:val="Compact"/>
              <w:jc w:val="right"/>
            </w:pPr>
            <w:r>
              <w:t xml:space="preserve">.61</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0.027</w:t>
            </w:r>
          </w:p>
        </w:tc>
        <w:tc>
          <w:tcPr/>
          <w:p>
            <w:pPr>
              <w:pStyle w:val="Compact"/>
              <w:jc w:val="right"/>
            </w:pPr>
            <w:r>
              <w:t xml:space="preserve">[-0.006, 0.061]</w:t>
            </w:r>
          </w:p>
        </w:tc>
        <w:tc>
          <w:tcPr/>
          <w:p>
            <w:pPr>
              <w:pStyle w:val="Compact"/>
              <w:jc w:val="right"/>
            </w:pPr>
            <w:r>
              <w:t xml:space="preserve">.95</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-0.020</w:t>
            </w:r>
          </w:p>
        </w:tc>
        <w:tc>
          <w:tcPr/>
          <w:p>
            <w:pPr>
              <w:pStyle w:val="Compact"/>
              <w:jc w:val="right"/>
            </w:pPr>
            <w:r>
              <w:t xml:space="preserve">[-0.053, 0.013]</w:t>
            </w:r>
          </w:p>
        </w:tc>
        <w:tc>
          <w:tcPr/>
          <w:p>
            <w:pPr>
              <w:pStyle w:val="Compact"/>
              <w:jc w:val="right"/>
            </w:pPr>
            <w:r>
              <w:t xml:space="preserve">.89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0.048</w:t>
            </w:r>
          </w:p>
        </w:tc>
        <w:tc>
          <w:tcPr/>
          <w:p>
            <w:pPr>
              <w:pStyle w:val="Compact"/>
              <w:jc w:val="right"/>
            </w:pPr>
            <w:r>
              <w:t xml:space="preserve">[0.001, 0.095]</w:t>
            </w:r>
          </w:p>
        </w:tc>
        <w:tc>
          <w:tcPr/>
          <w:p>
            <w:pPr>
              <w:pStyle w:val="Compact"/>
              <w:jc w:val="right"/>
            </w:pPr>
            <w:r>
              <w:t xml:space="preserve">.98</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0.011</w:t>
            </w:r>
          </w:p>
        </w:tc>
        <w:tc>
          <w:tcPr/>
          <w:p>
            <w:pPr>
              <w:pStyle w:val="Compact"/>
              <w:jc w:val="right"/>
            </w:pPr>
            <w:r>
              <w:t xml:space="preserve">[-0.023, 0.045]</w:t>
            </w:r>
          </w:p>
        </w:tc>
        <w:tc>
          <w:tcPr/>
          <w:p>
            <w:pPr>
              <w:pStyle w:val="Compact"/>
              <w:jc w:val="right"/>
            </w:pPr>
            <w:r>
              <w:t xml:space="preserve">.73</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0.051</w:t>
            </w:r>
          </w:p>
        </w:tc>
        <w:tc>
          <w:tcPr/>
          <w:p>
            <w:pPr>
              <w:pStyle w:val="Compact"/>
              <w:jc w:val="right"/>
            </w:pPr>
            <w:r>
              <w:t xml:space="preserve">[0.002, 0.100]</w:t>
            </w:r>
          </w:p>
        </w:tc>
        <w:tc>
          <w:tcPr/>
          <w:p>
            <w:pPr>
              <w:pStyle w:val="Compact"/>
              <w:jc w:val="right"/>
            </w:pPr>
            <w:r>
              <w:t xml:space="preserve">.98</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-0.029</w:t>
            </w:r>
          </w:p>
        </w:tc>
        <w:tc>
          <w:tcPr/>
          <w:p>
            <w:pPr>
              <w:pStyle w:val="Compact"/>
              <w:jc w:val="right"/>
            </w:pPr>
            <w:r>
              <w:t xml:space="preserve">[-0.077, 0.019]</w:t>
            </w:r>
          </w:p>
        </w:tc>
        <w:tc>
          <w:tcPr/>
          <w:p>
            <w:pPr>
              <w:pStyle w:val="Compact"/>
              <w:jc w:val="right"/>
            </w:pPr>
            <w:r>
              <w:t xml:space="preserve">.88</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0.080</w:t>
            </w:r>
          </w:p>
        </w:tc>
        <w:tc>
          <w:tcPr/>
          <w:p>
            <w:pPr>
              <w:pStyle w:val="Compact"/>
              <w:jc w:val="right"/>
            </w:pPr>
            <w:r>
              <w:t xml:space="preserve">[0.011, 0.149]</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0.001</w:t>
            </w:r>
          </w:p>
        </w:tc>
        <w:tc>
          <w:tcPr/>
          <w:p>
            <w:pPr>
              <w:pStyle w:val="Compact"/>
              <w:jc w:val="right"/>
            </w:pPr>
            <w:r>
              <w:t xml:space="preserve">[-0.023, 0.026]</w:t>
            </w:r>
          </w:p>
        </w:tc>
        <w:tc>
          <w:tcPr/>
          <w:p>
            <w:pPr>
              <w:pStyle w:val="Compact"/>
              <w:jc w:val="right"/>
            </w:pPr>
            <w:r>
              <w:t xml:space="preserve">.55</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0.030</w:t>
            </w:r>
          </w:p>
        </w:tc>
        <w:tc>
          <w:tcPr/>
          <w:p>
            <w:pPr>
              <w:pStyle w:val="Compact"/>
              <w:jc w:val="right"/>
            </w:pPr>
            <w:r>
              <w:t xml:space="preserve">[-0.005, 0.065]</w:t>
            </w:r>
          </w:p>
        </w:tc>
        <w:tc>
          <w:tcPr/>
          <w:p>
            <w:pPr>
              <w:pStyle w:val="Compact"/>
              <w:jc w:val="right"/>
            </w:pPr>
            <w:r>
              <w:t xml:space="preserve">.96</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-0.027</w:t>
            </w:r>
          </w:p>
        </w:tc>
        <w:tc>
          <w:tcPr/>
          <w:p>
            <w:pPr>
              <w:pStyle w:val="Compact"/>
              <w:jc w:val="right"/>
            </w:pPr>
            <w:r>
              <w:t xml:space="preserve">[-0.061, 0.008]</w:t>
            </w:r>
          </w:p>
        </w:tc>
        <w:tc>
          <w:tcPr/>
          <w:p>
            <w:pPr>
              <w:pStyle w:val="Compact"/>
              <w:jc w:val="right"/>
            </w:pPr>
            <w:r>
              <w:t xml:space="preserve">.94</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0.057</w:t>
            </w:r>
          </w:p>
        </w:tc>
        <w:tc>
          <w:tcPr/>
          <w:p>
            <w:pPr>
              <w:pStyle w:val="Compact"/>
              <w:jc w:val="right"/>
            </w:pPr>
            <w:r>
              <w:t xml:space="preserve">[0.008, 0.106]</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0.006</w:t>
            </w:r>
          </w:p>
        </w:tc>
        <w:tc>
          <w:tcPr/>
          <w:p>
            <w:pPr>
              <w:pStyle w:val="Compact"/>
              <w:jc w:val="right"/>
            </w:pPr>
            <w:r>
              <w:t xml:space="preserve">[-0.028, 0.041]</w:t>
            </w:r>
          </w:p>
        </w:tc>
        <w:tc>
          <w:tcPr/>
          <w:p>
            <w:pPr>
              <w:pStyle w:val="Compact"/>
              <w:jc w:val="right"/>
            </w:pPr>
            <w:r>
              <w:t xml:space="preserve">.64</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0.058</w:t>
            </w:r>
          </w:p>
        </w:tc>
        <w:tc>
          <w:tcPr/>
          <w:p>
            <w:pPr>
              <w:pStyle w:val="Compact"/>
              <w:jc w:val="right"/>
            </w:pPr>
            <w:r>
              <w:t xml:space="preserve">[0.008, 0.109]</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-0.044</w:t>
            </w:r>
          </w:p>
        </w:tc>
        <w:tc>
          <w:tcPr/>
          <w:p>
            <w:pPr>
              <w:pStyle w:val="Compact"/>
              <w:jc w:val="right"/>
            </w:pPr>
            <w:r>
              <w:t xml:space="preserve">[-0.092, 0.005]</w:t>
            </w:r>
          </w:p>
        </w:tc>
        <w:tc>
          <w:tcPr/>
          <w:p>
            <w:pPr>
              <w:pStyle w:val="Compact"/>
              <w:jc w:val="right"/>
            </w:pPr>
            <w:r>
              <w:t xml:space="preserve">.96</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0.102</w:t>
            </w:r>
          </w:p>
        </w:tc>
        <w:tc>
          <w:tcPr/>
          <w:p>
            <w:pPr>
              <w:pStyle w:val="Compact"/>
              <w:jc w:val="right"/>
            </w:pPr>
            <w:r>
              <w:t xml:space="preserve">[0.031, 0.173]</w:t>
            </w:r>
          </w:p>
        </w:tc>
        <w:tc>
          <w:tcPr/>
          <w:p>
            <w:pPr>
              <w:pStyle w:val="Compact"/>
              <w:jc w:val="right"/>
            </w:pPr>
            <w:r>
              <w:t xml:space="preserve">.998</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0.001</w:t>
            </w:r>
          </w:p>
        </w:tc>
        <w:tc>
          <w:tcPr/>
          <w:p>
            <w:pPr>
              <w:pStyle w:val="Compact"/>
              <w:jc w:val="right"/>
            </w:pPr>
            <w:r>
              <w:t xml:space="preserve">[-0.025, 0.026]</w:t>
            </w:r>
          </w:p>
        </w:tc>
        <w:tc>
          <w:tcPr/>
          <w:p>
            <w:pPr>
              <w:pStyle w:val="Compact"/>
              <w:jc w:val="right"/>
            </w:pPr>
            <w:r>
              <w:t xml:space="preserve">.52</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0.024</w:t>
            </w:r>
          </w:p>
        </w:tc>
        <w:tc>
          <w:tcPr/>
          <w:p>
            <w:pPr>
              <w:pStyle w:val="Compact"/>
              <w:jc w:val="right"/>
            </w:pPr>
            <w:r>
              <w:t xml:space="preserve">[-0.012, 0.060]</w:t>
            </w:r>
          </w:p>
        </w:tc>
        <w:tc>
          <w:tcPr/>
          <w:p>
            <w:pPr>
              <w:pStyle w:val="Compact"/>
              <w:jc w:val="right"/>
            </w:pPr>
            <w:r>
              <w:t xml:space="preserve">.91</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-0.022</w:t>
            </w:r>
          </w:p>
        </w:tc>
        <w:tc>
          <w:tcPr/>
          <w:p>
            <w:pPr>
              <w:pStyle w:val="Compact"/>
              <w:jc w:val="right"/>
            </w:pPr>
            <w:r>
              <w:t xml:space="preserve">[-0.058, 0.013]</w:t>
            </w:r>
          </w:p>
        </w:tc>
        <w:tc>
          <w:tcPr/>
          <w:p>
            <w:pPr>
              <w:pStyle w:val="Compact"/>
              <w:jc w:val="right"/>
            </w:pPr>
            <w:r>
              <w:t xml:space="preserve">.89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0.047</w:t>
            </w:r>
          </w:p>
        </w:tc>
        <w:tc>
          <w:tcPr/>
          <w:p>
            <w:pPr>
              <w:pStyle w:val="Compact"/>
              <w:jc w:val="right"/>
            </w:pPr>
            <w:r>
              <w:t xml:space="preserve">[-0.005, 0.097]</w:t>
            </w:r>
          </w:p>
        </w:tc>
        <w:tc>
          <w:tcPr/>
          <w:p>
            <w:pPr>
              <w:pStyle w:val="Compact"/>
              <w:jc w:val="right"/>
            </w:pPr>
            <w:r>
              <w:t xml:space="preserve">.96</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-0.012</w:t>
            </w:r>
          </w:p>
        </w:tc>
        <w:tc>
          <w:tcPr/>
          <w:p>
            <w:pPr>
              <w:pStyle w:val="Compact"/>
              <w:jc w:val="right"/>
            </w:pPr>
            <w:r>
              <w:t xml:space="preserve">[-0.048, 0.024]</w:t>
            </w:r>
          </w:p>
        </w:tc>
        <w:tc>
          <w:tcPr/>
          <w:p>
            <w:pPr>
              <w:pStyle w:val="Compact"/>
              <w:jc w:val="right"/>
            </w:pPr>
            <w:r>
              <w:t xml:space="preserve">.74</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0.033</w:t>
            </w:r>
          </w:p>
        </w:tc>
        <w:tc>
          <w:tcPr/>
          <w:p>
            <w:pPr>
              <w:pStyle w:val="Compact"/>
              <w:jc w:val="right"/>
            </w:pPr>
            <w:r>
              <w:t xml:space="preserve">[-0.019, 0.085]</w:t>
            </w:r>
          </w:p>
        </w:tc>
        <w:tc>
          <w:tcPr/>
          <w:p>
            <w:pPr>
              <w:pStyle w:val="Compact"/>
              <w:jc w:val="right"/>
            </w:pPr>
            <w:r>
              <w:t xml:space="preserve">.89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-0.055</w:t>
            </w:r>
          </w:p>
        </w:tc>
        <w:tc>
          <w:tcPr/>
          <w:p>
            <w:pPr>
              <w:pStyle w:val="Compact"/>
              <w:jc w:val="right"/>
            </w:pPr>
            <w:r>
              <w:t xml:space="preserve">[-0.106, -0.004]</w:t>
            </w:r>
          </w:p>
        </w:tc>
        <w:tc>
          <w:tcPr/>
          <w:p>
            <w:pPr>
              <w:pStyle w:val="Compact"/>
              <w:jc w:val="right"/>
            </w:pPr>
            <w:r>
              <w:t xml:space="preserve">.98</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0.088</w:t>
            </w:r>
          </w:p>
        </w:tc>
        <w:tc>
          <w:tcPr/>
          <w:p>
            <w:pPr>
              <w:pStyle w:val="Compact"/>
              <w:jc w:val="right"/>
            </w:pPr>
            <w:r>
              <w:t xml:space="preserve">[0.014, 0.161]</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-0.020</w:t>
            </w:r>
          </w:p>
        </w:tc>
        <w:tc>
          <w:tcPr/>
          <w:p>
            <w:pPr>
              <w:pStyle w:val="Compact"/>
              <w:jc w:val="right"/>
            </w:pPr>
            <w:r>
              <w:t xml:space="preserve">[-0.051, 0.010]</w:t>
            </w:r>
          </w:p>
        </w:tc>
        <w:tc>
          <w:tcPr/>
          <w:p>
            <w:pPr>
              <w:pStyle w:val="Compact"/>
              <w:jc w:val="right"/>
            </w:pPr>
            <w:r>
              <w:t xml:space="preserve">.90</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-0.064</w:t>
            </w:r>
          </w:p>
        </w:tc>
        <w:tc>
          <w:tcPr/>
          <w:p>
            <w:pPr>
              <w:pStyle w:val="Compact"/>
              <w:jc w:val="right"/>
            </w:pPr>
            <w:r>
              <w:t xml:space="preserve">[-0.107, -0.022]</w:t>
            </w:r>
          </w:p>
        </w:tc>
        <w:tc>
          <w:tcPr/>
          <w:p>
            <w:pPr>
              <w:pStyle w:val="Compact"/>
              <w:jc w:val="right"/>
            </w:pPr>
            <w:r>
              <w:t xml:space="preserve">.999</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0.025</w:t>
            </w:r>
          </w:p>
        </w:tc>
        <w:tc>
          <w:tcPr/>
          <w:p>
            <w:pPr>
              <w:pStyle w:val="Compact"/>
              <w:jc w:val="right"/>
            </w:pPr>
            <w:r>
              <w:t xml:space="preserve">[-0.019, 0.070]</w:t>
            </w:r>
          </w:p>
        </w:tc>
        <w:tc>
          <w:tcPr/>
          <w:p>
            <w:pPr>
              <w:pStyle w:val="Compact"/>
              <w:jc w:val="right"/>
            </w:pPr>
            <w:r>
              <w:t xml:space="preserve">.87</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-0.090</w:t>
            </w:r>
          </w:p>
        </w:tc>
        <w:tc>
          <w:tcPr/>
          <w:p>
            <w:pPr>
              <w:pStyle w:val="Compact"/>
              <w:jc w:val="right"/>
            </w:pPr>
            <w:r>
              <w:t xml:space="preserve">[-0.151, -0.028]</w:t>
            </w:r>
          </w:p>
        </w:tc>
        <w:tc>
          <w:tcPr/>
          <w:p>
            <w:pPr>
              <w:pStyle w:val="Compact"/>
              <w:jc w:val="right"/>
            </w:pPr>
            <w:r>
              <w:t xml:space="preserve">.998</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-0.041</w:t>
            </w:r>
          </w:p>
        </w:tc>
        <w:tc>
          <w:tcPr/>
          <w:p>
            <w:pPr>
              <w:pStyle w:val="Compact"/>
              <w:jc w:val="right"/>
            </w:pPr>
            <w:r>
              <w:t xml:space="preserve">[-0.084, 0.004]</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-0.135</w:t>
            </w:r>
          </w:p>
        </w:tc>
        <w:tc>
          <w:tcPr/>
          <w:p>
            <w:pPr>
              <w:pStyle w:val="Compact"/>
              <w:jc w:val="right"/>
            </w:pPr>
            <w:r>
              <w:t xml:space="preserve">[-0.196, -0.074]</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0.057</w:t>
            </w:r>
          </w:p>
        </w:tc>
        <w:tc>
          <w:tcPr/>
          <w:p>
            <w:pPr>
              <w:pStyle w:val="Compact"/>
              <w:jc w:val="right"/>
            </w:pPr>
            <w:r>
              <w:t xml:space="preserve">[-0.005, 0.119]</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-0.191</w:t>
            </w:r>
          </w:p>
        </w:tc>
        <w:tc>
          <w:tcPr/>
          <w:p>
            <w:pPr>
              <w:pStyle w:val="Compact"/>
              <w:jc w:val="right"/>
            </w:pPr>
            <w:r>
              <w:t xml:space="preserve">[-0.279, -0.104]</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-0.020</w:t>
            </w:r>
          </w:p>
        </w:tc>
        <w:tc>
          <w:tcPr/>
          <w:p>
            <w:pPr>
              <w:pStyle w:val="Compact"/>
              <w:jc w:val="right"/>
            </w:pPr>
            <w:r>
              <w:t xml:space="preserve">[-0.052, 0.012]</w:t>
            </w:r>
          </w:p>
        </w:tc>
        <w:tc>
          <w:tcPr/>
          <w:p>
            <w:pPr>
              <w:pStyle w:val="Compact"/>
              <w:jc w:val="right"/>
            </w:pPr>
            <w:r>
              <w:t xml:space="preserve">.89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-0.053</w:t>
            </w:r>
          </w:p>
        </w:tc>
        <w:tc>
          <w:tcPr/>
          <w:p>
            <w:pPr>
              <w:pStyle w:val="Compact"/>
              <w:jc w:val="right"/>
            </w:pPr>
            <w:r>
              <w:t xml:space="preserve">[-0.098, -0.009]</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0.014</w:t>
            </w:r>
          </w:p>
        </w:tc>
        <w:tc>
          <w:tcPr/>
          <w:p>
            <w:pPr>
              <w:pStyle w:val="Compact"/>
              <w:jc w:val="right"/>
            </w:pPr>
            <w:r>
              <w:t xml:space="preserve">[-0.031, 0.060]</w:t>
            </w:r>
          </w:p>
        </w:tc>
        <w:tc>
          <w:tcPr/>
          <w:p>
            <w:pPr>
              <w:pStyle w:val="Compact"/>
              <w:jc w:val="right"/>
            </w:pPr>
            <w:r>
              <w:t xml:space="preserve">.74</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-0.068</w:t>
            </w:r>
          </w:p>
        </w:tc>
        <w:tc>
          <w:tcPr/>
          <w:p>
            <w:pPr>
              <w:pStyle w:val="Compact"/>
              <w:jc w:val="right"/>
            </w:pPr>
            <w:r>
              <w:t xml:space="preserve">[-0.131, -0.004]</w:t>
            </w:r>
          </w:p>
        </w:tc>
        <w:tc>
          <w:tcPr/>
          <w:p>
            <w:pPr>
              <w:pStyle w:val="Compact"/>
              <w:jc w:val="right"/>
            </w:pPr>
            <w:r>
              <w:t xml:space="preserve">.98</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-0.042</w:t>
            </w:r>
          </w:p>
        </w:tc>
        <w:tc>
          <w:tcPr/>
          <w:p>
            <w:pPr>
              <w:pStyle w:val="Compact"/>
              <w:jc w:val="right"/>
            </w:pPr>
            <w:r>
              <w:t xml:space="preserve">[-0.088, 0.004]</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-0.132</w:t>
            </w:r>
          </w:p>
        </w:tc>
        <w:tc>
          <w:tcPr/>
          <w:p>
            <w:pPr>
              <w:pStyle w:val="Compact"/>
              <w:jc w:val="right"/>
            </w:pPr>
            <w:r>
              <w:t xml:space="preserve">[-0.195, -0.068]</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0.050</w:t>
            </w:r>
          </w:p>
        </w:tc>
        <w:tc>
          <w:tcPr/>
          <w:p>
            <w:pPr>
              <w:pStyle w:val="Compact"/>
              <w:jc w:val="right"/>
            </w:pPr>
            <w:r>
              <w:t xml:space="preserve">[-0.015, 0.115]</w:t>
            </w:r>
          </w:p>
        </w:tc>
        <w:tc>
          <w:tcPr/>
          <w:p>
            <w:pPr>
              <w:pStyle w:val="Compact"/>
              <w:jc w:val="right"/>
            </w:pPr>
            <w:r>
              <w:t xml:space="preserve">.94</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-0.182</w:t>
            </w:r>
          </w:p>
        </w:tc>
        <w:tc>
          <w:tcPr/>
          <w:p>
            <w:pPr>
              <w:pStyle w:val="Compact"/>
              <w:jc w:val="right"/>
            </w:pPr>
            <w:r>
              <w:t xml:space="preserve">[-0.271, -0.092]</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0.015</w:t>
            </w:r>
          </w:p>
        </w:tc>
        <w:tc>
          <w:tcPr/>
          <w:p>
            <w:pPr>
              <w:pStyle w:val="Compact"/>
              <w:jc w:val="right"/>
            </w:pPr>
            <w:r>
              <w:t xml:space="preserve">[-0.018, 0.048]</w:t>
            </w:r>
          </w:p>
        </w:tc>
        <w:tc>
          <w:tcPr/>
          <w:p>
            <w:pPr>
              <w:pStyle w:val="Compact"/>
              <w:jc w:val="right"/>
            </w:pPr>
            <w:r>
              <w:t xml:space="preserve">.81</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-0.007</w:t>
            </w:r>
          </w:p>
        </w:tc>
        <w:tc>
          <w:tcPr/>
          <w:p>
            <w:pPr>
              <w:pStyle w:val="Compact"/>
              <w:jc w:val="right"/>
            </w:pPr>
            <w:r>
              <w:t xml:space="preserve">[-0.053, 0.039]</w:t>
            </w:r>
          </w:p>
        </w:tc>
        <w:tc>
          <w:tcPr/>
          <w:p>
            <w:pPr>
              <w:pStyle w:val="Compact"/>
              <w:jc w:val="right"/>
            </w:pPr>
            <w:r>
              <w:t xml:space="preserve">.62</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0.038</w:t>
            </w:r>
          </w:p>
        </w:tc>
        <w:tc>
          <w:tcPr/>
          <w:p>
            <w:pPr>
              <w:pStyle w:val="Compact"/>
              <w:jc w:val="right"/>
            </w:pPr>
            <w:r>
              <w:t xml:space="preserve">[-0.010, 0.084]</w:t>
            </w:r>
          </w:p>
        </w:tc>
        <w:tc>
          <w:tcPr/>
          <w:p>
            <w:pPr>
              <w:pStyle w:val="Compact"/>
              <w:jc w:val="right"/>
            </w:pPr>
            <w:r>
              <w:t xml:space="preserve">.94</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-0.045</w:t>
            </w:r>
          </w:p>
        </w:tc>
        <w:tc>
          <w:tcPr/>
          <w:p>
            <w:pPr>
              <w:pStyle w:val="Compact"/>
              <w:jc w:val="right"/>
            </w:pPr>
            <w:r>
              <w:t xml:space="preserve">[-0.109, 0.022]</w:t>
            </w:r>
          </w:p>
        </w:tc>
        <w:tc>
          <w:tcPr/>
          <w:p>
            <w:pPr>
              <w:pStyle w:val="Compact"/>
              <w:jc w:val="right"/>
            </w:pPr>
            <w:r>
              <w:t xml:space="preserve">.91</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0.002</w:t>
            </w:r>
          </w:p>
        </w:tc>
        <w:tc>
          <w:tcPr/>
          <w:p>
            <w:pPr>
              <w:pStyle w:val="Compact"/>
              <w:jc w:val="right"/>
            </w:pPr>
            <w:r>
              <w:t xml:space="preserve">[-0.044, 0.049]</w:t>
            </w:r>
          </w:p>
        </w:tc>
        <w:tc>
          <w:tcPr/>
          <w:p>
            <w:pPr>
              <w:pStyle w:val="Compact"/>
              <w:jc w:val="right"/>
            </w:pPr>
            <w:r>
              <w:t xml:space="preserve">.54</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-0.075</w:t>
            </w:r>
          </w:p>
        </w:tc>
        <w:tc>
          <w:tcPr/>
          <w:p>
            <w:pPr>
              <w:pStyle w:val="Compact"/>
              <w:jc w:val="right"/>
            </w:pPr>
            <w:r>
              <w:t xml:space="preserve">[-0.140, -0.010]</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0.082</w:t>
            </w:r>
          </w:p>
        </w:tc>
        <w:tc>
          <w:tcPr/>
          <w:p>
            <w:pPr>
              <w:pStyle w:val="Compact"/>
              <w:jc w:val="right"/>
            </w:pPr>
            <w:r>
              <w:t xml:space="preserve">[0.016, 0.150]</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-0.157</w:t>
            </w:r>
          </w:p>
        </w:tc>
        <w:tc>
          <w:tcPr/>
          <w:p>
            <w:pPr>
              <w:pStyle w:val="Compact"/>
              <w:jc w:val="right"/>
            </w:pPr>
            <w:r>
              <w:t xml:space="preserve">[-0.251, -0.063]</w:t>
            </w:r>
          </w:p>
        </w:tc>
        <w:tc>
          <w:tcPr/>
          <w:p>
            <w:pPr>
              <w:pStyle w:val="Compact"/>
              <w:jc w:val="right"/>
            </w:pPr>
            <w:r>
              <w:t xml:space="preserve">.999</w:t>
            </w:r>
          </w:p>
        </w:tc>
      </w:tr>
    </w:tbl>
    <w:bookmarkEnd w:id="399"/>
    <w:p>
      <w:pPr>
        <w:pStyle w:val="FigureNote"/>
      </w:pPr>
      <w:r>
        <w:rPr>
          <w:i/>
          <w:iCs/>
        </w:rPr>
        <w:t xml:space="preserve">Note</w:t>
      </w:r>
      <w:r>
        <w:t xml:space="preserve">. Each contrast is the deviation of the grammaticality effect at Session 6 from the trend established across the training sessions: posterior median, 95% credible interval and probability of direction, overall, within each language and for their difference (Mini-Norwegian minus Mini-English). All estimates are in within-participant SD units of amplitude. Verb–object number agreement is omitted because its indicator is not identifiable. For compactness, Gender means subject–verb gender agreement and Object marking means differential object marking.</w:t>
      </w:r>
    </w:p>
    <w:p>
      <w:r>
        <w:br w:type="page"/>
      </w:r>
    </w:p>
    <w:bookmarkEnd w:id="400"/>
    <w:p>
      <w:pPr>
        <w:pStyle w:val="Heading1"/>
      </w:pPr>
      <w:r>
        <w:t xml:space="preserve">Appendix C</w:t>
      </w:r>
    </w:p>
    <w:bookmarkStart w:id="402" w:name="apx-prior-specifications"/>
    <w:p>
      <w:pPr>
        <w:pStyle w:val="Heading1"/>
      </w:pPr>
      <w:r>
        <w:t xml:space="preserve">Prior specifications</w:t>
      </w:r>
    </w:p>
    <w:p>
      <w:pPr>
        <w:pStyle w:val="FirstParagraph"/>
      </w:pPr>
      <w:r>
        <w:t xml:space="preserve">The reasoning behind each prior is given in the Method, under</w:t>
      </w:r>
      <w:r>
        <w:t xml:space="preserve"> </w:t>
      </w:r>
      <w:r>
        <w:rPr>
          <w:i/>
          <w:iCs/>
        </w:rPr>
        <w:t xml:space="preserve">Priors</w:t>
      </w:r>
      <w:r>
        <w:t xml:space="preserve">. What follows is the</w:t>
      </w:r>
      <w:r>
        <w:t xml:space="preserve"> </w:t>
      </w:r>
      <w:r>
        <w:t xml:space="preserve">specification itself. Every mean and standard deviation is on the standardised scale, so a</w:t>
      </w:r>
      <w:r>
        <w:t xml:space="preserve"> </w:t>
      </w:r>
      <w:r>
        <w:t xml:space="preserve">coefficient is in standard-deviation units, within participant for the ERP models. Prior</w:t>
      </w:r>
      <w:r>
        <w:t xml:space="preserve"> </w:t>
      </w:r>
      <w:r>
        <w:t xml:space="preserve">means encode a direction and a regularised magnitude only, never a literature effect size,</w:t>
      </w:r>
      <w:r>
        <w:t xml:space="preserve"> </w:t>
      </w:r>
      <w:r>
        <w:t xml:space="preserve">because the sources do not supply a transferable one. A directional prior is placed only</w:t>
      </w:r>
      <w:r>
        <w:t xml:space="preserve"> </w:t>
      </w:r>
      <w:r>
        <w:t xml:space="preserve">where the literature supports a sign. Everything else, including the grammaticality slope</w:t>
      </w:r>
      <w:r>
        <w:t xml:space="preserve"> </w:t>
      </w:r>
      <w:r>
        <w:t xml:space="preserve">in the 200–500 ms window, differential object marking at 300–600 ms, the hemisphere</w:t>
      </w:r>
      <w:r>
        <w:t xml:space="preserve"> </w:t>
      </w:r>
      <w:r>
        <w:t xml:space="preserve">interactions and the transfer interaction under test, takes the model’s zero-centred</w:t>
      </w:r>
      <w:r>
        <w:t xml:space="preserve"> </w:t>
      </w:r>
      <w:r>
        <w:t xml:space="preserve">default.</w:t>
      </w:r>
    </w:p>
    <w:bookmarkStart w:id="401" w:name="tbl-priors"/>
    <w:p>
      <w:pPr>
        <w:pStyle w:val="FigureTitle"/>
      </w:pPr>
      <w:r>
        <w:t xml:space="preserve">Table C1</w:t>
      </w:r>
    </w:p>
    <w:p>
      <w:pPr>
        <w:pStyle w:val="Caption"/>
      </w:pPr>
      <w:r>
        <w:t xml:space="preserve">Prior Distributions Placed on Each Parameter</w:t>
      </w:r>
    </w:p>
    <w:tbl>
      <w:tblPr>
        <w:tblStyle w:val="Table"/>
        <w:tblW w:type="pct" w:w="5000"/>
        <w:tblLayout w:type="fixed"/>
        <w:tblLook w:firstRow="1" w:lastRow="0" w:firstColumn="0" w:lastColumn="0" w:noHBand="0" w:noVBand="0" w:val="0020"/>
      </w:tblPr>
      <w:tblGrid>
        <w:gridCol w:w="2448"/>
        <w:gridCol w:w="4536"/>
        <w:gridCol w:w="936"/>
      </w:tblGrid>
      <w:tr>
        <w:trPr>
          <w:tblHeader w:val="on"/>
        </w:trPr>
        <w:tc>
          <w:tcPr/>
          <w:p>
            <w:pPr>
              <w:pStyle w:val="Compact"/>
              <w:jc w:val="left"/>
            </w:pPr>
            <w:r>
              <w:t xml:space="preserve">Parameter</w:t>
            </w:r>
          </w:p>
        </w:tc>
        <w:tc>
          <w:tcPr/>
          <w:p>
            <w:pPr>
              <w:pStyle w:val="Compact"/>
              <w:jc w:val="left"/>
            </w:pPr>
            <w:r>
              <w:t xml:space="preserve">Model or window</w:t>
            </w:r>
          </w:p>
        </w:tc>
        <w:tc>
          <w:tcPr/>
          <w:p>
            <w:pPr>
              <w:pStyle w:val="Compact"/>
              <w:jc w:val="left"/>
            </w:pPr>
            <w:r>
              <w:t xml:space="preserve">Prior</w:t>
            </w:r>
          </w:p>
        </w:tc>
      </w:tr>
      <w:tr>
        <w:tc>
          <w:tcPr/>
          <w:p>
            <w:pPr>
              <w:pStyle w:val="Compact"/>
              <w:jc w:val="left"/>
            </w:pPr>
            <w:r>
              <w:t xml:space="preserve">All remaining coefficients</w:t>
            </w:r>
          </w:p>
        </w:tc>
        <w:tc>
          <w:tcPr/>
          <w:p>
            <w:pPr>
              <w:pStyle w:val="Compact"/>
              <w:jc w:val="left"/>
            </w:pPr>
            <w:r>
              <w:t xml:space="preserve">all ERP models</w:t>
            </w:r>
          </w:p>
        </w:tc>
        <w:tc>
          <w:tcPr/>
          <w:p>
            <w:pPr>
              <w:pStyle w:val="Compact"/>
              <w:jc w:val="left"/>
            </w:pPr>
            <w:r>
              <w:t xml:space="preserve">N(0, 0.5)</w:t>
            </w:r>
          </w:p>
        </w:tc>
      </w:tr>
      <w:tr>
        <w:tc>
          <w:tcPr/>
          <w:p>
            <w:pPr>
              <w:pStyle w:val="Compact"/>
              <w:jc w:val="left"/>
            </w:pPr>
            <w:r>
              <w:t xml:space="preserve">Grammaticality</w:t>
            </w:r>
          </w:p>
        </w:tc>
        <w:tc>
          <w:tcPr/>
          <w:p>
            <w:pPr>
              <w:pStyle w:val="Compact"/>
              <w:jc w:val="left"/>
            </w:pPr>
            <w:r>
              <w:t xml:space="preserve">300–600 ms, agreement properties</w:t>
            </w:r>
          </w:p>
        </w:tc>
        <w:tc>
          <w:tcPr/>
          <w:p>
            <w:pPr>
              <w:pStyle w:val="Compact"/>
              <w:jc w:val="left"/>
            </w:pPr>
            <w:r>
              <w:t xml:space="preserve">N(-0.1, 0.3)</w:t>
            </w:r>
          </w:p>
        </w:tc>
      </w:tr>
      <w:tr>
        <w:tc>
          <w:tcPr/>
          <w:p>
            <w:pPr>
              <w:pStyle w:val="Compact"/>
              <w:jc w:val="left"/>
            </w:pPr>
            <w:r>
              <w:t xml:space="preserve">Grammaticality</w:t>
            </w:r>
          </w:p>
        </w:tc>
        <w:tc>
          <w:tcPr/>
          <w:p>
            <w:pPr>
              <w:pStyle w:val="Compact"/>
              <w:jc w:val="left"/>
            </w:pPr>
            <w:r>
              <w:t xml:space="preserve">400–900 ms, agreement properties</w:t>
            </w:r>
          </w:p>
        </w:tc>
        <w:tc>
          <w:tcPr/>
          <w:p>
            <w:pPr>
              <w:pStyle w:val="Compact"/>
              <w:jc w:val="left"/>
            </w:pPr>
            <w:r>
              <w:t xml:space="preserve">N(-0.2, 0.3)</w:t>
            </w:r>
          </w:p>
        </w:tc>
      </w:tr>
      <w:tr>
        <w:tc>
          <w:tcPr/>
          <w:p>
            <w:pPr>
              <w:pStyle w:val="Compact"/>
              <w:jc w:val="left"/>
            </w:pPr>
            <w:r>
              <w:t xml:space="preserve">Grammaticality</w:t>
            </w:r>
          </w:p>
        </w:tc>
        <w:tc>
          <w:tcPr/>
          <w:p>
            <w:pPr>
              <w:pStyle w:val="Compact"/>
              <w:jc w:val="left"/>
            </w:pPr>
            <w:r>
              <w:t xml:space="preserve">400–900 ms, differential object marking</w:t>
            </w:r>
          </w:p>
        </w:tc>
        <w:tc>
          <w:tcPr/>
          <w:p>
            <w:pPr>
              <w:pStyle w:val="Compact"/>
              <w:jc w:val="left"/>
            </w:pPr>
            <w:r>
              <w:t xml:space="preserve">N(-0.2, 0.4)</w:t>
            </w:r>
          </w:p>
        </w:tc>
      </w:tr>
      <w:tr>
        <w:tc>
          <w:tcPr/>
          <w:p>
            <w:pPr>
              <w:pStyle w:val="Compact"/>
              <w:jc w:val="left"/>
            </w:pPr>
            <w:r>
              <w:t xml:space="preserve">Grammaticality x caudality</w:t>
            </w:r>
          </w:p>
        </w:tc>
        <w:tc>
          <w:tcPr/>
          <w:p>
            <w:pPr>
              <w:pStyle w:val="Compact"/>
              <w:jc w:val="left"/>
            </w:pPr>
            <w:r>
              <w:t xml:space="preserve">300–600 ms, agreement properties; 400–900 ms, all properties</w:t>
            </w:r>
          </w:p>
        </w:tc>
        <w:tc>
          <w:tcPr/>
          <w:p>
            <w:pPr>
              <w:pStyle w:val="Compact"/>
              <w:jc w:val="left"/>
            </w:pPr>
            <w:r>
              <w:t xml:space="preserve">N(0.1, 0.3)</w:t>
            </w:r>
          </w:p>
        </w:tc>
      </w:tr>
      <w:tr>
        <w:tc>
          <w:tcPr/>
          <w:p>
            <w:pPr>
              <w:pStyle w:val="Compact"/>
              <w:jc w:val="left"/>
            </w:pPr>
            <w:r>
              <w:t xml:space="preserve">Intercept</w:t>
            </w:r>
          </w:p>
        </w:tc>
        <w:tc>
          <w:tcPr/>
          <w:p>
            <w:pPr>
              <w:pStyle w:val="Compact"/>
              <w:jc w:val="left"/>
            </w:pPr>
            <w:r>
              <w:t xml:space="preserve">all ERP models</w:t>
            </w:r>
          </w:p>
        </w:tc>
        <w:tc>
          <w:tcPr/>
          <w:p>
            <w:pPr>
              <w:pStyle w:val="Compact"/>
              <w:jc w:val="left"/>
            </w:pPr>
            <w:r>
              <w:t xml:space="preserve">N(0, 0.5)</w:t>
            </w:r>
          </w:p>
        </w:tc>
      </w:tr>
      <w:tr>
        <w:tc>
          <w:tcPr/>
          <w:p>
            <w:pPr>
              <w:pStyle w:val="Compact"/>
              <w:jc w:val="left"/>
            </w:pPr>
            <w:r>
              <w:t xml:space="preserve">Random-effect correlations</w:t>
            </w:r>
          </w:p>
        </w:tc>
        <w:tc>
          <w:tcPr/>
          <w:p>
            <w:pPr>
              <w:pStyle w:val="Compact"/>
              <w:jc w:val="left"/>
            </w:pPr>
            <w:r>
              <w:t xml:space="preserve">all ERP models</w:t>
            </w:r>
          </w:p>
        </w:tc>
        <w:tc>
          <w:tcPr/>
          <w:p>
            <w:pPr>
              <w:pStyle w:val="Compact"/>
              <w:jc w:val="left"/>
            </w:pPr>
            <w:r>
              <w:t xml:space="preserve">LKJ(2)</w:t>
            </w:r>
          </w:p>
        </w:tc>
      </w:tr>
      <w:tr>
        <w:tc>
          <w:tcPr/>
          <w:p>
            <w:pPr>
              <w:pStyle w:val="Compact"/>
              <w:jc w:val="left"/>
            </w:pPr>
            <w:r>
              <w:t xml:space="preserve">Random-effect standard deviations</w:t>
            </w:r>
          </w:p>
        </w:tc>
        <w:tc>
          <w:tcPr/>
          <w:p>
            <w:pPr>
              <w:pStyle w:val="Compact"/>
              <w:jc w:val="left"/>
            </w:pPr>
            <w:r>
              <w:t xml:space="preserve">all ERP models</w:t>
            </w:r>
          </w:p>
        </w:tc>
        <w:tc>
          <w:tcPr/>
          <w:p>
            <w:pPr>
              <w:pStyle w:val="Compact"/>
              <w:jc w:val="left"/>
            </w:pPr>
            <w:r>
              <w:t xml:space="preserve">t(3, 0, 2.5)</w:t>
            </w:r>
          </w:p>
        </w:tc>
      </w:tr>
      <w:tr>
        <w:tc>
          <w:tcPr/>
          <w:p>
            <w:pPr>
              <w:pStyle w:val="Compact"/>
              <w:jc w:val="left"/>
            </w:pPr>
            <w:r>
              <w:t xml:space="preserve">Residual standard deviation</w:t>
            </w:r>
          </w:p>
        </w:tc>
        <w:tc>
          <w:tcPr/>
          <w:p>
            <w:pPr>
              <w:pStyle w:val="Compact"/>
              <w:jc w:val="left"/>
            </w:pPr>
            <w:r>
              <w:t xml:space="preserve">all ERP models</w:t>
            </w:r>
          </w:p>
        </w:tc>
        <w:tc>
          <w:tcPr/>
          <w:p>
            <w:pPr>
              <w:pStyle w:val="Compact"/>
              <w:jc w:val="left"/>
            </w:pPr>
            <w:r>
              <w:t xml:space="preserve">t(3, 0, 2.5)</w:t>
            </w:r>
          </w:p>
        </w:tc>
      </w:tr>
      <w:tr>
        <w:tc>
          <w:tcPr/>
          <w:p>
            <w:pPr>
              <w:pStyle w:val="Compact"/>
              <w:jc w:val="left"/>
            </w:pPr>
            <w:r>
              <w:t xml:space="preserve">All remaining coefficients</w:t>
            </w:r>
          </w:p>
        </w:tc>
        <w:tc>
          <w:tcPr/>
          <w:p>
            <w:pPr>
              <w:pStyle w:val="Compact"/>
              <w:jc w:val="left"/>
            </w:pPr>
            <w:r>
              <w:t xml:space="preserve">accuracy models</w:t>
            </w:r>
          </w:p>
        </w:tc>
        <w:tc>
          <w:tcPr/>
          <w:p>
            <w:pPr>
              <w:pStyle w:val="Compact"/>
              <w:jc w:val="left"/>
            </w:pPr>
            <w:r>
              <w:t xml:space="preserve">N(0, 1)</w:t>
            </w:r>
          </w:p>
        </w:tc>
      </w:tr>
      <w:tr>
        <w:tc>
          <w:tcPr/>
          <w:p>
            <w:pPr>
              <w:pStyle w:val="Compact"/>
              <w:jc w:val="left"/>
            </w:pPr>
            <w:r>
              <w:t xml:space="preserve">Intercept</w:t>
            </w:r>
          </w:p>
        </w:tc>
        <w:tc>
          <w:tcPr/>
          <w:p>
            <w:pPr>
              <w:pStyle w:val="Compact"/>
              <w:jc w:val="left"/>
            </w:pPr>
            <w:r>
              <w:t xml:space="preserve">accuracy models</w:t>
            </w:r>
          </w:p>
        </w:tc>
        <w:tc>
          <w:tcPr/>
          <w:p>
            <w:pPr>
              <w:pStyle w:val="Compact"/>
              <w:jc w:val="left"/>
            </w:pPr>
            <w:r>
              <w:t xml:space="preserve">N(1.5, 1)</w:t>
            </w:r>
          </w:p>
        </w:tc>
      </w:tr>
      <w:tr>
        <w:tc>
          <w:tcPr/>
          <w:p>
            <w:pPr>
              <w:pStyle w:val="Compact"/>
              <w:jc w:val="left"/>
            </w:pPr>
            <w:r>
              <w:t xml:space="preserve">Random-effect correlations</w:t>
            </w:r>
          </w:p>
        </w:tc>
        <w:tc>
          <w:tcPr/>
          <w:p>
            <w:pPr>
              <w:pStyle w:val="Compact"/>
              <w:jc w:val="left"/>
            </w:pPr>
            <w:r>
              <w:t xml:space="preserve">accuracy models</w:t>
            </w:r>
          </w:p>
        </w:tc>
        <w:tc>
          <w:tcPr/>
          <w:p>
            <w:pPr>
              <w:pStyle w:val="Compact"/>
              <w:jc w:val="left"/>
            </w:pPr>
            <w:r>
              <w:t xml:space="preserve">LKJ(2)</w:t>
            </w:r>
          </w:p>
        </w:tc>
      </w:tr>
      <w:tr>
        <w:tc>
          <w:tcPr/>
          <w:p>
            <w:pPr>
              <w:pStyle w:val="Compact"/>
              <w:jc w:val="left"/>
            </w:pPr>
            <w:r>
              <w:t xml:space="preserve">Random-effect standard deviations</w:t>
            </w:r>
          </w:p>
        </w:tc>
        <w:tc>
          <w:tcPr/>
          <w:p>
            <w:pPr>
              <w:pStyle w:val="Compact"/>
              <w:jc w:val="left"/>
            </w:pPr>
            <w:r>
              <w:t xml:space="preserve">accuracy models</w:t>
            </w:r>
          </w:p>
        </w:tc>
        <w:tc>
          <w:tcPr/>
          <w:p>
            <w:pPr>
              <w:pStyle w:val="Compact"/>
              <w:jc w:val="left"/>
            </w:pPr>
            <w:r>
              <w:t xml:space="preserve">t(3, 0, 2.5)</w:t>
            </w:r>
          </w:p>
        </w:tc>
      </w:tr>
      <w:tr>
        <w:tc>
          <w:tcPr/>
          <w:p>
            <w:pPr>
              <w:pStyle w:val="Compact"/>
              <w:jc w:val="left"/>
            </w:pPr>
            <w:r>
              <w:t xml:space="preserve">Session</w:t>
            </w:r>
          </w:p>
        </w:tc>
        <w:tc>
          <w:tcPr/>
          <w:p>
            <w:pPr>
              <w:pStyle w:val="Compact"/>
              <w:jc w:val="left"/>
            </w:pPr>
            <w:r>
              <w:t xml:space="preserve">accuracy models</w:t>
            </w:r>
          </w:p>
        </w:tc>
        <w:tc>
          <w:tcPr/>
          <w:p>
            <w:pPr>
              <w:pStyle w:val="Compact"/>
              <w:jc w:val="left"/>
            </w:pPr>
            <w:r>
              <w:t xml:space="preserve">N(0.3, 0.5)</w:t>
            </w:r>
          </w:p>
        </w:tc>
      </w:tr>
    </w:tbl>
    <w:bookmarkEnd w:id="401"/>
    <w:p>
      <w:pPr>
        <w:pStyle w:val="FigureNote"/>
      </w:pPr>
      <w:r>
        <w:rPr>
          <w:i/>
          <w:iCs/>
        </w:rPr>
        <w:t xml:space="preserve">Note</w:t>
      </w:r>
      <w:r>
        <w:t xml:space="preserve">. Zero-centred entries carry no directional claim. The standard deviation is what bounds the prior’s influence. The weakly informative baseline used for the sensitivity analysis replaces every informative mean below with zero and widens the corresponding standard deviation.</w:t>
      </w:r>
    </w:p>
    <w:p>
      <w:r>
        <w:br w:type="page"/>
      </w:r>
    </w:p>
    <w:bookmarkEnd w:id="402"/>
    <w:p>
      <w:pPr>
        <w:pStyle w:val="Heading1"/>
      </w:pPr>
      <w:r>
        <w:t xml:space="preserve">Appendix D</w:t>
      </w:r>
    </w:p>
    <w:bookmarkStart w:id="404" w:name="apx-convergence-diagnostics"/>
    <w:p>
      <w:pPr>
        <w:pStyle w:val="Heading1"/>
      </w:pPr>
      <w:r>
        <w:t xml:space="preserve">Convergence diagnostics</w:t>
      </w:r>
    </w:p>
    <w:p>
      <w:pPr>
        <w:pStyle w:val="FirstParagraph"/>
      </w:pPr>
      <w:r>
        <w:t xml:space="preserve">This appendix reports the realised sampling diagnostics for every fitted model. Each of</w:t>
      </w:r>
      <w:r>
        <w:t xml:space="preserve"> </w:t>
      </w:r>
      <w:r>
        <w:t xml:space="preserve">the 18 ERP cells was fitted under two random-effect structures (base and maximal) and</w:t>
      </w:r>
      <w:r>
        <w:t xml:space="preserve"> </w:t>
      </w:r>
      <w:r>
        <w:t xml:space="preserve">two prior sets, the literature-derived informative priors reported throughout and the</w:t>
      </w:r>
      <w:r>
        <w:t xml:space="preserve"> </w:t>
      </w:r>
      <w:r>
        <w:t xml:space="preserve">weakly informative baseline used for the sensitivity analysis, giving</w:t>
      </w:r>
      <w:r>
        <w:t xml:space="preserve"> </w:t>
      </w:r>
      <w:r>
        <w:t xml:space="preserve">72 grid fits. Each of the</w:t>
      </w:r>
      <w:r>
        <w:t xml:space="preserve"> </w:t>
      </w:r>
      <w:r>
        <w:t xml:space="preserve">3 accuracy models was fitted under the two prior sets alone, having a single</w:t>
      </w:r>
      <w:r>
        <w:t xml:space="preserve"> </w:t>
      </w:r>
      <w:r>
        <w:t xml:space="preserve">random-effect structure because no by-item term is carried, giving</w:t>
      </w:r>
      <w:r>
        <w:t xml:space="preserve"> </w:t>
      </w:r>
      <w:r>
        <w:t xml:space="preserve">6 fits. The retention-free refits add</w:t>
      </w:r>
      <w:r>
        <w:t xml:space="preserve"> </w:t>
      </w:r>
      <w:r>
        <w:t xml:space="preserve">24 fits, the 12 gender-agreement and differential-object-marking</w:t>
      </w:r>
      <w:r>
        <w:t xml:space="preserve"> </w:t>
      </w:r>
      <w:r>
        <w:t xml:space="preserve">cells under both structures with the informative</w:t>
      </w:r>
      <w:r>
        <w:t xml:space="preserve"> </w:t>
      </w:r>
      <w:r>
        <w:t xml:space="preserve">priors.</w:t>
      </w:r>
      <w:r>
        <w:t xml:space="preserve"> </w:t>
      </w:r>
      <w:r>
        <w:t xml:space="preserve">In all, 102 models were fitted.</w:t>
      </w:r>
      <w:r>
        <w:t xml:space="preserve"> </w:t>
      </w:r>
      <w:hyperlink w:anchor="tbl-convergence-appendix">
        <w:r>
          <w:rPr>
            <w:rStyle w:val="Hyperlink"/>
          </w:rPr>
          <w:t xml:space="preserve">Table D1</w:t>
        </w:r>
      </w:hyperlink>
      <w:r>
        <w:t xml:space="preserve"> </w:t>
      </w:r>
      <w:r>
        <w:t xml:space="preserve">gives the realised diagnostics for every one, so a</w:t>
      </w:r>
      <w:r>
        <w:t xml:space="preserve"> </w:t>
      </w:r>
      <w:r>
        <w:t xml:space="preserve">model that converged comfortably can be told from one that converged marginally.</w:t>
      </w:r>
    </w:p>
    <w:bookmarkStart w:id="403" w:name="tbl-convergence-appendix"/>
    <w:p>
      <w:pPr>
        <w:pStyle w:val="FigureTitle"/>
      </w:pPr>
      <w:r>
        <w:t xml:space="preserve">Table D1</w:t>
      </w:r>
    </w:p>
    <w:p>
      <w:pPr>
        <w:pStyle w:val="Caption"/>
      </w:pPr>
      <w:r>
        <w:t xml:space="preserve">Convergence Diagnostics for Every Fitted Model</w:t>
      </w:r>
    </w:p>
    <w:tbl>
      <w:tblPr>
        <w:tblStyle w:val="Table"/>
        <w:tblW w:type="pct" w:w="5000"/>
        <w:tblLayout w:type="fixed"/>
        <w:tblLook w:firstRow="1" w:lastRow="0" w:firstColumn="0" w:lastColumn="0" w:noHBand="0" w:noVBand="0" w:val="0020"/>
      </w:tblPr>
      <w:tblGrid>
        <w:gridCol w:w="1188"/>
        <w:gridCol w:w="950"/>
        <w:gridCol w:w="792"/>
        <w:gridCol w:w="950"/>
        <w:gridCol w:w="1029"/>
        <w:gridCol w:w="1188"/>
        <w:gridCol w:w="554"/>
        <w:gridCol w:w="633"/>
        <w:gridCol w:w="633"/>
      </w:tblGrid>
      <w:tr>
        <w:trPr>
          <w:tblHeader w:val="on"/>
        </w:trPr>
        <w:tc>
          <w:tcPr/>
          <w:p>
            <w:pPr>
              <w:pStyle w:val="Compact"/>
              <w:jc w:val="left"/>
            </w:pPr>
            <w:r>
              <w:t xml:space="preserve">Property</w:t>
            </w:r>
          </w:p>
        </w:tc>
        <w:tc>
          <w:tcPr/>
          <w:p>
            <w:pPr>
              <w:pStyle w:val="Compact"/>
              <w:jc w:val="left"/>
            </w:pPr>
            <w:r>
              <w:t xml:space="preserve">Window (ms)</w:t>
            </w:r>
          </w:p>
        </w:tc>
        <w:tc>
          <w:tcPr/>
          <w:p>
            <w:pPr>
              <w:pStyle w:val="Compact"/>
              <w:jc w:val="left"/>
            </w:pPr>
            <w:r>
              <w:t xml:space="preserve">Region</w:t>
            </w:r>
          </w:p>
        </w:tc>
        <w:tc>
          <w:tcPr/>
          <w:p>
            <w:pPr>
              <w:pStyle w:val="Compact"/>
              <w:jc w:val="left"/>
            </w:pPr>
            <w:r>
              <w:t xml:space="preserve">Structure</w:t>
            </w:r>
          </w:p>
        </w:tc>
        <w:tc>
          <w:tcPr/>
          <w:p>
            <w:pPr>
              <w:pStyle w:val="Compact"/>
              <w:jc w:val="left"/>
            </w:pPr>
            <w:r>
              <w:t xml:space="preserve">Priors</w:t>
            </w:r>
          </w:p>
        </w:tc>
        <w:tc>
          <w:tcPr/>
          <w:p>
            <w:pPr>
              <w:pStyle w:val="Compact"/>
              <w:jc w:val="left"/>
            </w:pPr>
            <w:r>
              <w:t xml:space="preserve">Retention-free</w:t>
            </w:r>
          </w:p>
        </w:tc>
        <w:tc>
          <w:tcPr/>
          <w:p>
            <w:pPr>
              <w:pStyle w:val="Compact"/>
              <w:jc w:val="right"/>
            </w:pPr>
            <m:oMath>
              <m:acc>
                <m:accPr>
                  <m:chr m:val="̂"/>
                </m:accPr>
                <m:e>
                  <m:r>
                    <m:t>R</m:t>
                  </m:r>
                </m:e>
              </m:acc>
            </m:oMath>
          </w:p>
        </w:tc>
        <w:tc>
          <w:tcPr/>
          <w:p>
            <w:pPr>
              <w:pStyle w:val="Compact"/>
              <w:jc w:val="right"/>
            </w:pPr>
            <w:r>
              <w:t xml:space="preserve">ESS (bulk)</w:t>
            </w:r>
          </w:p>
        </w:tc>
        <w:tc>
          <w:tcPr/>
          <w:p>
            <w:pPr>
              <w:pStyle w:val="Compact"/>
              <w:jc w:val="right"/>
            </w:pPr>
            <w:r>
              <w:t xml:space="preserve">ESS (tail)</w:t>
            </w:r>
          </w:p>
        </w:tc>
      </w:tr>
      <w:tr>
        <w:tc>
          <w:tcPr/>
          <w:p>
            <w:pPr>
              <w:pStyle w:val="Compact"/>
              <w:jc w:val="left"/>
            </w:pPr>
            <w:r>
              <w:t xml:space="preserve">Object marking</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5020</w:t>
            </w:r>
          </w:p>
        </w:tc>
        <w:tc>
          <w:tcPr/>
          <w:p>
            <w:pPr>
              <w:pStyle w:val="Compact"/>
              <w:jc w:val="right"/>
            </w:pPr>
            <w:r>
              <w:t xml:space="preserve">8149</w:t>
            </w:r>
          </w:p>
        </w:tc>
      </w:tr>
      <w:tr>
        <w:tc>
          <w:tcPr/>
          <w:p>
            <w:pPr>
              <w:pStyle w:val="Compact"/>
              <w:jc w:val="left"/>
            </w:pPr>
            <w:r>
              <w:t xml:space="preserve">Object marking</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4825</w:t>
            </w:r>
          </w:p>
        </w:tc>
        <w:tc>
          <w:tcPr/>
          <w:p>
            <w:pPr>
              <w:pStyle w:val="Compact"/>
              <w:jc w:val="right"/>
            </w:pPr>
            <w:r>
              <w:t xml:space="preserve">7707</w:t>
            </w:r>
          </w:p>
        </w:tc>
      </w:tr>
      <w:tr>
        <w:tc>
          <w:tcPr/>
          <w:p>
            <w:pPr>
              <w:pStyle w:val="Compact"/>
              <w:jc w:val="left"/>
            </w:pPr>
            <w:r>
              <w:t xml:space="preserve">Gender</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4086</w:t>
            </w:r>
          </w:p>
        </w:tc>
        <w:tc>
          <w:tcPr/>
          <w:p>
            <w:pPr>
              <w:pStyle w:val="Compact"/>
              <w:jc w:val="right"/>
            </w:pPr>
            <w:r>
              <w:t xml:space="preserve">7874</w:t>
            </w:r>
          </w:p>
        </w:tc>
      </w:tr>
      <w:tr>
        <w:tc>
          <w:tcPr/>
          <w:p>
            <w:pPr>
              <w:pStyle w:val="Compact"/>
              <w:jc w:val="left"/>
            </w:pPr>
            <w:r>
              <w:t xml:space="preserve">Gender</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3675</w:t>
            </w:r>
          </w:p>
        </w:tc>
        <w:tc>
          <w:tcPr/>
          <w:p>
            <w:pPr>
              <w:pStyle w:val="Compact"/>
              <w:jc w:val="right"/>
            </w:pPr>
            <w:r>
              <w:t xml:space="preserve">7274</w:t>
            </w:r>
          </w:p>
        </w:tc>
      </w:tr>
      <w:tr>
        <w:tc>
          <w:tcPr/>
          <w:p>
            <w:pPr>
              <w:pStyle w:val="Compact"/>
              <w:jc w:val="left"/>
            </w:pPr>
            <w:r>
              <w:t xml:space="preserve">Number agr.</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5673</w:t>
            </w:r>
          </w:p>
        </w:tc>
        <w:tc>
          <w:tcPr/>
          <w:p>
            <w:pPr>
              <w:pStyle w:val="Compact"/>
              <w:jc w:val="right"/>
            </w:pPr>
            <w:r>
              <w:t xml:space="preserve">10553</w:t>
            </w:r>
          </w:p>
        </w:tc>
      </w:tr>
      <w:tr>
        <w:tc>
          <w:tcPr/>
          <w:p>
            <w:pPr>
              <w:pStyle w:val="Compact"/>
              <w:jc w:val="left"/>
            </w:pPr>
            <w:r>
              <w:t xml:space="preserve">Number agr.</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5156</w:t>
            </w:r>
          </w:p>
        </w:tc>
        <w:tc>
          <w:tcPr/>
          <w:p>
            <w:pPr>
              <w:pStyle w:val="Compact"/>
              <w:jc w:val="right"/>
            </w:pPr>
            <w:r>
              <w:t xml:space="preserve">9021</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830</w:t>
            </w:r>
          </w:p>
        </w:tc>
        <w:tc>
          <w:tcPr/>
          <w:p>
            <w:pPr>
              <w:pStyle w:val="Compact"/>
              <w:jc w:val="right"/>
            </w:pPr>
            <w:r>
              <w:t xml:space="preserve">1808</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978</w:t>
            </w:r>
          </w:p>
        </w:tc>
        <w:tc>
          <w:tcPr/>
          <w:p>
            <w:pPr>
              <w:pStyle w:val="Compact"/>
              <w:jc w:val="right"/>
            </w:pPr>
            <w:r>
              <w:t xml:space="preserve">1420</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1.006</w:t>
            </w:r>
          </w:p>
        </w:tc>
        <w:tc>
          <w:tcPr/>
          <w:p>
            <w:pPr>
              <w:pStyle w:val="Compact"/>
              <w:jc w:val="right"/>
            </w:pPr>
            <w:r>
              <w:t xml:space="preserve">1105</w:t>
            </w:r>
          </w:p>
        </w:tc>
        <w:tc>
          <w:tcPr/>
          <w:p>
            <w:pPr>
              <w:pStyle w:val="Compact"/>
              <w:jc w:val="right"/>
            </w:pPr>
            <w:r>
              <w:t xml:space="preserve">1474</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1.007</w:t>
            </w:r>
          </w:p>
        </w:tc>
        <w:tc>
          <w:tcPr/>
          <w:p>
            <w:pPr>
              <w:pStyle w:val="Compact"/>
              <w:jc w:val="right"/>
            </w:pPr>
            <w:r>
              <w:t xml:space="preserve">840</w:t>
            </w:r>
          </w:p>
        </w:tc>
        <w:tc>
          <w:tcPr/>
          <w:p>
            <w:pPr>
              <w:pStyle w:val="Compact"/>
              <w:jc w:val="right"/>
            </w:pPr>
            <w:r>
              <w:t xml:space="preserve">1519</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978</w:t>
            </w:r>
          </w:p>
        </w:tc>
        <w:tc>
          <w:tcPr/>
          <w:p>
            <w:pPr>
              <w:pStyle w:val="Compact"/>
              <w:jc w:val="right"/>
            </w:pPr>
            <w:r>
              <w:t xml:space="preserve">1962</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1038</w:t>
            </w:r>
          </w:p>
        </w:tc>
        <w:tc>
          <w:tcPr/>
          <w:p>
            <w:pPr>
              <w:pStyle w:val="Compact"/>
              <w:jc w:val="right"/>
            </w:pPr>
            <w:r>
              <w:t xml:space="preserve">1128</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874</w:t>
            </w:r>
          </w:p>
        </w:tc>
        <w:tc>
          <w:tcPr/>
          <w:p>
            <w:pPr>
              <w:pStyle w:val="Compact"/>
              <w:jc w:val="right"/>
            </w:pPr>
            <w:r>
              <w:t xml:space="preserve">2408</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865</w:t>
            </w:r>
          </w:p>
        </w:tc>
        <w:tc>
          <w:tcPr/>
          <w:p>
            <w:pPr>
              <w:pStyle w:val="Compact"/>
              <w:jc w:val="right"/>
            </w:pPr>
            <w:r>
              <w:t xml:space="preserve">2230</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1.007</w:t>
            </w:r>
          </w:p>
        </w:tc>
        <w:tc>
          <w:tcPr/>
          <w:p>
            <w:pPr>
              <w:pStyle w:val="Compact"/>
              <w:jc w:val="right"/>
            </w:pPr>
            <w:r>
              <w:t xml:space="preserve">1016</w:t>
            </w:r>
          </w:p>
        </w:tc>
        <w:tc>
          <w:tcPr/>
          <w:p>
            <w:pPr>
              <w:pStyle w:val="Compact"/>
              <w:jc w:val="right"/>
            </w:pPr>
            <w:r>
              <w:t xml:space="preserve">2520</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776</w:t>
            </w:r>
          </w:p>
        </w:tc>
        <w:tc>
          <w:tcPr/>
          <w:p>
            <w:pPr>
              <w:pStyle w:val="Compact"/>
              <w:jc w:val="right"/>
            </w:pPr>
            <w:r>
              <w:t xml:space="preserve">2204</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849</w:t>
            </w:r>
          </w:p>
        </w:tc>
        <w:tc>
          <w:tcPr/>
          <w:p>
            <w:pPr>
              <w:pStyle w:val="Compact"/>
              <w:jc w:val="right"/>
            </w:pPr>
            <w:r>
              <w:t xml:space="preserve">2195</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868</w:t>
            </w:r>
          </w:p>
        </w:tc>
        <w:tc>
          <w:tcPr/>
          <w:p>
            <w:pPr>
              <w:pStyle w:val="Compact"/>
              <w:jc w:val="right"/>
            </w:pPr>
            <w:r>
              <w:t xml:space="preserve">2310</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837</w:t>
            </w:r>
          </w:p>
        </w:tc>
        <w:tc>
          <w:tcPr/>
          <w:p>
            <w:pPr>
              <w:pStyle w:val="Compact"/>
              <w:jc w:val="right"/>
            </w:pPr>
            <w:r>
              <w:t xml:space="preserve">1835</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809</w:t>
            </w:r>
          </w:p>
        </w:tc>
        <w:tc>
          <w:tcPr/>
          <w:p>
            <w:pPr>
              <w:pStyle w:val="Compact"/>
              <w:jc w:val="right"/>
            </w:pPr>
            <w:r>
              <w:t xml:space="preserve">1671</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732</w:t>
            </w:r>
          </w:p>
        </w:tc>
        <w:tc>
          <w:tcPr/>
          <w:p>
            <w:pPr>
              <w:pStyle w:val="Compact"/>
              <w:jc w:val="right"/>
            </w:pPr>
            <w:r>
              <w:t xml:space="preserve">1401</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1.005</w:t>
            </w:r>
          </w:p>
        </w:tc>
        <w:tc>
          <w:tcPr/>
          <w:p>
            <w:pPr>
              <w:pStyle w:val="Compact"/>
              <w:jc w:val="right"/>
            </w:pPr>
            <w:r>
              <w:t xml:space="preserve">885</w:t>
            </w:r>
          </w:p>
        </w:tc>
        <w:tc>
          <w:tcPr/>
          <w:p>
            <w:pPr>
              <w:pStyle w:val="Compact"/>
              <w:jc w:val="right"/>
            </w:pPr>
            <w:r>
              <w:t xml:space="preserve">1909</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904</w:t>
            </w:r>
          </w:p>
        </w:tc>
        <w:tc>
          <w:tcPr/>
          <w:p>
            <w:pPr>
              <w:pStyle w:val="Compact"/>
              <w:jc w:val="right"/>
            </w:pPr>
            <w:r>
              <w:t xml:space="preserve">1756</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1.007</w:t>
            </w:r>
          </w:p>
        </w:tc>
        <w:tc>
          <w:tcPr/>
          <w:p>
            <w:pPr>
              <w:pStyle w:val="Compact"/>
              <w:jc w:val="right"/>
            </w:pPr>
            <w:r>
              <w:t xml:space="preserve">593</w:t>
            </w:r>
          </w:p>
        </w:tc>
        <w:tc>
          <w:tcPr/>
          <w:p>
            <w:pPr>
              <w:pStyle w:val="Compact"/>
              <w:jc w:val="right"/>
            </w:pPr>
            <w:r>
              <w:t xml:space="preserve">1200</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1019</w:t>
            </w:r>
          </w:p>
        </w:tc>
        <w:tc>
          <w:tcPr/>
          <w:p>
            <w:pPr>
              <w:pStyle w:val="Compact"/>
              <w:jc w:val="right"/>
            </w:pPr>
            <w:r>
              <w:t xml:space="preserve">2863</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1335</w:t>
            </w:r>
          </w:p>
        </w:tc>
        <w:tc>
          <w:tcPr/>
          <w:p>
            <w:pPr>
              <w:pStyle w:val="Compact"/>
              <w:jc w:val="right"/>
            </w:pPr>
            <w:r>
              <w:t xml:space="preserve">2937</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1.004</w:t>
            </w:r>
          </w:p>
        </w:tc>
        <w:tc>
          <w:tcPr/>
          <w:p>
            <w:pPr>
              <w:pStyle w:val="Compact"/>
              <w:jc w:val="right"/>
            </w:pPr>
            <w:r>
              <w:t xml:space="preserve">821</w:t>
            </w:r>
          </w:p>
        </w:tc>
        <w:tc>
          <w:tcPr/>
          <w:p>
            <w:pPr>
              <w:pStyle w:val="Compact"/>
              <w:jc w:val="right"/>
            </w:pPr>
            <w:r>
              <w:t xml:space="preserve">2597</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1134</w:t>
            </w:r>
          </w:p>
        </w:tc>
        <w:tc>
          <w:tcPr/>
          <w:p>
            <w:pPr>
              <w:pStyle w:val="Compact"/>
              <w:jc w:val="right"/>
            </w:pPr>
            <w:r>
              <w:t xml:space="preserve">3108</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875</w:t>
            </w:r>
          </w:p>
        </w:tc>
        <w:tc>
          <w:tcPr/>
          <w:p>
            <w:pPr>
              <w:pStyle w:val="Compact"/>
              <w:jc w:val="right"/>
            </w:pPr>
            <w:r>
              <w:t xml:space="preserve">2837</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1135</w:t>
            </w:r>
          </w:p>
        </w:tc>
        <w:tc>
          <w:tcPr/>
          <w:p>
            <w:pPr>
              <w:pStyle w:val="Compact"/>
              <w:jc w:val="right"/>
            </w:pPr>
            <w:r>
              <w:t xml:space="preserve">3310</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4547</w:t>
            </w:r>
          </w:p>
        </w:tc>
        <w:tc>
          <w:tcPr/>
          <w:p>
            <w:pPr>
              <w:pStyle w:val="Compact"/>
              <w:jc w:val="right"/>
            </w:pPr>
            <w:r>
              <w:t xml:space="preserve">7922</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3782</w:t>
            </w:r>
          </w:p>
        </w:tc>
        <w:tc>
          <w:tcPr/>
          <w:p>
            <w:pPr>
              <w:pStyle w:val="Compact"/>
              <w:jc w:val="right"/>
            </w:pPr>
            <w:r>
              <w:t xml:space="preserve">6859</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5121</w:t>
            </w:r>
          </w:p>
        </w:tc>
        <w:tc>
          <w:tcPr/>
          <w:p>
            <w:pPr>
              <w:pStyle w:val="Compact"/>
              <w:jc w:val="right"/>
            </w:pPr>
            <w:r>
              <w:t xml:space="preserve">8807</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5186</w:t>
            </w:r>
          </w:p>
        </w:tc>
        <w:tc>
          <w:tcPr/>
          <w:p>
            <w:pPr>
              <w:pStyle w:val="Compact"/>
              <w:jc w:val="right"/>
            </w:pPr>
            <w:r>
              <w:t xml:space="preserve">10706</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4777</w:t>
            </w:r>
          </w:p>
        </w:tc>
        <w:tc>
          <w:tcPr/>
          <w:p>
            <w:pPr>
              <w:pStyle w:val="Compact"/>
              <w:jc w:val="right"/>
            </w:pPr>
            <w:r>
              <w:t xml:space="preserve">8250</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3511</w:t>
            </w:r>
          </w:p>
        </w:tc>
        <w:tc>
          <w:tcPr/>
          <w:p>
            <w:pPr>
              <w:pStyle w:val="Compact"/>
              <w:jc w:val="right"/>
            </w:pPr>
            <w:r>
              <w:t xml:space="preserve">7499</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1239</w:t>
            </w:r>
          </w:p>
        </w:tc>
        <w:tc>
          <w:tcPr/>
          <w:p>
            <w:pPr>
              <w:pStyle w:val="Compact"/>
              <w:jc w:val="right"/>
            </w:pPr>
            <w:r>
              <w:t xml:space="preserve">1715</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1253</w:t>
            </w:r>
          </w:p>
        </w:tc>
        <w:tc>
          <w:tcPr/>
          <w:p>
            <w:pPr>
              <w:pStyle w:val="Compact"/>
              <w:jc w:val="right"/>
            </w:pPr>
            <w:r>
              <w:t xml:space="preserve">1612</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1927</w:t>
            </w:r>
          </w:p>
        </w:tc>
        <w:tc>
          <w:tcPr/>
          <w:p>
            <w:pPr>
              <w:pStyle w:val="Compact"/>
              <w:jc w:val="right"/>
            </w:pPr>
            <w:r>
              <w:t xml:space="preserve">1615</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1835</w:t>
            </w:r>
          </w:p>
        </w:tc>
        <w:tc>
          <w:tcPr/>
          <w:p>
            <w:pPr>
              <w:pStyle w:val="Compact"/>
              <w:jc w:val="right"/>
            </w:pPr>
            <w:r>
              <w:t xml:space="preserve">2101</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1206</w:t>
            </w:r>
          </w:p>
        </w:tc>
        <w:tc>
          <w:tcPr/>
          <w:p>
            <w:pPr>
              <w:pStyle w:val="Compact"/>
              <w:jc w:val="right"/>
            </w:pPr>
            <w:r>
              <w:t xml:space="preserve">1241</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1247</w:t>
            </w:r>
          </w:p>
        </w:tc>
        <w:tc>
          <w:tcPr/>
          <w:p>
            <w:pPr>
              <w:pStyle w:val="Compact"/>
              <w:jc w:val="right"/>
            </w:pPr>
            <w:r>
              <w:t xml:space="preserve">1456</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5641</w:t>
            </w:r>
          </w:p>
        </w:tc>
        <w:tc>
          <w:tcPr/>
          <w:p>
            <w:pPr>
              <w:pStyle w:val="Compact"/>
              <w:jc w:val="right"/>
            </w:pPr>
            <w:r>
              <w:t xml:space="preserve">11270</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5281</w:t>
            </w:r>
          </w:p>
        </w:tc>
        <w:tc>
          <w:tcPr/>
          <w:p>
            <w:pPr>
              <w:pStyle w:val="Compact"/>
              <w:jc w:val="right"/>
            </w:pPr>
            <w:r>
              <w:t xml:space="preserve">10703</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5031</w:t>
            </w:r>
          </w:p>
        </w:tc>
        <w:tc>
          <w:tcPr/>
          <w:p>
            <w:pPr>
              <w:pStyle w:val="Compact"/>
              <w:jc w:val="right"/>
            </w:pPr>
            <w:r>
              <w:t xml:space="preserve">9582</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5070</w:t>
            </w:r>
          </w:p>
        </w:tc>
        <w:tc>
          <w:tcPr/>
          <w:p>
            <w:pPr>
              <w:pStyle w:val="Compact"/>
              <w:jc w:val="right"/>
            </w:pPr>
            <w:r>
              <w:t xml:space="preserve">9953</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5998</w:t>
            </w:r>
          </w:p>
        </w:tc>
        <w:tc>
          <w:tcPr/>
          <w:p>
            <w:pPr>
              <w:pStyle w:val="Compact"/>
              <w:jc w:val="right"/>
            </w:pPr>
            <w:r>
              <w:t xml:space="preserve">11427</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5835</w:t>
            </w:r>
          </w:p>
        </w:tc>
        <w:tc>
          <w:tcPr/>
          <w:p>
            <w:pPr>
              <w:pStyle w:val="Compact"/>
              <w:jc w:val="right"/>
            </w:pPr>
            <w:r>
              <w:t xml:space="preserve">12599</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2105</w:t>
            </w:r>
          </w:p>
        </w:tc>
        <w:tc>
          <w:tcPr/>
          <w:p>
            <w:pPr>
              <w:pStyle w:val="Compact"/>
              <w:jc w:val="right"/>
            </w:pPr>
            <w:r>
              <w:t xml:space="preserve">2281</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2354</w:t>
            </w:r>
          </w:p>
        </w:tc>
        <w:tc>
          <w:tcPr/>
          <w:p>
            <w:pPr>
              <w:pStyle w:val="Compact"/>
              <w:jc w:val="right"/>
            </w:pPr>
            <w:r>
              <w:t xml:space="preserve">2691</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1.002</w:t>
            </w:r>
          </w:p>
        </w:tc>
        <w:tc>
          <w:tcPr/>
          <w:p>
            <w:pPr>
              <w:pStyle w:val="Compact"/>
              <w:jc w:val="right"/>
            </w:pPr>
            <w:r>
              <w:t xml:space="preserve">2286</w:t>
            </w:r>
          </w:p>
        </w:tc>
        <w:tc>
          <w:tcPr/>
          <w:p>
            <w:pPr>
              <w:pStyle w:val="Compact"/>
              <w:jc w:val="right"/>
            </w:pPr>
            <w:r>
              <w:t xml:space="preserve">2330</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2180</w:t>
            </w:r>
          </w:p>
        </w:tc>
        <w:tc>
          <w:tcPr/>
          <w:p>
            <w:pPr>
              <w:pStyle w:val="Compact"/>
              <w:jc w:val="right"/>
            </w:pPr>
            <w:r>
              <w:t xml:space="preserve">2741</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2216</w:t>
            </w:r>
          </w:p>
        </w:tc>
        <w:tc>
          <w:tcPr/>
          <w:p>
            <w:pPr>
              <w:pStyle w:val="Compact"/>
              <w:jc w:val="right"/>
            </w:pPr>
            <w:r>
              <w:t xml:space="preserve">2268</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2771</w:t>
            </w:r>
          </w:p>
        </w:tc>
        <w:tc>
          <w:tcPr/>
          <w:p>
            <w:pPr>
              <w:pStyle w:val="Compact"/>
              <w:jc w:val="right"/>
            </w:pPr>
            <w:r>
              <w:t xml:space="preserve">3133</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4671</w:t>
            </w:r>
          </w:p>
        </w:tc>
        <w:tc>
          <w:tcPr/>
          <w:p>
            <w:pPr>
              <w:pStyle w:val="Compact"/>
              <w:jc w:val="right"/>
            </w:pPr>
            <w:r>
              <w:t xml:space="preserve">9191</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4474</w:t>
            </w:r>
          </w:p>
        </w:tc>
        <w:tc>
          <w:tcPr/>
          <w:p>
            <w:pPr>
              <w:pStyle w:val="Compact"/>
              <w:jc w:val="right"/>
            </w:pPr>
            <w:r>
              <w:t xml:space="preserve">9294</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3870</w:t>
            </w:r>
          </w:p>
        </w:tc>
        <w:tc>
          <w:tcPr/>
          <w:p>
            <w:pPr>
              <w:pStyle w:val="Compact"/>
              <w:jc w:val="right"/>
            </w:pPr>
            <w:r>
              <w:t xml:space="preserve">7376</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4392</w:t>
            </w:r>
          </w:p>
        </w:tc>
        <w:tc>
          <w:tcPr/>
          <w:p>
            <w:pPr>
              <w:pStyle w:val="Compact"/>
              <w:jc w:val="right"/>
            </w:pPr>
            <w:r>
              <w:t xml:space="preserve">8832</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5124</w:t>
            </w:r>
          </w:p>
        </w:tc>
        <w:tc>
          <w:tcPr/>
          <w:p>
            <w:pPr>
              <w:pStyle w:val="Compact"/>
              <w:jc w:val="right"/>
            </w:pPr>
            <w:r>
              <w:t xml:space="preserve">10134</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4516</w:t>
            </w:r>
          </w:p>
        </w:tc>
        <w:tc>
          <w:tcPr/>
          <w:p>
            <w:pPr>
              <w:pStyle w:val="Compact"/>
              <w:jc w:val="right"/>
            </w:pPr>
            <w:r>
              <w:t xml:space="preserve">9209</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2715</w:t>
            </w:r>
          </w:p>
        </w:tc>
        <w:tc>
          <w:tcPr/>
          <w:p>
            <w:pPr>
              <w:pStyle w:val="Compact"/>
              <w:jc w:val="right"/>
            </w:pPr>
            <w:r>
              <w:t xml:space="preserve">4016</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2413</w:t>
            </w:r>
          </w:p>
        </w:tc>
        <w:tc>
          <w:tcPr/>
          <w:p>
            <w:pPr>
              <w:pStyle w:val="Compact"/>
              <w:jc w:val="right"/>
            </w:pPr>
            <w:r>
              <w:t xml:space="preserve">3324</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1.002</w:t>
            </w:r>
          </w:p>
        </w:tc>
        <w:tc>
          <w:tcPr/>
          <w:p>
            <w:pPr>
              <w:pStyle w:val="Compact"/>
              <w:jc w:val="right"/>
            </w:pPr>
            <w:r>
              <w:t xml:space="preserve">2398</w:t>
            </w:r>
          </w:p>
        </w:tc>
        <w:tc>
          <w:tcPr/>
          <w:p>
            <w:pPr>
              <w:pStyle w:val="Compact"/>
              <w:jc w:val="right"/>
            </w:pPr>
            <w:r>
              <w:t xml:space="preserve">2298</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1.002</w:t>
            </w:r>
          </w:p>
        </w:tc>
        <w:tc>
          <w:tcPr/>
          <w:p>
            <w:pPr>
              <w:pStyle w:val="Compact"/>
              <w:jc w:val="right"/>
            </w:pPr>
            <w:r>
              <w:t xml:space="preserve">2479</w:t>
            </w:r>
          </w:p>
        </w:tc>
        <w:tc>
          <w:tcPr/>
          <w:p>
            <w:pPr>
              <w:pStyle w:val="Compact"/>
              <w:jc w:val="right"/>
            </w:pPr>
            <w:r>
              <w:t xml:space="preserve">3397</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3082</w:t>
            </w:r>
          </w:p>
        </w:tc>
        <w:tc>
          <w:tcPr/>
          <w:p>
            <w:pPr>
              <w:pStyle w:val="Compact"/>
              <w:jc w:val="right"/>
            </w:pPr>
            <w:r>
              <w:t xml:space="preserve">3811</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2644</w:t>
            </w:r>
          </w:p>
        </w:tc>
        <w:tc>
          <w:tcPr/>
          <w:p>
            <w:pPr>
              <w:pStyle w:val="Compact"/>
              <w:jc w:val="right"/>
            </w:pPr>
            <w:r>
              <w:t xml:space="preserve">4045</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1640</w:t>
            </w:r>
          </w:p>
        </w:tc>
        <w:tc>
          <w:tcPr/>
          <w:p>
            <w:pPr>
              <w:pStyle w:val="Compact"/>
              <w:jc w:val="right"/>
            </w:pPr>
            <w:r>
              <w:t xml:space="preserve">1306</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2170</w:t>
            </w:r>
          </w:p>
        </w:tc>
        <w:tc>
          <w:tcPr/>
          <w:p>
            <w:pPr>
              <w:pStyle w:val="Compact"/>
              <w:jc w:val="right"/>
            </w:pPr>
            <w:r>
              <w:t xml:space="preserve">3454</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1.002</w:t>
            </w:r>
          </w:p>
        </w:tc>
        <w:tc>
          <w:tcPr/>
          <w:p>
            <w:pPr>
              <w:pStyle w:val="Compact"/>
              <w:jc w:val="right"/>
            </w:pPr>
            <w:r>
              <w:t xml:space="preserve">1610</w:t>
            </w:r>
          </w:p>
        </w:tc>
        <w:tc>
          <w:tcPr/>
          <w:p>
            <w:pPr>
              <w:pStyle w:val="Compact"/>
              <w:jc w:val="right"/>
            </w:pPr>
            <w:r>
              <w:t xml:space="preserve">2320</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1146</w:t>
            </w:r>
          </w:p>
        </w:tc>
        <w:tc>
          <w:tcPr/>
          <w:p>
            <w:pPr>
              <w:pStyle w:val="Compact"/>
              <w:jc w:val="right"/>
            </w:pPr>
            <w:r>
              <w:t xml:space="preserve">1149</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1596</w:t>
            </w:r>
          </w:p>
        </w:tc>
        <w:tc>
          <w:tcPr/>
          <w:p>
            <w:pPr>
              <w:pStyle w:val="Compact"/>
              <w:jc w:val="right"/>
            </w:pPr>
            <w:r>
              <w:t xml:space="preserve">1974</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1868</w:t>
            </w:r>
          </w:p>
        </w:tc>
        <w:tc>
          <w:tcPr/>
          <w:p>
            <w:pPr>
              <w:pStyle w:val="Compact"/>
              <w:jc w:val="right"/>
            </w:pPr>
            <w:r>
              <w:t xml:space="preserve">2776</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766</w:t>
            </w:r>
          </w:p>
        </w:tc>
        <w:tc>
          <w:tcPr/>
          <w:p>
            <w:pPr>
              <w:pStyle w:val="Compact"/>
              <w:jc w:val="right"/>
            </w:pPr>
            <w:r>
              <w:t xml:space="preserve">1215</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957</w:t>
            </w:r>
          </w:p>
        </w:tc>
        <w:tc>
          <w:tcPr/>
          <w:p>
            <w:pPr>
              <w:pStyle w:val="Compact"/>
              <w:jc w:val="right"/>
            </w:pPr>
            <w:r>
              <w:t xml:space="preserve">1438</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1.007</w:t>
            </w:r>
          </w:p>
        </w:tc>
        <w:tc>
          <w:tcPr/>
          <w:p>
            <w:pPr>
              <w:pStyle w:val="Compact"/>
              <w:jc w:val="right"/>
            </w:pPr>
            <w:r>
              <w:t xml:space="preserve">813</w:t>
            </w:r>
          </w:p>
        </w:tc>
        <w:tc>
          <w:tcPr/>
          <w:p>
            <w:pPr>
              <w:pStyle w:val="Compact"/>
              <w:jc w:val="right"/>
            </w:pPr>
            <w:r>
              <w:t xml:space="preserve">1423</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1.004</w:t>
            </w:r>
          </w:p>
        </w:tc>
        <w:tc>
          <w:tcPr/>
          <w:p>
            <w:pPr>
              <w:pStyle w:val="Compact"/>
              <w:jc w:val="right"/>
            </w:pPr>
            <w:r>
              <w:t xml:space="preserve">983</w:t>
            </w:r>
          </w:p>
        </w:tc>
        <w:tc>
          <w:tcPr/>
          <w:p>
            <w:pPr>
              <w:pStyle w:val="Compact"/>
              <w:jc w:val="right"/>
            </w:pPr>
            <w:r>
              <w:t xml:space="preserve">1246</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1.007</w:t>
            </w:r>
          </w:p>
        </w:tc>
        <w:tc>
          <w:tcPr/>
          <w:p>
            <w:pPr>
              <w:pStyle w:val="Compact"/>
              <w:jc w:val="right"/>
            </w:pPr>
            <w:r>
              <w:t xml:space="preserve">1046</w:t>
            </w:r>
          </w:p>
        </w:tc>
        <w:tc>
          <w:tcPr/>
          <w:p>
            <w:pPr>
              <w:pStyle w:val="Compact"/>
              <w:jc w:val="right"/>
            </w:pPr>
            <w:r>
              <w:t xml:space="preserve">1637</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759</w:t>
            </w:r>
          </w:p>
        </w:tc>
        <w:tc>
          <w:tcPr/>
          <w:p>
            <w:pPr>
              <w:pStyle w:val="Compact"/>
              <w:jc w:val="right"/>
            </w:pPr>
            <w:r>
              <w:t xml:space="preserve">1354</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1381</w:t>
            </w:r>
          </w:p>
        </w:tc>
        <w:tc>
          <w:tcPr/>
          <w:p>
            <w:pPr>
              <w:pStyle w:val="Compact"/>
              <w:jc w:val="right"/>
            </w:pPr>
            <w:r>
              <w:t xml:space="preserve">2376</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1447</w:t>
            </w:r>
          </w:p>
        </w:tc>
        <w:tc>
          <w:tcPr/>
          <w:p>
            <w:pPr>
              <w:pStyle w:val="Compact"/>
              <w:jc w:val="right"/>
            </w:pPr>
            <w:r>
              <w:t xml:space="preserve">2336</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1729</w:t>
            </w:r>
          </w:p>
        </w:tc>
        <w:tc>
          <w:tcPr/>
          <w:p>
            <w:pPr>
              <w:pStyle w:val="Compact"/>
              <w:jc w:val="right"/>
            </w:pPr>
            <w:r>
              <w:t xml:space="preserve">2773</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1493</w:t>
            </w:r>
          </w:p>
        </w:tc>
        <w:tc>
          <w:tcPr/>
          <w:p>
            <w:pPr>
              <w:pStyle w:val="Compact"/>
              <w:jc w:val="right"/>
            </w:pPr>
            <w:r>
              <w:t xml:space="preserve">2217</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1717</w:t>
            </w:r>
          </w:p>
        </w:tc>
        <w:tc>
          <w:tcPr/>
          <w:p>
            <w:pPr>
              <w:pStyle w:val="Compact"/>
              <w:jc w:val="right"/>
            </w:pPr>
            <w:r>
              <w:t xml:space="preserve">2770</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1999</w:t>
            </w:r>
          </w:p>
        </w:tc>
        <w:tc>
          <w:tcPr/>
          <w:p>
            <w:pPr>
              <w:pStyle w:val="Compact"/>
              <w:jc w:val="right"/>
            </w:pPr>
            <w:r>
              <w:t xml:space="preserve">3190</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1153</w:t>
            </w:r>
          </w:p>
        </w:tc>
        <w:tc>
          <w:tcPr/>
          <w:p>
            <w:pPr>
              <w:pStyle w:val="Compact"/>
              <w:jc w:val="right"/>
            </w:pPr>
            <w:r>
              <w:t xml:space="preserve">2235</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2219</w:t>
            </w:r>
          </w:p>
        </w:tc>
        <w:tc>
          <w:tcPr/>
          <w:p>
            <w:pPr>
              <w:pStyle w:val="Compact"/>
              <w:jc w:val="right"/>
            </w:pPr>
            <w:r>
              <w:t xml:space="preserve">3603</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1171</w:t>
            </w:r>
          </w:p>
        </w:tc>
        <w:tc>
          <w:tcPr/>
          <w:p>
            <w:pPr>
              <w:pStyle w:val="Compact"/>
              <w:jc w:val="right"/>
            </w:pPr>
            <w:r>
              <w:t xml:space="preserve">2421</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1178</w:t>
            </w:r>
          </w:p>
        </w:tc>
        <w:tc>
          <w:tcPr/>
          <w:p>
            <w:pPr>
              <w:pStyle w:val="Compact"/>
              <w:jc w:val="right"/>
            </w:pPr>
            <w:r>
              <w:t xml:space="preserve">2354</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1061</w:t>
            </w:r>
          </w:p>
        </w:tc>
        <w:tc>
          <w:tcPr/>
          <w:p>
            <w:pPr>
              <w:pStyle w:val="Compact"/>
              <w:jc w:val="right"/>
            </w:pPr>
            <w:r>
              <w:t xml:space="preserve">2399</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1083</w:t>
            </w:r>
          </w:p>
        </w:tc>
        <w:tc>
          <w:tcPr/>
          <w:p>
            <w:pPr>
              <w:pStyle w:val="Compact"/>
              <w:jc w:val="right"/>
            </w:pPr>
            <w:r>
              <w:t xml:space="preserve">2564</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1105</w:t>
            </w:r>
          </w:p>
        </w:tc>
        <w:tc>
          <w:tcPr/>
          <w:p>
            <w:pPr>
              <w:pStyle w:val="Compact"/>
              <w:jc w:val="right"/>
            </w:pPr>
            <w:r>
              <w:t xml:space="preserve">2251</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1396</w:t>
            </w:r>
          </w:p>
        </w:tc>
        <w:tc>
          <w:tcPr/>
          <w:p>
            <w:pPr>
              <w:pStyle w:val="Compact"/>
              <w:jc w:val="right"/>
            </w:pPr>
            <w:r>
              <w:t xml:space="preserve">2487</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1029</w:t>
            </w:r>
          </w:p>
        </w:tc>
        <w:tc>
          <w:tcPr/>
          <w:p>
            <w:pPr>
              <w:pStyle w:val="Compact"/>
              <w:jc w:val="right"/>
            </w:pPr>
            <w:r>
              <w:t xml:space="preserve">1824</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1.007</w:t>
            </w:r>
          </w:p>
        </w:tc>
        <w:tc>
          <w:tcPr/>
          <w:p>
            <w:pPr>
              <w:pStyle w:val="Compact"/>
              <w:jc w:val="right"/>
            </w:pPr>
            <w:r>
              <w:t xml:space="preserve">1359</w:t>
            </w:r>
          </w:p>
        </w:tc>
        <w:tc>
          <w:tcPr/>
          <w:p>
            <w:pPr>
              <w:pStyle w:val="Compact"/>
              <w:jc w:val="right"/>
            </w:pPr>
            <w:r>
              <w:t xml:space="preserve">2303</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1291</w:t>
            </w:r>
          </w:p>
        </w:tc>
        <w:tc>
          <w:tcPr/>
          <w:p>
            <w:pPr>
              <w:pStyle w:val="Compact"/>
              <w:jc w:val="right"/>
            </w:pPr>
            <w:r>
              <w:t xml:space="preserve">2121</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1067</w:t>
            </w:r>
          </w:p>
        </w:tc>
        <w:tc>
          <w:tcPr/>
          <w:p>
            <w:pPr>
              <w:pStyle w:val="Compact"/>
              <w:jc w:val="right"/>
            </w:pPr>
            <w:r>
              <w:t xml:space="preserve">2151</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901</w:t>
            </w:r>
          </w:p>
        </w:tc>
        <w:tc>
          <w:tcPr/>
          <w:p>
            <w:pPr>
              <w:pStyle w:val="Compact"/>
              <w:jc w:val="right"/>
            </w:pPr>
            <w:r>
              <w:t xml:space="preserve">2209</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1.007</w:t>
            </w:r>
          </w:p>
        </w:tc>
        <w:tc>
          <w:tcPr/>
          <w:p>
            <w:pPr>
              <w:pStyle w:val="Compact"/>
              <w:jc w:val="right"/>
            </w:pPr>
            <w:r>
              <w:t xml:space="preserve">825</w:t>
            </w:r>
          </w:p>
        </w:tc>
        <w:tc>
          <w:tcPr/>
          <w:p>
            <w:pPr>
              <w:pStyle w:val="Compact"/>
              <w:jc w:val="right"/>
            </w:pPr>
            <w:r>
              <w:t xml:space="preserve">2065</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1321</w:t>
            </w:r>
          </w:p>
        </w:tc>
        <w:tc>
          <w:tcPr/>
          <w:p>
            <w:pPr>
              <w:pStyle w:val="Compact"/>
              <w:jc w:val="right"/>
            </w:pPr>
            <w:r>
              <w:t xml:space="preserve">2318</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1228</w:t>
            </w:r>
          </w:p>
        </w:tc>
        <w:tc>
          <w:tcPr/>
          <w:p>
            <w:pPr>
              <w:pStyle w:val="Compact"/>
              <w:jc w:val="right"/>
            </w:pPr>
            <w:r>
              <w:t xml:space="preserve">2234</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1264</w:t>
            </w:r>
          </w:p>
        </w:tc>
        <w:tc>
          <w:tcPr/>
          <w:p>
            <w:pPr>
              <w:pStyle w:val="Compact"/>
              <w:jc w:val="right"/>
            </w:pPr>
            <w:r>
              <w:t xml:space="preserve">2104</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1138</w:t>
            </w:r>
          </w:p>
        </w:tc>
        <w:tc>
          <w:tcPr/>
          <w:p>
            <w:pPr>
              <w:pStyle w:val="Compact"/>
              <w:jc w:val="right"/>
            </w:pPr>
            <w:r>
              <w:t xml:space="preserve">2147</w:t>
            </w:r>
          </w:p>
        </w:tc>
      </w:tr>
    </w:tbl>
    <w:bookmarkEnd w:id="403"/>
    <w:p>
      <w:pPr>
        <w:pStyle w:val="FigureNote"/>
      </w:pPr>
      <w:r>
        <w:rPr>
          <w:i/>
          <w:iCs/>
        </w:rPr>
        <w:t xml:space="preserve">Note</w:t>
      </w:r>
      <w:r>
        <w:t xml:space="preserve">. Properties are abbreviated to keep the table within the measure: Gender is subject–verb gender agreement, Object marking is differential object marking, and Number agreement is verb–object number agreement.</w:t>
      </w:r>
      <w:r>
        <w:t xml:space="preserve"> </w:t>
      </w:r>
      <m:oMath>
        <m:acc>
          <m:accPr>
            <m:chr m:val="̂"/>
          </m:accPr>
          <m:e>
            <m:r>
              <m:t>R</m:t>
            </m:r>
          </m:e>
        </m:acc>
      </m:oMath>
      <w:r>
        <w:t xml:space="preserve"> </w:t>
      </w:r>
      <w:r>
        <w:t xml:space="preserve">is the maximum rank-normalised</w:t>
      </w:r>
      <w:r>
        <w:t xml:space="preserve"> </w:t>
      </w:r>
      <m:oMath>
        <m:acc>
          <m:accPr>
            <m:chr m:val="̂"/>
          </m:accPr>
          <m:e>
            <m:r>
              <m:t>R</m:t>
            </m:r>
          </m:e>
        </m:acc>
      </m:oMath>
      <w:r>
        <w:t xml:space="preserve"> </w:t>
      </w:r>
      <w:r>
        <w:t xml:space="preserve">and each ESS the minimum effective sample size, both taken over all parameters of the model. A blank window and region mark the grammaticality-judgement accuracy models, which are not resolved by time window or scalp region. The retention-free column marks the refits in which the Session-6 step is freed from the training trend. No model produced a divergent transition, and all met the criteria of</w:t>
      </w:r>
      <w:r>
        <w:t xml:space="preserve"> </w:t>
      </w:r>
      <m:oMath>
        <m:acc>
          <m:accPr>
            <m:chr m:val="̂"/>
          </m:accPr>
          <m:e>
            <m:r>
              <m:t>R</m:t>
            </m:r>
          </m:e>
        </m:acc>
      </m:oMath>
      <w:r>
        <w:t xml:space="preserve"> </w:t>
      </w:r>
      <w:r>
        <w:t xml:space="preserve">below 1.01 with both effective sample sizes above 400.</w:t>
      </w:r>
    </w:p>
    <w:p>
      <w:r>
        <w:br w:type="page"/>
      </w:r>
    </w:p>
    <w:bookmarkEnd w:id="404"/>
    <w:p>
      <w:pPr>
        <w:pStyle w:val="Heading1"/>
      </w:pPr>
      <w:r>
        <w:t xml:space="preserve">Appendix E</w:t>
      </w:r>
    </w:p>
    <w:bookmarkStart w:id="409" w:name="apx-difference-waves"/>
    <w:p>
      <w:pPr>
        <w:pStyle w:val="Heading1"/>
      </w:pPr>
      <w:r>
        <w:t xml:space="preserve">Grand-average difference waves</w:t>
      </w:r>
    </w:p>
    <w:p>
      <w:pPr>
        <w:pStyle w:val="FirstParagraph"/>
      </w:pPr>
      <w:hyperlink w:anchor="fig-erp-difference">
        <w:r>
          <w:rPr>
            <w:rStyle w:val="Hyperlink"/>
          </w:rPr>
          <w:t xml:space="preserve">Figure E1</w:t>
        </w:r>
      </w:hyperlink>
      <w:r>
        <w:t xml:space="preserve"> </w:t>
      </w:r>
      <w:r>
        <w:t xml:space="preserve">plots the grand-average difference waves (grammatical minus</w:t>
      </w:r>
      <w:r>
        <w:t xml:space="preserve"> </w:t>
      </w:r>
      <w:r>
        <w:t xml:space="preserve">ungrammatical mean amplitude) at the same two sites as</w:t>
      </w:r>
      <w:r>
        <w:t xml:space="preserve"> </w:t>
      </w:r>
      <w:hyperlink w:anchor="fig-erp-waveforms">
        <w:r>
          <w:rPr>
            <w:rStyle w:val="Hyperlink"/>
          </w:rPr>
          <w:t xml:space="preserve">Figure 8</w:t>
        </w:r>
      </w:hyperlink>
      <w:r>
        <w:t xml:space="preserve">. The two</w:t>
      </w:r>
      <w:r>
        <w:t xml:space="preserve"> </w:t>
      </w:r>
      <w:r>
        <w:t xml:space="preserve">displays summarise the same condition averages, so the difference waves are placed in</w:t>
      </w:r>
      <w:r>
        <w:t xml:space="preserve"> </w:t>
      </w:r>
      <w:r>
        <w:t xml:space="preserve">this appendix, where they aid legibility without adding information. Isolating the</w:t>
      </w:r>
      <w:r>
        <w:t xml:space="preserve"> </w:t>
      </w:r>
      <w:r>
        <w:t xml:space="preserve">difference makes the grammaticality effect visible where the overlaid condition waveforms</w:t>
      </w:r>
      <w:r>
        <w:t xml:space="preserve"> </w:t>
      </w:r>
      <w:r>
        <w:t xml:space="preserve">are dominated by the shared evoked response.</w:t>
      </w:r>
    </w:p>
    <w:bookmarkStart w:id="408" w:name="fig-erp-difference"/>
    <w:p>
      <w:pPr>
        <w:pStyle w:val="FigureTitle"/>
      </w:pPr>
      <w:r>
        <w:t xml:space="preserve">Figure E1</w:t>
      </w:r>
    </w:p>
    <w:p>
      <w:pPr>
        <w:pStyle w:val="Caption"/>
      </w:pPr>
      <w:r>
        <w:t xml:space="preserve">Grand-Average Difference Waves per Property at the Two Representative Sites</w:t>
      </w:r>
    </w:p>
    <w:p>
      <w:pPr>
        <w:pStyle w:val="FigureWithNote"/>
      </w:pPr>
      <w:r>
        <w:drawing>
          <wp:inline>
            <wp:extent cx="5943600" cy="3657599"/>
            <wp:effectExtent b="0" l="0" r="0" t="0"/>
            <wp:docPr descr="" title="" id="406" name="Picture"/>
            <a:graphic>
              <a:graphicData uri="http://schemas.openxmlformats.org/drawingml/2006/picture">
                <pic:pic>
                  <pic:nvPicPr>
                    <pic:cNvPr descr="paper_1_morphosyntax_files/figure-docx/fig-erp-difference-1.png" id="407" name="Picture"/>
                    <pic:cNvPicPr>
                      <a:picLocks noChangeArrowheads="1" noChangeAspect="1"/>
                    </pic:cNvPicPr>
                  </pic:nvPicPr>
                  <pic:blipFill>
                    <a:blip r:embed="rId405"/>
                    <a:stretch>
                      <a:fillRect/>
                    </a:stretch>
                  </pic:blipFill>
                  <pic:spPr bwMode="auto">
                    <a:xfrm>
                      <a:off x="0" y="0"/>
                      <a:ext cx="5943600" cy="3657599"/>
                    </a:xfrm>
                    <a:prstGeom prst="rect">
                      <a:avLst/>
                    </a:prstGeom>
                    <a:noFill/>
                    <a:ln w="9525">
                      <a:noFill/>
                      <a:headEnd/>
                      <a:tailEnd/>
                    </a:ln>
                  </pic:spPr>
                </pic:pic>
              </a:graphicData>
            </a:graphic>
          </wp:inline>
        </w:drawing>
      </w:r>
    </w:p>
    <w:bookmarkEnd w:id="408"/>
    <w:p>
      <w:pPr>
        <w:pStyle w:val="FigureNote"/>
      </w:pPr>
      <w:r>
        <w:rPr>
          <w:i/>
          <w:iCs/>
        </w:rPr>
        <w:t xml:space="preserve">Note</w:t>
      </w:r>
      <w:r>
        <w:t xml:space="preserve">. Difference waves are grammatical minus ungrammatical mean amplitude at the same two sites as the grand-average waveforms. Values above zero indicate a more positive amplitude on grammatical trials. Time zero is critical-word onset and the pre-stimulus baseline (</w:t>
      </w:r>
      <m:oMath>
        <m:r>
          <m:rPr>
            <m:sty m:val="p"/>
          </m:rPr>
          <m:t>−</m:t>
        </m:r>
        <m:r>
          <m:t>100</m:t>
        </m:r>
      </m:oMath>
      <w:r>
        <w:t xml:space="preserve"> </w:t>
      </w:r>
      <w:r>
        <w:t xml:space="preserve">to 0 ms) is shaded, with window shading as in the waveform figure. The vertical axis is scaled separately for the two sites. These are descriptive condition averages with no uncertainty band, and the inferential statements come from the models. Like the waveforms, they are trial-weighted and computed on the full sample, including the four mis-filtered Session-3 datasets.</w:t>
      </w:r>
    </w:p>
    <w:bookmarkEnd w:id="4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
    <w:p>
      <w:pPr>
        <w:pStyle w:val="FootnoteText"/>
      </w:pPr>
      <w:r>
        <w:rPr>
          <w:rStyle w:val="FootnoteReference"/>
        </w:rPr>
        <w:footnoteRef/>
      </w:r>
      <w:r>
        <w:t xml:space="preserve"> </w:t>
      </w:r>
      <w:r>
        <w:t xml:space="preserve">The repository documents a</w:t>
      </w:r>
      <w:r>
        <w:t xml:space="preserve"> </w:t>
      </w:r>
      <w:r>
        <w:t xml:space="preserve">configuration switch that refits the ERP grid with the four datasets retained, so the</w:t>
      </w:r>
      <w:r>
        <w:t xml:space="preserve"> </w:t>
      </w:r>
      <w:r>
        <w:t xml:space="preserve">full-sample counterpart of every ERP estimate reported here is recoverable. The behavioural</w:t>
      </w:r>
      <w:r>
        <w:t xml:space="preserve"> </w:t>
      </w:r>
      <w:r>
        <w:t xml:space="preserve">models are unaffected, the offline filter bearing only on the EEG, and the decoding</w:t>
      </w:r>
      <w:r>
        <w:t xml:space="preserve"> </w:t>
      </w:r>
      <w:r>
        <w:t xml:space="preserve">artefacts carry no tag for the switch, so a full-sample decoding run has to be kept apart</w:t>
      </w:r>
      <w:r>
        <w:t xml:space="preserve"> </w:t>
      </w:r>
      <w:r>
        <w:t xml:space="preserve">from the reported one.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82" Target="media/rId82.png" /><Relationship Type="http://schemas.openxmlformats.org/officeDocument/2006/relationships/image" Id="rId114" Target="media/rId114.png" /><Relationship Type="http://schemas.openxmlformats.org/officeDocument/2006/relationships/image" Id="rId55" Target="media/rId55.png" /><Relationship Type="http://schemas.openxmlformats.org/officeDocument/2006/relationships/image" Id="rId405" Target="media/rId405.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98" Target="media/rId98.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50" Target="media/rId50.png" /><Relationship Type="http://schemas.openxmlformats.org/officeDocument/2006/relationships/hyperlink" Id="rId296" Target="https://doi.org/10.1002/hbm.1058" TargetMode="External" /><Relationship Type="http://schemas.openxmlformats.org/officeDocument/2006/relationships/hyperlink" Id="rId137" Target="https://doi.org/10.1002/hbm.20851" TargetMode="External" /><Relationship Type="http://schemas.openxmlformats.org/officeDocument/2006/relationships/hyperlink" Id="rId384" Target="https://doi.org/10.1007/978-3-319-24277-4" TargetMode="External" /><Relationship Type="http://schemas.openxmlformats.org/officeDocument/2006/relationships/hyperlink" Id="rId332" Target="https://doi.org/10.1007/s11229-021-03276-4" TargetMode="External" /><Relationship Type="http://schemas.openxmlformats.org/officeDocument/2006/relationships/hyperlink" Id="rId306" Target="https://doi.org/10.1016/0749-596X(92)90039-Z" TargetMode="External" /><Relationship Type="http://schemas.openxmlformats.org/officeDocument/2006/relationships/hyperlink" Id="rId208" Target="https://doi.org/10.1016/S1364-6613(00)01839-8" TargetMode="External" /><Relationship Type="http://schemas.openxmlformats.org/officeDocument/2006/relationships/hyperlink" Id="rId302" Target="https://doi.org/10.1016/j.bandl.2013.04.005" TargetMode="External" /><Relationship Type="http://schemas.openxmlformats.org/officeDocument/2006/relationships/hyperlink" Id="rId174" Target="https://doi.org/10.1016/j.bandl.2019.01.003" TargetMode="External" /><Relationship Type="http://schemas.openxmlformats.org/officeDocument/2006/relationships/hyperlink" Id="rId350" Target="https://doi.org/10.1016/j.cogpsych.2015.03.003" TargetMode="External" /><Relationship Type="http://schemas.openxmlformats.org/officeDocument/2006/relationships/hyperlink" Id="rId250" Target="https://doi.org/10.1016/j.cortex.2024.05.007" TargetMode="External" /><Relationship Type="http://schemas.openxmlformats.org/officeDocument/2006/relationships/hyperlink" Id="rId370" Target="https://doi.org/10.1016/j.ijpsycho.2021.02.006" TargetMode="External" /><Relationship Type="http://schemas.openxmlformats.org/officeDocument/2006/relationships/hyperlink" Id="rId198" Target="https://doi.org/10.1016/j.jml.2007.11.004" TargetMode="External" /><Relationship Type="http://schemas.openxmlformats.org/officeDocument/2006/relationships/hyperlink" Id="rId242" Target="https://doi.org/10.1016/j.jml.2007.11.007" TargetMode="External" /><Relationship Type="http://schemas.openxmlformats.org/officeDocument/2006/relationships/hyperlink" Id="rId155" Target="https://doi.org/10.1016/j.jml.2007.12.005" TargetMode="External" /><Relationship Type="http://schemas.openxmlformats.org/officeDocument/2006/relationships/hyperlink" Id="rId161" Target="https://doi.org/10.1016/j.jml.2012.11.001" TargetMode="External" /><Relationship Type="http://schemas.openxmlformats.org/officeDocument/2006/relationships/hyperlink" Id="rId274" Target="https://doi.org/10.1016/j.jml.2017.01.001" TargetMode="External" /><Relationship Type="http://schemas.openxmlformats.org/officeDocument/2006/relationships/hyperlink" Id="rId366" Target="https://doi.org/10.1016/j.jml.2018.07.004" TargetMode="External" /><Relationship Type="http://schemas.openxmlformats.org/officeDocument/2006/relationships/hyperlink" Id="rId262" Target="https://doi.org/10.1016/j.jmva.2009.04.008" TargetMode="External" /><Relationship Type="http://schemas.openxmlformats.org/officeDocument/2006/relationships/hyperlink" Id="rId270" Target="https://doi.org/10.1016/j.jneumeth.2007.03.024" TargetMode="External" /><Relationship Type="http://schemas.openxmlformats.org/officeDocument/2006/relationships/hyperlink" Id="rId386" Target="https://doi.org/10.1016/j.jneumeth.2014.08.002" TargetMode="External" /><Relationship Type="http://schemas.openxmlformats.org/officeDocument/2006/relationships/hyperlink" Id="rId188" Target="https://doi.org/10.1016/j.jneumeth.2015.01.010" TargetMode="External" /><Relationship Type="http://schemas.openxmlformats.org/officeDocument/2006/relationships/hyperlink" Id="rId226" Target="https://doi.org/10.1016/j.jneuroling.2020.100939" TargetMode="External" /><Relationship Type="http://schemas.openxmlformats.org/officeDocument/2006/relationships/hyperlink" Id="rId176" Target="https://doi.org/10.1016/j.neubiorev.2015.01.010" TargetMode="External" /><Relationship Type="http://schemas.openxmlformats.org/officeDocument/2006/relationships/hyperlink" Id="rId194" Target="https://doi.org/10.1016/j.neuroimage.2014.04.037" TargetMode="External" /><Relationship Type="http://schemas.openxmlformats.org/officeDocument/2006/relationships/hyperlink" Id="rId143" Target="https://doi.org/10.1016/j.neuroimage.2016.07.040" TargetMode="External" /><Relationship Type="http://schemas.openxmlformats.org/officeDocument/2006/relationships/hyperlink" Id="rId364" Target="https://doi.org/10.1016/j.neuroimage.2016.10.038" TargetMode="External" /><Relationship Type="http://schemas.openxmlformats.org/officeDocument/2006/relationships/hyperlink" Id="rId362" Target="https://doi.org/10.1016/j.neuroimage.2017.06.061" TargetMode="External" /><Relationship Type="http://schemas.openxmlformats.org/officeDocument/2006/relationships/hyperlink" Id="rId240" Target="https://doi.org/10.1016/j.neuroimage.2017.08.005" TargetMode="External" /><Relationship Type="http://schemas.openxmlformats.org/officeDocument/2006/relationships/hyperlink" Id="rId336" Target="https://doi.org/10.1016/j.neuroimage.2019.06.048" TargetMode="External" /><Relationship Type="http://schemas.openxmlformats.org/officeDocument/2006/relationships/hyperlink" Id="rId200" Target="https://doi.org/10.1016/j.neuron.2015.09.004" TargetMode="External" /><Relationship Type="http://schemas.openxmlformats.org/officeDocument/2006/relationships/hyperlink" Id="rId356" Target="https://doi.org/10.1016/j.neuropsychologia.2014.02.002" TargetMode="External" /><Relationship Type="http://schemas.openxmlformats.org/officeDocument/2006/relationships/hyperlink" Id="rId157" Target="https://doi.org/10.1016/j.neuropsychologia.2015.10.020" TargetMode="External" /><Relationship Type="http://schemas.openxmlformats.org/officeDocument/2006/relationships/hyperlink" Id="rId186" Target="https://doi.org/10.1016/j.neuropsychologia.2025.109150" TargetMode="External" /><Relationship Type="http://schemas.openxmlformats.org/officeDocument/2006/relationships/hyperlink" Id="rId252" Target="https://doi.org/10.1016/j.tics.2014.01.002" TargetMode="External" /><Relationship Type="http://schemas.openxmlformats.org/officeDocument/2006/relationships/hyperlink" Id="rId145" Target="https://doi.org/10.1017/9781009400640.020" TargetMode="External" /><Relationship Type="http://schemas.openxmlformats.org/officeDocument/2006/relationships/hyperlink" Id="rId380" Target="https://doi.org/10.1017/9781108957823.010" TargetMode="External" /><Relationship Type="http://schemas.openxmlformats.org/officeDocument/2006/relationships/hyperlink" Id="rId330" Target="https://doi.org/10.1017/9781316014660" TargetMode="External" /><Relationship Type="http://schemas.openxmlformats.org/officeDocument/2006/relationships/hyperlink" Id="rId184" Target="https://doi.org/10.1017/S136672890700291X" TargetMode="External" /><Relationship Type="http://schemas.openxmlformats.org/officeDocument/2006/relationships/hyperlink" Id="rId352" Target="https://doi.org/10.1017/S1366728912000302" TargetMode="External" /><Relationship Type="http://schemas.openxmlformats.org/officeDocument/2006/relationships/hyperlink" Id="rId326" Target="https://doi.org/10.1017/S136672891300059X" TargetMode="External" /><Relationship Type="http://schemas.openxmlformats.org/officeDocument/2006/relationships/hyperlink" Id="rId232" Target="https://doi.org/10.1017/S1366728917000426" TargetMode="External" /><Relationship Type="http://schemas.openxmlformats.org/officeDocument/2006/relationships/hyperlink" Id="rId294" Target="https://doi.org/10.1017/S1366728917000566" TargetMode="External" /><Relationship Type="http://schemas.openxmlformats.org/officeDocument/2006/relationships/hyperlink" Id="rId264" Target="https://doi.org/10.1017/S1366728918001153" TargetMode="External" /><Relationship Type="http://schemas.openxmlformats.org/officeDocument/2006/relationships/hyperlink" Id="rId204" Target="https://doi.org/10.1037/0033-2909.125.6.777" TargetMode="External" /><Relationship Type="http://schemas.openxmlformats.org/officeDocument/2006/relationships/hyperlink" Id="rId196" Target="https://doi.org/10.1037/met0000065" TargetMode="External" /><Relationship Type="http://schemas.openxmlformats.org/officeDocument/2006/relationships/hyperlink" Id="rId168" Target="https://doi.org/10.1037/met0000159" TargetMode="External" /><Relationship Type="http://schemas.openxmlformats.org/officeDocument/2006/relationships/hyperlink" Id="rId338" Target="https://doi.org/10.1037/met0000275" TargetMode="External" /><Relationship Type="http://schemas.openxmlformats.org/officeDocument/2006/relationships/hyperlink" Id="rId149" Target="https://doi.org/10.1038/d41586-019-00857-9" TargetMode="External" /><Relationship Type="http://schemas.openxmlformats.org/officeDocument/2006/relationships/hyperlink" Id="rId256" Target="https://doi.org/10.1038/nn.2303" TargetMode="External" /><Relationship Type="http://schemas.openxmlformats.org/officeDocument/2006/relationships/hyperlink" Id="rId300" Target="https://doi.org/10.1038/nn.2886" TargetMode="External" /><Relationship Type="http://schemas.openxmlformats.org/officeDocument/2006/relationships/hyperlink" Id="rId276" Target="https://doi.org/10.1038/nn1264" TargetMode="External" /><Relationship Type="http://schemas.openxmlformats.org/officeDocument/2006/relationships/hyperlink" Id="rId322" Target="https://doi.org/10.1038/nrn1426" TargetMode="External" /><Relationship Type="http://schemas.openxmlformats.org/officeDocument/2006/relationships/hyperlink" Id="rId258" Target="https://doi.org/10.1038/s41562-021-01177-7" TargetMode="External" /><Relationship Type="http://schemas.openxmlformats.org/officeDocument/2006/relationships/hyperlink" Id="rId310" Target="https://doi.org/10.1038/s41562-023-01680-z" TargetMode="External" /><Relationship Type="http://schemas.openxmlformats.org/officeDocument/2006/relationships/hyperlink" Id="rId248" Target="https://doi.org/10.1038/s41593-020-0660-4" TargetMode="External" /><Relationship Type="http://schemas.openxmlformats.org/officeDocument/2006/relationships/hyperlink" Id="rId360" Target="https://doi.org/10.1038/s43586-020-00001-2" TargetMode="External" /><Relationship Type="http://schemas.openxmlformats.org/officeDocument/2006/relationships/hyperlink" Id="rId210" Target="https://doi.org/10.1073/pnas.012611199" TargetMode="External" /><Relationship Type="http://schemas.openxmlformats.org/officeDocument/2006/relationships/hyperlink" Id="rId304" Target="https://doi.org/10.1073/pnas.1708274114" TargetMode="External" /><Relationship Type="http://schemas.openxmlformats.org/officeDocument/2006/relationships/hyperlink" Id="rId342" Target="https://doi.org/10.1075/lab.20055.sch" TargetMode="External" /><Relationship Type="http://schemas.openxmlformats.org/officeDocument/2006/relationships/hyperlink" Id="rId280" Target="https://doi.org/10.1075/lab.22063.mit" TargetMode="External" /><Relationship Type="http://schemas.openxmlformats.org/officeDocument/2006/relationships/hyperlink" Id="rId272" Target="https://doi.org/10.1080/00031305.2017.1375986" TargetMode="External" /><Relationship Type="http://schemas.openxmlformats.org/officeDocument/2006/relationships/hyperlink" Id="rId206" Target="https://doi.org/10.1080/14790710408668175" TargetMode="External" /><Relationship Type="http://schemas.openxmlformats.org/officeDocument/2006/relationships/hyperlink" Id="rId228" Target="https://doi.org/10.1080/14790718.2024.2415993" TargetMode="External" /><Relationship Type="http://schemas.openxmlformats.org/officeDocument/2006/relationships/hyperlink" Id="rId220" Target="https://doi.org/10.1080/19345747.2011.618213" TargetMode="External" /><Relationship Type="http://schemas.openxmlformats.org/officeDocument/2006/relationships/hyperlink" Id="rId374" Target="https://doi.org/10.1080/23273798.2023.2223783" TargetMode="External" /><Relationship Type="http://schemas.openxmlformats.org/officeDocument/2006/relationships/hyperlink" Id="rId320" Target="https://doi.org/10.1093/bjps/axx023" TargetMode="External" /><Relationship Type="http://schemas.openxmlformats.org/officeDocument/2006/relationships/hyperlink" Id="rId212" Target="https://doi.org/10.1097/00001756-200110290-00048" TargetMode="External" /><Relationship Type="http://schemas.openxmlformats.org/officeDocument/2006/relationships/hyperlink" Id="rId192" Target="https://doi.org/10.1098/rstb.2009.0111" TargetMode="External" /><Relationship Type="http://schemas.openxmlformats.org/officeDocument/2006/relationships/hyperlink" Id="rId344" Target="https://doi.org/10.1111/cogs.12343" TargetMode="External" /><Relationship Type="http://schemas.openxmlformats.org/officeDocument/2006/relationships/hyperlink" Id="rId308" Target="https://doi.org/10.1111/j.1467-9922.2006.00361.x" TargetMode="External" /><Relationship Type="http://schemas.openxmlformats.org/officeDocument/2006/relationships/hyperlink" Id="rId284" Target="https://doi.org/10.1111/j.1467-9922.2009.00554.x" TargetMode="External" /><Relationship Type="http://schemas.openxmlformats.org/officeDocument/2006/relationships/hyperlink" Id="rId340" Target="https://doi.org/10.1111/j.2041-210X.2010.00012.x" TargetMode="External" /><Relationship Type="http://schemas.openxmlformats.org/officeDocument/2006/relationships/hyperlink" Id="rId354" Target="https://doi.org/10.1111/psyp.12437" TargetMode="External" /><Relationship Type="http://schemas.openxmlformats.org/officeDocument/2006/relationships/hyperlink" Id="rId334" Target="https://doi.org/10.1111/psyp.13335" TargetMode="External" /><Relationship Type="http://schemas.openxmlformats.org/officeDocument/2006/relationships/hyperlink" Id="rId139" Target="https://doi.org/10.1111/psyp.13451" TargetMode="External" /><Relationship Type="http://schemas.openxmlformats.org/officeDocument/2006/relationships/hyperlink" Id="rId153" Target="https://doi.org/10.1111/psyp.14302" TargetMode="External" /><Relationship Type="http://schemas.openxmlformats.org/officeDocument/2006/relationships/hyperlink" Id="rId238" Target="https://doi.org/10.1111/psyp.14491" TargetMode="External" /><Relationship Type="http://schemas.openxmlformats.org/officeDocument/2006/relationships/hyperlink" Id="rId180" Target="https://doi.org/10.1111/psyp.14570" TargetMode="External" /><Relationship Type="http://schemas.openxmlformats.org/officeDocument/2006/relationships/hyperlink" Id="rId214" Target="https://doi.org/10.1111/rssa.12378" TargetMode="External" /><Relationship Type="http://schemas.openxmlformats.org/officeDocument/2006/relationships/hyperlink" Id="rId236" Target="https://doi.org/10.1126/science.1063736" TargetMode="External" /><Relationship Type="http://schemas.openxmlformats.org/officeDocument/2006/relationships/hyperlink" Id="rId266" Target="https://doi.org/10.1126/science.aal3618" TargetMode="External" /><Relationship Type="http://schemas.openxmlformats.org/officeDocument/2006/relationships/hyperlink" Id="rId244" Target="https://doi.org/10.1162/089892903321107855" TargetMode="External" /><Relationship Type="http://schemas.openxmlformats.org/officeDocument/2006/relationships/hyperlink" Id="rId288" Target="https://doi.org/10.1162/0898929055002463" TargetMode="External" /><Relationship Type="http://schemas.openxmlformats.org/officeDocument/2006/relationships/hyperlink" Id="rId190" Target="https://doi.org/10.1162/jocn.2008.21031" TargetMode="External" /><Relationship Type="http://schemas.openxmlformats.org/officeDocument/2006/relationships/hyperlink" Id="rId286" Target="https://doi.org/10.1162/jocn_a_00119" TargetMode="External" /><Relationship Type="http://schemas.openxmlformats.org/officeDocument/2006/relationships/hyperlink" Id="rId234" Target="https://doi.org/10.1162/jocn_a_01068" TargetMode="External" /><Relationship Type="http://schemas.openxmlformats.org/officeDocument/2006/relationships/hyperlink" Id="rId159" Target="https://doi.org/10.1177/0267658307080557" TargetMode="External" /><Relationship Type="http://schemas.openxmlformats.org/officeDocument/2006/relationships/hyperlink" Id="rId324" Target="https://doi.org/10.1177/0267658310386439" TargetMode="External" /><Relationship Type="http://schemas.openxmlformats.org/officeDocument/2006/relationships/hyperlink" Id="rId202" Target="https://doi.org/10.1177/0267658310386647" TargetMode="External" /><Relationship Type="http://schemas.openxmlformats.org/officeDocument/2006/relationships/hyperlink" Id="rId316" Target="https://doi.org/10.1177/0267658318809147" TargetMode="External" /><Relationship Type="http://schemas.openxmlformats.org/officeDocument/2006/relationships/hyperlink" Id="rId376" Target="https://doi.org/10.1177/0267658319884116" TargetMode="External" /><Relationship Type="http://schemas.openxmlformats.org/officeDocument/2006/relationships/hyperlink" Id="rId182" Target="https://doi.org/10.1177/02676583251332128" TargetMode="External" /><Relationship Type="http://schemas.openxmlformats.org/officeDocument/2006/relationships/hyperlink" Id="rId346" Target="https://doi.org/10.1177/02676583261426778" TargetMode="External" /><Relationship Type="http://schemas.openxmlformats.org/officeDocument/2006/relationships/hyperlink" Id="rId378" Target="https://doi.org/10.1177/1367006916648859" TargetMode="External" /><Relationship Type="http://schemas.openxmlformats.org/officeDocument/2006/relationships/hyperlink" Id="rId147" Target="https://doi.org/10.1177/1367006916649265" TargetMode="External" /><Relationship Type="http://schemas.openxmlformats.org/officeDocument/2006/relationships/hyperlink" Id="rId348" Target="https://doi.org/10.1177/1367006916655413" TargetMode="External" /><Relationship Type="http://schemas.openxmlformats.org/officeDocument/2006/relationships/hyperlink" Id="rId372" Target="https://doi.org/10.1177/1745691612463078" TargetMode="External" /><Relationship Type="http://schemas.openxmlformats.org/officeDocument/2006/relationships/hyperlink" Id="rId218" Target="https://doi.org/10.1177/1745691614551642" TargetMode="External" /><Relationship Type="http://schemas.openxmlformats.org/officeDocument/2006/relationships/hyperlink" Id="rId292" Target="https://doi.org/10.1186/1471-2202-10-89" TargetMode="External" /><Relationship Type="http://schemas.openxmlformats.org/officeDocument/2006/relationships/hyperlink" Id="rId290" Target="https://doi.org/10.1186/1471-2202-8-18" TargetMode="External" /><Relationship Type="http://schemas.openxmlformats.org/officeDocument/2006/relationships/hyperlink" Id="rId224" Target="https://doi.org/10.1198/000313006X152649" TargetMode="External" /><Relationship Type="http://schemas.openxmlformats.org/officeDocument/2006/relationships/hyperlink" Id="rId216" Target="https://doi.org/10.1214/06-BA117A" TargetMode="External" /><Relationship Type="http://schemas.openxmlformats.org/officeDocument/2006/relationships/hyperlink" Id="rId222" Target="https://doi.org/10.1214/08-AOAS191" TargetMode="External" /><Relationship Type="http://schemas.openxmlformats.org/officeDocument/2006/relationships/hyperlink" Id="rId368" Target="https://doi.org/10.1214/20-BA1221" TargetMode="External" /><Relationship Type="http://schemas.openxmlformats.org/officeDocument/2006/relationships/hyperlink" Id="rId282" Target="https://doi.org/10.1371/journal.pone.0032974" TargetMode="External" /><Relationship Type="http://schemas.openxmlformats.org/officeDocument/2006/relationships/hyperlink" Id="rId382" Target="https://doi.org/10.1371/journal.pone.0052318" TargetMode="External" /><Relationship Type="http://schemas.openxmlformats.org/officeDocument/2006/relationships/hyperlink" Id="rId298" Target="https://doi.org/10.1371/journal.pone.0065046" TargetMode="External" /><Relationship Type="http://schemas.openxmlformats.org/officeDocument/2006/relationships/hyperlink" Id="rId278" Target="https://doi.org/10.1371/journal.pone.0152489" TargetMode="External" /><Relationship Type="http://schemas.openxmlformats.org/officeDocument/2006/relationships/hyperlink" Id="rId141" Target="https://doi.org/10.1371/journal.pone.0200791" TargetMode="External" /><Relationship Type="http://schemas.openxmlformats.org/officeDocument/2006/relationships/hyperlink" Id="rId230" Target="https://doi.org/10.1371/journal.pone.0247976" TargetMode="External" /><Relationship Type="http://schemas.openxmlformats.org/officeDocument/2006/relationships/hyperlink" Id="rId388" Target="https://doi.org/10.1371/journal.pone.0304572" TargetMode="External" /><Relationship Type="http://schemas.openxmlformats.org/officeDocument/2006/relationships/hyperlink" Id="rId390" Target="https://doi.org/10.1523/JNEUROSCI.2126-24.2025" TargetMode="External" /><Relationship Type="http://schemas.openxmlformats.org/officeDocument/2006/relationships/hyperlink" Id="rId178" Target="https://doi.org/10.18637/jss.v076.i01" TargetMode="External" /><Relationship Type="http://schemas.openxmlformats.org/officeDocument/2006/relationships/hyperlink" Id="rId170" Target="https://doi.org/10.18637/jss.v080.i01" TargetMode="External" /><Relationship Type="http://schemas.openxmlformats.org/officeDocument/2006/relationships/hyperlink" Id="rId314" Target="https://doi.org/10.2202/1544-6115.1585" TargetMode="External" /><Relationship Type="http://schemas.openxmlformats.org/officeDocument/2006/relationships/hyperlink" Id="rId172" Target="https://doi.org/10.32614/RJ-2018-017" TargetMode="External" /><Relationship Type="http://schemas.openxmlformats.org/officeDocument/2006/relationships/hyperlink" Id="rId246" Target="https://doi.org/10.3389/fnhum.2015.00151" TargetMode="External" /><Relationship Type="http://schemas.openxmlformats.org/officeDocument/2006/relationships/hyperlink" Id="rId328" Target="https://doi.org/10.3389/fpsyg.2015.01087" TargetMode="External" /><Relationship Type="http://schemas.openxmlformats.org/officeDocument/2006/relationships/hyperlink" Id="rId268" Target="https://doi.org/10.3389/fpsyg.2019.02767" TargetMode="External" /><Relationship Type="http://schemas.openxmlformats.org/officeDocument/2006/relationships/hyperlink" Id="rId254" Target="https://doi.org/10.3389/neuro.06.004.2008" TargetMode="External" /><Relationship Type="http://schemas.openxmlformats.org/officeDocument/2006/relationships/hyperlink" Id="rId312" Target="https://doi.org/10.3390/brainsci12050669" TargetMode="External" /><Relationship Type="http://schemas.openxmlformats.org/officeDocument/2006/relationships/hyperlink" Id="rId151" Target="https://doi.org/10.3390/languages8010090" TargetMode="External" /><Relationship Type="http://schemas.openxmlformats.org/officeDocument/2006/relationships/hyperlink" Id="rId260" Target="https://doi.org/10.3758/s13423-016-1221-4" TargetMode="External" /><Relationship Type="http://schemas.openxmlformats.org/officeDocument/2006/relationships/hyperlink" Id="rId358" Target="https://doi.org/10.52294/apertureneuro.2022.2.maoc6465" TargetMode="External" /><Relationship Type="http://schemas.openxmlformats.org/officeDocument/2006/relationships/hyperlink" Id="rId165" Target="https://doi.org/10.5281/zenodo.21252669" TargetMode="External" /><Relationship Type="http://schemas.openxmlformats.org/officeDocument/2006/relationships/hyperlink" Id="rId163" Target="https://doi.org/10.5281/zenodo.21266308" TargetMode="External" /><Relationship Type="http://schemas.openxmlformats.org/officeDocument/2006/relationships/hyperlink" Id="rId130" Target="https://github.com/pablobernabeu/LESS-morphosyntactic-transfer" TargetMode="External" /><Relationship Type="http://schemas.openxmlformats.org/officeDocument/2006/relationships/hyperlink" Id="rId47" Target="https://orcid.org/0000-0001-5047-3226" TargetMode="External" /><Relationship Type="http://schemas.openxmlformats.org/officeDocument/2006/relationships/hyperlink" Id="rId35" Target="https://orcid.org/0000-0002-2275-209X" TargetMode="External" /><Relationship Type="http://schemas.openxmlformats.org/officeDocument/2006/relationships/hyperlink" Id="rId31" Target="https://orcid.org/0000-0002-5349-7036" TargetMode="External" /><Relationship Type="http://schemas.openxmlformats.org/officeDocument/2006/relationships/hyperlink" Id="rId43" Target="https://orcid.org/0000-0002-9357-4948" TargetMode="External" /><Relationship Type="http://schemas.openxmlformats.org/officeDocument/2006/relationships/hyperlink" Id="rId27" Target="https://orcid.org/0000-0003-1083-2460" TargetMode="External" /><Relationship Type="http://schemas.openxmlformats.org/officeDocument/2006/relationships/hyperlink" Id="rId39" Target="https://orcid.org/0009-0003-3936-6384" TargetMode="External" /><Relationship Type="http://schemas.openxmlformats.org/officeDocument/2006/relationships/hyperlink" Id="rId91" Target="https://osf.io/tjr54" TargetMode="External" /><Relationship Type="http://schemas.openxmlformats.org/officeDocument/2006/relationships/hyperlink" Id="rId129" Target="https://osf.io/tq7vy" TargetMode="External" /><Relationship Type="http://schemas.openxmlformats.org/officeDocument/2006/relationships/hyperlink" Id="rId31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96" Target="https://doi.org/10.1002/hbm.1058" TargetMode="External" /><Relationship Type="http://schemas.openxmlformats.org/officeDocument/2006/relationships/hyperlink" Id="rId137" Target="https://doi.org/10.1002/hbm.20851" TargetMode="External" /><Relationship Type="http://schemas.openxmlformats.org/officeDocument/2006/relationships/hyperlink" Id="rId384" Target="https://doi.org/10.1007/978-3-319-24277-4" TargetMode="External" /><Relationship Type="http://schemas.openxmlformats.org/officeDocument/2006/relationships/hyperlink" Id="rId332" Target="https://doi.org/10.1007/s11229-021-03276-4" TargetMode="External" /><Relationship Type="http://schemas.openxmlformats.org/officeDocument/2006/relationships/hyperlink" Id="rId306" Target="https://doi.org/10.1016/0749-596X(92)90039-Z" TargetMode="External" /><Relationship Type="http://schemas.openxmlformats.org/officeDocument/2006/relationships/hyperlink" Id="rId208" Target="https://doi.org/10.1016/S1364-6613(00)01839-8" TargetMode="External" /><Relationship Type="http://schemas.openxmlformats.org/officeDocument/2006/relationships/hyperlink" Id="rId302" Target="https://doi.org/10.1016/j.bandl.2013.04.005" TargetMode="External" /><Relationship Type="http://schemas.openxmlformats.org/officeDocument/2006/relationships/hyperlink" Id="rId174" Target="https://doi.org/10.1016/j.bandl.2019.01.003" TargetMode="External" /><Relationship Type="http://schemas.openxmlformats.org/officeDocument/2006/relationships/hyperlink" Id="rId350" Target="https://doi.org/10.1016/j.cogpsych.2015.03.003" TargetMode="External" /><Relationship Type="http://schemas.openxmlformats.org/officeDocument/2006/relationships/hyperlink" Id="rId250" Target="https://doi.org/10.1016/j.cortex.2024.05.007" TargetMode="External" /><Relationship Type="http://schemas.openxmlformats.org/officeDocument/2006/relationships/hyperlink" Id="rId370" Target="https://doi.org/10.1016/j.ijpsycho.2021.02.006" TargetMode="External" /><Relationship Type="http://schemas.openxmlformats.org/officeDocument/2006/relationships/hyperlink" Id="rId198" Target="https://doi.org/10.1016/j.jml.2007.11.004" TargetMode="External" /><Relationship Type="http://schemas.openxmlformats.org/officeDocument/2006/relationships/hyperlink" Id="rId242" Target="https://doi.org/10.1016/j.jml.2007.11.007" TargetMode="External" /><Relationship Type="http://schemas.openxmlformats.org/officeDocument/2006/relationships/hyperlink" Id="rId155" Target="https://doi.org/10.1016/j.jml.2007.12.005" TargetMode="External" /><Relationship Type="http://schemas.openxmlformats.org/officeDocument/2006/relationships/hyperlink" Id="rId161" Target="https://doi.org/10.1016/j.jml.2012.11.001" TargetMode="External" /><Relationship Type="http://schemas.openxmlformats.org/officeDocument/2006/relationships/hyperlink" Id="rId274" Target="https://doi.org/10.1016/j.jml.2017.01.001" TargetMode="External" /><Relationship Type="http://schemas.openxmlformats.org/officeDocument/2006/relationships/hyperlink" Id="rId366" Target="https://doi.org/10.1016/j.jml.2018.07.004" TargetMode="External" /><Relationship Type="http://schemas.openxmlformats.org/officeDocument/2006/relationships/hyperlink" Id="rId262" Target="https://doi.org/10.1016/j.jmva.2009.04.008" TargetMode="External" /><Relationship Type="http://schemas.openxmlformats.org/officeDocument/2006/relationships/hyperlink" Id="rId270" Target="https://doi.org/10.1016/j.jneumeth.2007.03.024" TargetMode="External" /><Relationship Type="http://schemas.openxmlformats.org/officeDocument/2006/relationships/hyperlink" Id="rId386" Target="https://doi.org/10.1016/j.jneumeth.2014.08.002" TargetMode="External" /><Relationship Type="http://schemas.openxmlformats.org/officeDocument/2006/relationships/hyperlink" Id="rId188" Target="https://doi.org/10.1016/j.jneumeth.2015.01.010" TargetMode="External" /><Relationship Type="http://schemas.openxmlformats.org/officeDocument/2006/relationships/hyperlink" Id="rId226" Target="https://doi.org/10.1016/j.jneuroling.2020.100939" TargetMode="External" /><Relationship Type="http://schemas.openxmlformats.org/officeDocument/2006/relationships/hyperlink" Id="rId176" Target="https://doi.org/10.1016/j.neubiorev.2015.01.010" TargetMode="External" /><Relationship Type="http://schemas.openxmlformats.org/officeDocument/2006/relationships/hyperlink" Id="rId194" Target="https://doi.org/10.1016/j.neuroimage.2014.04.037" TargetMode="External" /><Relationship Type="http://schemas.openxmlformats.org/officeDocument/2006/relationships/hyperlink" Id="rId143" Target="https://doi.org/10.1016/j.neuroimage.2016.07.040" TargetMode="External" /><Relationship Type="http://schemas.openxmlformats.org/officeDocument/2006/relationships/hyperlink" Id="rId364" Target="https://doi.org/10.1016/j.neuroimage.2016.10.038" TargetMode="External" /><Relationship Type="http://schemas.openxmlformats.org/officeDocument/2006/relationships/hyperlink" Id="rId362" Target="https://doi.org/10.1016/j.neuroimage.2017.06.061" TargetMode="External" /><Relationship Type="http://schemas.openxmlformats.org/officeDocument/2006/relationships/hyperlink" Id="rId240" Target="https://doi.org/10.1016/j.neuroimage.2017.08.005" TargetMode="External" /><Relationship Type="http://schemas.openxmlformats.org/officeDocument/2006/relationships/hyperlink" Id="rId336" Target="https://doi.org/10.1016/j.neuroimage.2019.06.048" TargetMode="External" /><Relationship Type="http://schemas.openxmlformats.org/officeDocument/2006/relationships/hyperlink" Id="rId200" Target="https://doi.org/10.1016/j.neuron.2015.09.004" TargetMode="External" /><Relationship Type="http://schemas.openxmlformats.org/officeDocument/2006/relationships/hyperlink" Id="rId356" Target="https://doi.org/10.1016/j.neuropsychologia.2014.02.002" TargetMode="External" /><Relationship Type="http://schemas.openxmlformats.org/officeDocument/2006/relationships/hyperlink" Id="rId157" Target="https://doi.org/10.1016/j.neuropsychologia.2015.10.020" TargetMode="External" /><Relationship Type="http://schemas.openxmlformats.org/officeDocument/2006/relationships/hyperlink" Id="rId186" Target="https://doi.org/10.1016/j.neuropsychologia.2025.109150" TargetMode="External" /><Relationship Type="http://schemas.openxmlformats.org/officeDocument/2006/relationships/hyperlink" Id="rId252" Target="https://doi.org/10.1016/j.tics.2014.01.002" TargetMode="External" /><Relationship Type="http://schemas.openxmlformats.org/officeDocument/2006/relationships/hyperlink" Id="rId145" Target="https://doi.org/10.1017/9781009400640.020" TargetMode="External" /><Relationship Type="http://schemas.openxmlformats.org/officeDocument/2006/relationships/hyperlink" Id="rId380" Target="https://doi.org/10.1017/9781108957823.010" TargetMode="External" /><Relationship Type="http://schemas.openxmlformats.org/officeDocument/2006/relationships/hyperlink" Id="rId330" Target="https://doi.org/10.1017/9781316014660" TargetMode="External" /><Relationship Type="http://schemas.openxmlformats.org/officeDocument/2006/relationships/hyperlink" Id="rId184" Target="https://doi.org/10.1017/S136672890700291X" TargetMode="External" /><Relationship Type="http://schemas.openxmlformats.org/officeDocument/2006/relationships/hyperlink" Id="rId352" Target="https://doi.org/10.1017/S1366728912000302" TargetMode="External" /><Relationship Type="http://schemas.openxmlformats.org/officeDocument/2006/relationships/hyperlink" Id="rId326" Target="https://doi.org/10.1017/S136672891300059X" TargetMode="External" /><Relationship Type="http://schemas.openxmlformats.org/officeDocument/2006/relationships/hyperlink" Id="rId232" Target="https://doi.org/10.1017/S1366728917000426" TargetMode="External" /><Relationship Type="http://schemas.openxmlformats.org/officeDocument/2006/relationships/hyperlink" Id="rId294" Target="https://doi.org/10.1017/S1366728917000566" TargetMode="External" /><Relationship Type="http://schemas.openxmlformats.org/officeDocument/2006/relationships/hyperlink" Id="rId264" Target="https://doi.org/10.1017/S1366728918001153" TargetMode="External" /><Relationship Type="http://schemas.openxmlformats.org/officeDocument/2006/relationships/hyperlink" Id="rId204" Target="https://doi.org/10.1037/0033-2909.125.6.777" TargetMode="External" /><Relationship Type="http://schemas.openxmlformats.org/officeDocument/2006/relationships/hyperlink" Id="rId196" Target="https://doi.org/10.1037/met0000065" TargetMode="External" /><Relationship Type="http://schemas.openxmlformats.org/officeDocument/2006/relationships/hyperlink" Id="rId168" Target="https://doi.org/10.1037/met0000159" TargetMode="External" /><Relationship Type="http://schemas.openxmlformats.org/officeDocument/2006/relationships/hyperlink" Id="rId338" Target="https://doi.org/10.1037/met0000275" TargetMode="External" /><Relationship Type="http://schemas.openxmlformats.org/officeDocument/2006/relationships/hyperlink" Id="rId149" Target="https://doi.org/10.1038/d41586-019-00857-9" TargetMode="External" /><Relationship Type="http://schemas.openxmlformats.org/officeDocument/2006/relationships/hyperlink" Id="rId256" Target="https://doi.org/10.1038/nn.2303" TargetMode="External" /><Relationship Type="http://schemas.openxmlformats.org/officeDocument/2006/relationships/hyperlink" Id="rId300" Target="https://doi.org/10.1038/nn.2886" TargetMode="External" /><Relationship Type="http://schemas.openxmlformats.org/officeDocument/2006/relationships/hyperlink" Id="rId276" Target="https://doi.org/10.1038/nn1264" TargetMode="External" /><Relationship Type="http://schemas.openxmlformats.org/officeDocument/2006/relationships/hyperlink" Id="rId322" Target="https://doi.org/10.1038/nrn1426" TargetMode="External" /><Relationship Type="http://schemas.openxmlformats.org/officeDocument/2006/relationships/hyperlink" Id="rId258" Target="https://doi.org/10.1038/s41562-021-01177-7" TargetMode="External" /><Relationship Type="http://schemas.openxmlformats.org/officeDocument/2006/relationships/hyperlink" Id="rId310" Target="https://doi.org/10.1038/s41562-023-01680-z" TargetMode="External" /><Relationship Type="http://schemas.openxmlformats.org/officeDocument/2006/relationships/hyperlink" Id="rId248" Target="https://doi.org/10.1038/s41593-020-0660-4" TargetMode="External" /><Relationship Type="http://schemas.openxmlformats.org/officeDocument/2006/relationships/hyperlink" Id="rId360" Target="https://doi.org/10.1038/s43586-020-00001-2" TargetMode="External" /><Relationship Type="http://schemas.openxmlformats.org/officeDocument/2006/relationships/hyperlink" Id="rId210" Target="https://doi.org/10.1073/pnas.012611199" TargetMode="External" /><Relationship Type="http://schemas.openxmlformats.org/officeDocument/2006/relationships/hyperlink" Id="rId304" Target="https://doi.org/10.1073/pnas.1708274114" TargetMode="External" /><Relationship Type="http://schemas.openxmlformats.org/officeDocument/2006/relationships/hyperlink" Id="rId342" Target="https://doi.org/10.1075/lab.20055.sch" TargetMode="External" /><Relationship Type="http://schemas.openxmlformats.org/officeDocument/2006/relationships/hyperlink" Id="rId280" Target="https://doi.org/10.1075/lab.22063.mit" TargetMode="External" /><Relationship Type="http://schemas.openxmlformats.org/officeDocument/2006/relationships/hyperlink" Id="rId272" Target="https://doi.org/10.1080/00031305.2017.1375986" TargetMode="External" /><Relationship Type="http://schemas.openxmlformats.org/officeDocument/2006/relationships/hyperlink" Id="rId206" Target="https://doi.org/10.1080/14790710408668175" TargetMode="External" /><Relationship Type="http://schemas.openxmlformats.org/officeDocument/2006/relationships/hyperlink" Id="rId228" Target="https://doi.org/10.1080/14790718.2024.2415993" TargetMode="External" /><Relationship Type="http://schemas.openxmlformats.org/officeDocument/2006/relationships/hyperlink" Id="rId220" Target="https://doi.org/10.1080/19345747.2011.618213" TargetMode="External" /><Relationship Type="http://schemas.openxmlformats.org/officeDocument/2006/relationships/hyperlink" Id="rId374" Target="https://doi.org/10.1080/23273798.2023.2223783" TargetMode="External" /><Relationship Type="http://schemas.openxmlformats.org/officeDocument/2006/relationships/hyperlink" Id="rId320" Target="https://doi.org/10.1093/bjps/axx023" TargetMode="External" /><Relationship Type="http://schemas.openxmlformats.org/officeDocument/2006/relationships/hyperlink" Id="rId212" Target="https://doi.org/10.1097/00001756-200110290-00048" TargetMode="External" /><Relationship Type="http://schemas.openxmlformats.org/officeDocument/2006/relationships/hyperlink" Id="rId192" Target="https://doi.org/10.1098/rstb.2009.0111" TargetMode="External" /><Relationship Type="http://schemas.openxmlformats.org/officeDocument/2006/relationships/hyperlink" Id="rId344" Target="https://doi.org/10.1111/cogs.12343" TargetMode="External" /><Relationship Type="http://schemas.openxmlformats.org/officeDocument/2006/relationships/hyperlink" Id="rId308" Target="https://doi.org/10.1111/j.1467-9922.2006.00361.x" TargetMode="External" /><Relationship Type="http://schemas.openxmlformats.org/officeDocument/2006/relationships/hyperlink" Id="rId284" Target="https://doi.org/10.1111/j.1467-9922.2009.00554.x" TargetMode="External" /><Relationship Type="http://schemas.openxmlformats.org/officeDocument/2006/relationships/hyperlink" Id="rId340" Target="https://doi.org/10.1111/j.2041-210X.2010.00012.x" TargetMode="External" /><Relationship Type="http://schemas.openxmlformats.org/officeDocument/2006/relationships/hyperlink" Id="rId354" Target="https://doi.org/10.1111/psyp.12437" TargetMode="External" /><Relationship Type="http://schemas.openxmlformats.org/officeDocument/2006/relationships/hyperlink" Id="rId334" Target="https://doi.org/10.1111/psyp.13335" TargetMode="External" /><Relationship Type="http://schemas.openxmlformats.org/officeDocument/2006/relationships/hyperlink" Id="rId139" Target="https://doi.org/10.1111/psyp.13451" TargetMode="External" /><Relationship Type="http://schemas.openxmlformats.org/officeDocument/2006/relationships/hyperlink" Id="rId153" Target="https://doi.org/10.1111/psyp.14302" TargetMode="External" /><Relationship Type="http://schemas.openxmlformats.org/officeDocument/2006/relationships/hyperlink" Id="rId238" Target="https://doi.org/10.1111/psyp.14491" TargetMode="External" /><Relationship Type="http://schemas.openxmlformats.org/officeDocument/2006/relationships/hyperlink" Id="rId180" Target="https://doi.org/10.1111/psyp.14570" TargetMode="External" /><Relationship Type="http://schemas.openxmlformats.org/officeDocument/2006/relationships/hyperlink" Id="rId214" Target="https://doi.org/10.1111/rssa.12378" TargetMode="External" /><Relationship Type="http://schemas.openxmlformats.org/officeDocument/2006/relationships/hyperlink" Id="rId236" Target="https://doi.org/10.1126/science.1063736" TargetMode="External" /><Relationship Type="http://schemas.openxmlformats.org/officeDocument/2006/relationships/hyperlink" Id="rId266" Target="https://doi.org/10.1126/science.aal3618" TargetMode="External" /><Relationship Type="http://schemas.openxmlformats.org/officeDocument/2006/relationships/hyperlink" Id="rId244" Target="https://doi.org/10.1162/089892903321107855" TargetMode="External" /><Relationship Type="http://schemas.openxmlformats.org/officeDocument/2006/relationships/hyperlink" Id="rId288" Target="https://doi.org/10.1162/0898929055002463" TargetMode="External" /><Relationship Type="http://schemas.openxmlformats.org/officeDocument/2006/relationships/hyperlink" Id="rId190" Target="https://doi.org/10.1162/jocn.2008.21031" TargetMode="External" /><Relationship Type="http://schemas.openxmlformats.org/officeDocument/2006/relationships/hyperlink" Id="rId286" Target="https://doi.org/10.1162/jocn_a_00119" TargetMode="External" /><Relationship Type="http://schemas.openxmlformats.org/officeDocument/2006/relationships/hyperlink" Id="rId234" Target="https://doi.org/10.1162/jocn_a_01068" TargetMode="External" /><Relationship Type="http://schemas.openxmlformats.org/officeDocument/2006/relationships/hyperlink" Id="rId159" Target="https://doi.org/10.1177/0267658307080557" TargetMode="External" /><Relationship Type="http://schemas.openxmlformats.org/officeDocument/2006/relationships/hyperlink" Id="rId324" Target="https://doi.org/10.1177/0267658310386439" TargetMode="External" /><Relationship Type="http://schemas.openxmlformats.org/officeDocument/2006/relationships/hyperlink" Id="rId202" Target="https://doi.org/10.1177/0267658310386647" TargetMode="External" /><Relationship Type="http://schemas.openxmlformats.org/officeDocument/2006/relationships/hyperlink" Id="rId316" Target="https://doi.org/10.1177/0267658318809147" TargetMode="External" /><Relationship Type="http://schemas.openxmlformats.org/officeDocument/2006/relationships/hyperlink" Id="rId376" Target="https://doi.org/10.1177/0267658319884116" TargetMode="External" /><Relationship Type="http://schemas.openxmlformats.org/officeDocument/2006/relationships/hyperlink" Id="rId182" Target="https://doi.org/10.1177/02676583251332128" TargetMode="External" /><Relationship Type="http://schemas.openxmlformats.org/officeDocument/2006/relationships/hyperlink" Id="rId346" Target="https://doi.org/10.1177/02676583261426778" TargetMode="External" /><Relationship Type="http://schemas.openxmlformats.org/officeDocument/2006/relationships/hyperlink" Id="rId378" Target="https://doi.org/10.1177/1367006916648859" TargetMode="External" /><Relationship Type="http://schemas.openxmlformats.org/officeDocument/2006/relationships/hyperlink" Id="rId147" Target="https://doi.org/10.1177/1367006916649265" TargetMode="External" /><Relationship Type="http://schemas.openxmlformats.org/officeDocument/2006/relationships/hyperlink" Id="rId348" Target="https://doi.org/10.1177/1367006916655413" TargetMode="External" /><Relationship Type="http://schemas.openxmlformats.org/officeDocument/2006/relationships/hyperlink" Id="rId372" Target="https://doi.org/10.1177/1745691612463078" TargetMode="External" /><Relationship Type="http://schemas.openxmlformats.org/officeDocument/2006/relationships/hyperlink" Id="rId218" Target="https://doi.org/10.1177/1745691614551642" TargetMode="External" /><Relationship Type="http://schemas.openxmlformats.org/officeDocument/2006/relationships/hyperlink" Id="rId292" Target="https://doi.org/10.1186/1471-2202-10-89" TargetMode="External" /><Relationship Type="http://schemas.openxmlformats.org/officeDocument/2006/relationships/hyperlink" Id="rId290" Target="https://doi.org/10.1186/1471-2202-8-18" TargetMode="External" /><Relationship Type="http://schemas.openxmlformats.org/officeDocument/2006/relationships/hyperlink" Id="rId224" Target="https://doi.org/10.1198/000313006X152649" TargetMode="External" /><Relationship Type="http://schemas.openxmlformats.org/officeDocument/2006/relationships/hyperlink" Id="rId216" Target="https://doi.org/10.1214/06-BA117A" TargetMode="External" /><Relationship Type="http://schemas.openxmlformats.org/officeDocument/2006/relationships/hyperlink" Id="rId222" Target="https://doi.org/10.1214/08-AOAS191" TargetMode="External" /><Relationship Type="http://schemas.openxmlformats.org/officeDocument/2006/relationships/hyperlink" Id="rId368" Target="https://doi.org/10.1214/20-BA1221" TargetMode="External" /><Relationship Type="http://schemas.openxmlformats.org/officeDocument/2006/relationships/hyperlink" Id="rId282" Target="https://doi.org/10.1371/journal.pone.0032974" TargetMode="External" /><Relationship Type="http://schemas.openxmlformats.org/officeDocument/2006/relationships/hyperlink" Id="rId382" Target="https://doi.org/10.1371/journal.pone.0052318" TargetMode="External" /><Relationship Type="http://schemas.openxmlformats.org/officeDocument/2006/relationships/hyperlink" Id="rId298" Target="https://doi.org/10.1371/journal.pone.0065046" TargetMode="External" /><Relationship Type="http://schemas.openxmlformats.org/officeDocument/2006/relationships/hyperlink" Id="rId278" Target="https://doi.org/10.1371/journal.pone.0152489" TargetMode="External" /><Relationship Type="http://schemas.openxmlformats.org/officeDocument/2006/relationships/hyperlink" Id="rId141" Target="https://doi.org/10.1371/journal.pone.0200791" TargetMode="External" /><Relationship Type="http://schemas.openxmlformats.org/officeDocument/2006/relationships/hyperlink" Id="rId230" Target="https://doi.org/10.1371/journal.pone.0247976" TargetMode="External" /><Relationship Type="http://schemas.openxmlformats.org/officeDocument/2006/relationships/hyperlink" Id="rId388" Target="https://doi.org/10.1371/journal.pone.0304572" TargetMode="External" /><Relationship Type="http://schemas.openxmlformats.org/officeDocument/2006/relationships/hyperlink" Id="rId390" Target="https://doi.org/10.1523/JNEUROSCI.2126-24.2025" TargetMode="External" /><Relationship Type="http://schemas.openxmlformats.org/officeDocument/2006/relationships/hyperlink" Id="rId178" Target="https://doi.org/10.18637/jss.v076.i01" TargetMode="External" /><Relationship Type="http://schemas.openxmlformats.org/officeDocument/2006/relationships/hyperlink" Id="rId170" Target="https://doi.org/10.18637/jss.v080.i01" TargetMode="External" /><Relationship Type="http://schemas.openxmlformats.org/officeDocument/2006/relationships/hyperlink" Id="rId314" Target="https://doi.org/10.2202/1544-6115.1585" TargetMode="External" /><Relationship Type="http://schemas.openxmlformats.org/officeDocument/2006/relationships/hyperlink" Id="rId172" Target="https://doi.org/10.32614/RJ-2018-017" TargetMode="External" /><Relationship Type="http://schemas.openxmlformats.org/officeDocument/2006/relationships/hyperlink" Id="rId246" Target="https://doi.org/10.3389/fnhum.2015.00151" TargetMode="External" /><Relationship Type="http://schemas.openxmlformats.org/officeDocument/2006/relationships/hyperlink" Id="rId328" Target="https://doi.org/10.3389/fpsyg.2015.01087" TargetMode="External" /><Relationship Type="http://schemas.openxmlformats.org/officeDocument/2006/relationships/hyperlink" Id="rId268" Target="https://doi.org/10.3389/fpsyg.2019.02767" TargetMode="External" /><Relationship Type="http://schemas.openxmlformats.org/officeDocument/2006/relationships/hyperlink" Id="rId254" Target="https://doi.org/10.3389/neuro.06.004.2008" TargetMode="External" /><Relationship Type="http://schemas.openxmlformats.org/officeDocument/2006/relationships/hyperlink" Id="rId312" Target="https://doi.org/10.3390/brainsci12050669" TargetMode="External" /><Relationship Type="http://schemas.openxmlformats.org/officeDocument/2006/relationships/hyperlink" Id="rId151" Target="https://doi.org/10.3390/languages8010090" TargetMode="External" /><Relationship Type="http://schemas.openxmlformats.org/officeDocument/2006/relationships/hyperlink" Id="rId260" Target="https://doi.org/10.3758/s13423-016-1221-4" TargetMode="External" /><Relationship Type="http://schemas.openxmlformats.org/officeDocument/2006/relationships/hyperlink" Id="rId358" Target="https://doi.org/10.52294/apertureneuro.2022.2.maoc6465" TargetMode="External" /><Relationship Type="http://schemas.openxmlformats.org/officeDocument/2006/relationships/hyperlink" Id="rId165" Target="https://doi.org/10.5281/zenodo.21252669" TargetMode="External" /><Relationship Type="http://schemas.openxmlformats.org/officeDocument/2006/relationships/hyperlink" Id="rId163" Target="https://doi.org/10.5281/zenodo.21266308" TargetMode="External" /><Relationship Type="http://schemas.openxmlformats.org/officeDocument/2006/relationships/hyperlink" Id="rId130" Target="https://github.com/pablobernabeu/LESS-morphosyntactic-transfer" TargetMode="External" /><Relationship Type="http://schemas.openxmlformats.org/officeDocument/2006/relationships/hyperlink" Id="rId47" Target="https://orcid.org/0000-0001-5047-3226" TargetMode="External" /><Relationship Type="http://schemas.openxmlformats.org/officeDocument/2006/relationships/hyperlink" Id="rId35" Target="https://orcid.org/0000-0002-2275-209X" TargetMode="External" /><Relationship Type="http://schemas.openxmlformats.org/officeDocument/2006/relationships/hyperlink" Id="rId31" Target="https://orcid.org/0000-0002-5349-7036" TargetMode="External" /><Relationship Type="http://schemas.openxmlformats.org/officeDocument/2006/relationships/hyperlink" Id="rId43" Target="https://orcid.org/0000-0002-9357-4948" TargetMode="External" /><Relationship Type="http://schemas.openxmlformats.org/officeDocument/2006/relationships/hyperlink" Id="rId27" Target="https://orcid.org/0000-0003-1083-2460" TargetMode="External" /><Relationship Type="http://schemas.openxmlformats.org/officeDocument/2006/relationships/hyperlink" Id="rId39" Target="https://orcid.org/0009-0003-3936-6384" TargetMode="External" /><Relationship Type="http://schemas.openxmlformats.org/officeDocument/2006/relationships/hyperlink" Id="rId91" Target="https://osf.io/tjr54" TargetMode="External" /><Relationship Type="http://schemas.openxmlformats.org/officeDocument/2006/relationships/hyperlink" Id="rId129" Target="https://osf.io/tq7vy" TargetMode="External" /><Relationship Type="http://schemas.openxmlformats.org/officeDocument/2006/relationships/hyperlink" Id="rId31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LONGITUDINAL L3 MORPHOSYNTACTIC TRANSFER</dc:description>
  <cp:keywords>L3 acquisition, morphosyntactic transfer, ERP, artificial language, Bayesian multilevel models, retention</cp:keywords>
  <dcterms:created xsi:type="dcterms:W3CDTF">2026-09-07T23:05:03Z</dcterms:created>
  <dcterms:modified xsi:type="dcterms:W3CDTF">2026-09-07T23:05:03Z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Theories of third-language (L3) morphosyntactic transfer disagree over whether prior-language influence is wholesale or property-by-property, and are silent on how it consolidates. We tracked electrophysiological and behavioural signatures of three properties (subject–verb gender agreement, differential object marking, verb–object number agreement) as Norwegian–English bilinguals acquired Mini-English or Mini-Norwegian over four sessions, from the first post-training session to post-consolidation retention. Single-trial event-related potential (ERP) amplitudes and judgement accuracy were analysed in Bayesian multilevel models with informative priors. Gender agreement, whose Mini-Norwegian realisation aligns with the learners’ first language, produced a grammaticality effect that grew with training. In a refit that freed the retention session from that trend, the effect at retention did not depart credibly from the trend on average, but the two languages diverged credibly, the Mini-English estimate falling below the Mini-Norwegian one. Only the group difference is supported. Behaviourally, the same property favoured Mini-Norwegian learners, the design’s only first-language-congruent advantage. Differential object marking yielded a transient early effect, a late language-conditioned modulation and a behavioural decline at retention. Verb–object number agreement, novel to both prior languages, strengthened across the retention interval, and within groups only for Mini-Norwegian learners. In whole-scalp decoding, only gender agreement separated the conditions on a baseline at chance. Descriptively, no property’s pattern generalised to another, consistent with property-specific coding. Both novel properties showed source-language modulations of opposite sign, unexplained. The growth of the gender-agreement advantage across sessions favours a property-by-property account over a wholesale one, though one dissociating property leaves the conclusion provisional.</vt:lpwstr>
  </property>
  <property fmtid="{D5CDD505-2E9C-101B-9397-08002B2CF9AE}" pid="5" name="apaauthor">
    <vt:lpwstr/>
  </property>
  <property fmtid="{D5CDD505-2E9C-101B-9397-08002B2CF9AE}" pid="6" name="apatitle">
    <vt:lpwstr>The Neurocognition of Longitudinal L3 Morphosyntactic Transfer: A Bayesian Single-Trial ERP Study of Three Grammatical Properties in Two Artificial Languages</vt:lpwstr>
  </property>
  <property fmtid="{D5CDD505-2E9C-101B-9397-08002B2CF9AE}" pid="7" name="apatitledisplay">
    <vt:lpwstr>The Neurocognition of Longitudinal L3 Morphosyntactic Transfer: A Bayesian Single-Trial ERP Study of Three Grammatical Properties in Two Artificial Languages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source</vt:lpwstr>
  </property>
  <property fmtid="{D5CDD505-2E9C-101B-9397-08002B2CF9AE}" pid="18" name="engines">
    <vt:lpwstr/>
  </property>
  <property fmtid="{D5CDD505-2E9C-101B-9397-08002B2CF9AE}" pid="19" name="execute">
    <vt:lpwstr/>
  </property>
  <property fmtid="{D5CDD505-2E9C-101B-9397-08002B2CF9AE}" pid="20" name="fig-cap-location">
    <vt:lpwstr>top</vt:lpwstr>
  </property>
  <property fmtid="{D5CDD505-2E9C-101B-9397-08002B2CF9AE}" pid="21" name="floatsintext">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nitr">
    <vt:lpwstr/>
  </property>
  <property fmtid="{D5CDD505-2E9C-101B-9397-08002B2CF9AE}" pid="26" name="labels">
    <vt:lpwstr/>
  </property>
  <property fmtid="{D5CDD505-2E9C-101B-9397-08002B2CF9AE}" pid="27" name="language">
    <vt:lpwstr/>
  </property>
  <property fmtid="{D5CDD505-2E9C-101B-9397-08002B2CF9AE}" pid="28" name="link-citations">
    <vt:lpwstr>True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LONGITUDINAL L3 MORPHOSYNTACTIC TRANSFER</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18309</vt:lpwstr>
  </property>
  <property fmtid="{D5CDD505-2E9C-101B-9397-08002B2CF9AE}" pid="65" name="zerocitations">
    <vt:lpwstr>False</vt:lpwstr>
  </property>
</Properties>
</file>