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72.png" ContentType="image/png"/>
  <Override PartName="/word/media/rId14.png" ContentType="image/png"/>
  <Override PartName="/word/media/rId107.png" ContentType="image/png"/>
  <Override PartName="/word/media/rId52.png" ContentType="image/png"/>
  <Override PartName="/word/media/rId63.png" ContentType="image/png"/>
  <Override PartName="/word/media/rId56.png" ContentType="image/png"/>
  <Override PartName="/word/media/rId19.png" ContentType="image/png"/>
  <Override PartName="/word/media/rId27.png" ContentType="image/png"/>
  <Override PartName="/word/media/rId31.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Neurocognition of Longitudinal L3 Morphosyntactic Transfer: A Bayesian Single-Trial ERP Study of Three Grammatical Properties in Two Artificial Languages</w:t>
      </w:r>
    </w:p>
    <w:p>
      <w:pPr>
        <w:pStyle w:val="Author"/>
      </w:pPr>
      <w:r>
        <w:t xml:space="preserve">Pablo Bernabeu</w:t>
      </w:r>
    </w:p>
    <w:p>
      <w:pPr>
        <w:pStyle w:val="Author"/>
      </w:pPr>
      <w:r>
        <w:t xml:space="preserve">Christina Athanasiadi</w:t>
      </w:r>
    </w:p>
    <w:p>
      <w:pPr>
        <w:pStyle w:val="Author"/>
      </w:pPr>
      <w:r>
        <w:t xml:space="preserve">Stella L. Pischinger</w:t>
      </w:r>
    </w:p>
    <w:p>
      <w:pPr>
        <w:pStyle w:val="Author"/>
      </w:pPr>
      <w:r>
        <w:t xml:space="preserve">Gabriella Silva</w:t>
      </w:r>
    </w:p>
    <w:p>
      <w:pPr>
        <w:pStyle w:val="Author"/>
      </w:pPr>
      <w:r>
        <w:t xml:space="preserve">My Ngoc Giang Hoang</w:t>
      </w:r>
    </w:p>
    <w:p>
      <w:pPr>
        <w:pStyle w:val="Author"/>
      </w:pPr>
      <w:r>
        <w:t xml:space="preserve">Vincent DeLuca</w:t>
      </w:r>
    </w:p>
    <w:p>
      <w:pPr>
        <w:pStyle w:val="Author"/>
      </w:pPr>
      <w:r>
        <w:t xml:space="preserve">Jason Rothman</w:t>
      </w:r>
    </w:p>
    <w:p>
      <w:pPr>
        <w:pStyle w:val="Author"/>
      </w:pPr>
      <w:r>
        <w:t xml:space="preserve">Iva Ivanova</w:t>
      </w:r>
    </w:p>
    <w:p>
      <w:pPr>
        <w:pStyle w:val="Author"/>
      </w:pPr>
      <w:r>
        <w:t xml:space="preserve">Claudia Poch</w:t>
      </w:r>
    </w:p>
    <w:p>
      <w:pPr>
        <w:pStyle w:val="Author"/>
      </w:pPr>
      <w:r>
        <w:t xml:space="preserve">Jorge González Alonso</w:t>
      </w:r>
    </w:p>
    <w:p>
      <w:pPr>
        <w:pStyle w:val="AbstractTitle"/>
      </w:pPr>
      <w:r>
        <w:t xml:space="preserve">Abstract</w:t>
      </w:r>
    </w:p>
    <w:p>
      <w:pPr>
        <w:pStyle w:val="Abstract"/>
      </w:pPr>
      <w:r>
        <w:t xml:space="preserve">Theories of third-language (L3) morphosyntactic transfer disagree over whether</w:t>
      </w:r>
      <w:r>
        <w:t xml:space="preserve"> </w:t>
      </w:r>
      <w:r>
        <w:t xml:space="preserve">prior-language influence is wholesale or property-specific, and say little about</w:t>
      </w:r>
      <w:r>
        <w:t xml:space="preserve"> </w:t>
      </w:r>
      <w:r>
        <w:t xml:space="preserve">how it changes with experience. We tracked behavioural and electrophysiological</w:t>
      </w:r>
      <w:r>
        <w:t xml:space="preserve"> </w:t>
      </w:r>
      <w:r>
        <w:t xml:space="preserve">responses to three grammatical properties in 65</w:t>
      </w:r>
      <w:r>
        <w:t xml:space="preserve"> </w:t>
      </w:r>
      <w:r>
        <w:t xml:space="preserve">Norwegian–English bilinguals learning Mini-English or Mini-Norwegian across four</w:t>
      </w:r>
      <w:r>
        <w:t xml:space="preserve"> </w:t>
      </w:r>
      <w:r>
        <w:t xml:space="preserve">grammaticality-judgement sessions, including a post-consolidation retention test;</w:t>
      </w:r>
      <w:r>
        <w:t xml:space="preserve"> </w:t>
      </w:r>
      <w:r>
        <w:t xml:space="preserve">64 contributed usable judgement data and 63 usable ERP data. Single-trial ERP</w:t>
      </w:r>
      <w:r>
        <w:t xml:space="preserve"> </w:t>
      </w:r>
      <w:r>
        <w:t xml:space="preserve">amplitudes and judgement accuracy were analysed in Bayesian multilevel models, with</w:t>
      </w:r>
      <w:r>
        <w:t xml:space="preserve"> </w:t>
      </w:r>
      <w:r>
        <w:t xml:space="preserve">whole-scalp decoding used to test whether grammaticality was represented in</w:t>
      </w:r>
      <w:r>
        <w:t xml:space="preserve"> </w:t>
      </w:r>
      <w:r>
        <w:t xml:space="preserve">distributed activity. Gender agreement, whose Mini-Norwegian realisation matched</w:t>
      </w:r>
      <w:r>
        <w:t xml:space="preserve"> </w:t>
      </w:r>
      <w:r>
        <w:t xml:space="preserve">the first language, showed the clearest transfer signature: its ERP grammaticality</w:t>
      </w:r>
      <w:r>
        <w:t xml:space="preserve"> </w:t>
      </w:r>
      <w:r>
        <w:t xml:space="preserve">effect grew across sessions, and at retention the effect differed between</w:t>
      </w:r>
      <w:r>
        <w:t xml:space="preserve"> </w:t>
      </w:r>
      <w:r>
        <w:t xml:space="preserve">mini-languages, with the Mini-English estimate lower than the Mini-Norwegian</w:t>
      </w:r>
      <w:r>
        <w:t xml:space="preserve"> </w:t>
      </w:r>
      <w:r>
        <w:t xml:space="preserve">estimate. Behaviourally, this property also favoured Mini-Norwegian learners, the</w:t>
      </w:r>
      <w:r>
        <w:t xml:space="preserve"> </w:t>
      </w:r>
      <w:r>
        <w:t xml:space="preserve">only first-language-congruent advantage. Differential object marking showed a</w:t>
      </w:r>
      <w:r>
        <w:t xml:space="preserve"> </w:t>
      </w:r>
      <w:r>
        <w:t xml:space="preserve">transient early effect, a late language-conditioned modulation, and declining</w:t>
      </w:r>
      <w:r>
        <w:t xml:space="preserve"> </w:t>
      </w:r>
      <w:r>
        <w:t xml:space="preserve">accuracy at retention. Verb–object number agreement, novel to both prior languages,</w:t>
      </w:r>
      <w:r>
        <w:t xml:space="preserve"> </w:t>
      </w:r>
      <w:r>
        <w:t xml:space="preserve">strengthened across the retention interval, but only within Mini-Norwegian learners.</w:t>
      </w:r>
      <w:r>
        <w:t xml:space="preserve"> </w:t>
      </w:r>
      <w:r>
        <w:t xml:space="preserve">The two novel properties also showed source-language modulations of opposite sign,</w:t>
      </w:r>
      <w:r>
        <w:t xml:space="preserve"> </w:t>
      </w:r>
      <w:r>
        <w:t xml:space="preserve">which neither account explains. Whole-scalp decoding distinguished grammatical from</w:t>
      </w:r>
      <w:r>
        <w:t xml:space="preserve"> </w:t>
      </w:r>
      <w:r>
        <w:t xml:space="preserve">ungrammatical trials only for gender agreement. The three properties therefore</w:t>
      </w:r>
      <w:r>
        <w:t xml:space="preserve"> </w:t>
      </w:r>
      <w:r>
        <w:t xml:space="preserve">followed distinct trajectories, and the only first-language-congruent advantage</w:t>
      </w:r>
      <w:r>
        <w:t xml:space="preserve"> </w:t>
      </w:r>
      <w:r>
        <w:t xml:space="preserve">appeared where the artificial-language form matched Norwegian. These findings favour</w:t>
      </w:r>
      <w:r>
        <w:t xml:space="preserve"> </w:t>
      </w:r>
      <w:r>
        <w:t xml:space="preserve">property-specific over wholesale transfer, although the conclusion remains</w:t>
      </w:r>
      <w:r>
        <w:t xml:space="preserve"> </w:t>
      </w:r>
      <w:r>
        <w:t xml:space="preserve">provisional because only gender agreement clearly dissociated the accounts.</w:t>
      </w:r>
    </w:p>
    <w:p>
      <w:pPr>
        <w:pStyle w:val="FirstParagraph"/>
      </w:pPr>
      <w:r>
        <w:t xml:space="preserve">When multilingual speakers add a third or later language (L3/Ln), the grammars they</w:t>
      </w:r>
      <w:r>
        <w:t xml:space="preserve"> </w:t>
      </w:r>
      <w:r>
        <w:t xml:space="preserve">already command shape how its morphosyntax is represented and processed. How that prior knowledge is</w:t>
      </w:r>
      <w:r>
        <w:t xml:space="preserve"> </w:t>
      </w:r>
      <w:r>
        <w:t xml:space="preserve">recruited is the central question dividing contemporary models of L3</w:t>
      </w:r>
      <w:r>
        <w:t xml:space="preserve"> </w:t>
      </w:r>
      <w:r>
        <w:t xml:space="preserve">morphosyntactic transfer. Wholesale-transfer accounts hold that a single</w:t>
      </w:r>
      <w:r>
        <w:t xml:space="preserve"> </w:t>
      </w:r>
      <w:r>
        <w:t xml:space="preserve">previously acquired grammar is selected as the basis for the initial L3 grammar,</w:t>
      </w:r>
      <w:r>
        <w:t xml:space="preserve"> </w:t>
      </w:r>
      <w:r>
        <w:t xml:space="preserve">whether on typological grounds</w:t>
      </w:r>
      <w:r>
        <w:t xml:space="preserve"> </w:t>
      </w:r>
      <w:r>
        <w:t xml:space="preserve">(the Typological Primacy Model: Rothman 2011, 2015)</w:t>
      </w:r>
      <w:r>
        <w:t xml:space="preserve"> </w:t>
      </w:r>
      <w:r>
        <w:t xml:space="preserve">or because the second language enjoys a privileged cognitive status</w:t>
      </w:r>
      <w:r>
        <w:t xml:space="preserve"> </w:t>
      </w:r>
      <w:r>
        <w:t xml:space="preserve">(the L2 Status Factor: Bardel and Falk 2007; Falk and Bardel 2011)</w:t>
      </w:r>
      <w:r>
        <w:t xml:space="preserve">. Property-by-property accounts</w:t>
      </w:r>
      <w:r>
        <w:t xml:space="preserve"> </w:t>
      </w:r>
      <w:r>
        <w:t xml:space="preserve">predict instead that transfer is selective and incremental, with individual</w:t>
      </w:r>
      <w:r>
        <w:t xml:space="preserve"> </w:t>
      </w:r>
      <w:r>
        <w:t xml:space="preserve">structures transferred (and, where helpful,</w:t>
      </w:r>
      <w:r>
        <w:t xml:space="preserve"> </w:t>
      </w:r>
      <w:r>
        <w:t xml:space="preserve">“enhanced”</w:t>
      </w:r>
      <w:r>
        <w:t xml:space="preserve">) one at a time as the</w:t>
      </w:r>
      <w:r>
        <w:t xml:space="preserve"> </w:t>
      </w:r>
      <w:r>
        <w:t xml:space="preserve">learner detects structural similarity. The Linguistic Proximity Model</w:t>
      </w:r>
      <w:r>
        <w:t xml:space="preserve"> </w:t>
      </w:r>
      <w:r>
        <w:t xml:space="preserve">(Westergaard et al. 2017, 2023; Westergaard 2021)</w:t>
      </w:r>
      <w:r>
        <w:t xml:space="preserve">, the Scalpel Model</w:t>
      </w:r>
      <w:r>
        <w:t xml:space="preserve"> </w:t>
      </w:r>
      <w:r>
        <w:t xml:space="preserve">(Slabakova 2017)</w:t>
      </w:r>
      <w:r>
        <w:t xml:space="preserve"> </w:t>
      </w:r>
      <w:r>
        <w:t xml:space="preserve">and the Cumulative-Enhancement Model</w:t>
      </w:r>
      <w:r>
        <w:t xml:space="preserve"> </w:t>
      </w:r>
      <w:r>
        <w:t xml:space="preserve">(Flynn et al. 2004)</w:t>
      </w:r>
      <w:r>
        <w:t xml:space="preserve"> </w:t>
      </w:r>
      <w:r>
        <w:t xml:space="preserve">all take that form.</w:t>
      </w:r>
      <w:r>
        <w:t xml:space="preserve"> </w:t>
      </w:r>
      <w:r>
        <w:t xml:space="preserve">The wholesale position has recent defenders who raise conceptual and empirical objections</w:t>
      </w:r>
      <w:r>
        <w:t xml:space="preserve"> </w:t>
      </w:r>
      <w:r>
        <w:t xml:space="preserve">to selective transfer</w:t>
      </w:r>
      <w:r>
        <w:t xml:space="preserve"> </w:t>
      </w:r>
      <w:r>
        <w:t xml:space="preserve">(Schwartz and Sprouse 2021)</w:t>
      </w:r>
      <w:r>
        <w:t xml:space="preserve">, and initial-stage evidence from early</w:t>
      </w:r>
      <w:r>
        <w:t xml:space="preserve"> </w:t>
      </w:r>
      <w:r>
        <w:t xml:space="preserve">Catalan–Spanish bilinguals, whose performance on four properties was compatible with</w:t>
      </w:r>
      <w:r>
        <w:t xml:space="preserve"> </w:t>
      </w:r>
      <w:r>
        <w:t xml:space="preserve">Catalan as the single source of their initial English grammar, has been read as support</w:t>
      </w:r>
      <w:r>
        <w:t xml:space="preserve"> </w:t>
      </w:r>
      <w:r>
        <w:t xml:space="preserve">for it</w:t>
      </w:r>
      <w:r>
        <w:t xml:space="preserve"> </w:t>
      </w:r>
      <w:r>
        <w:t xml:space="preserve">(González Alonso et al. 2021)</w:t>
      </w:r>
      <w:r>
        <w:t xml:space="preserve">. Any test that discriminates between them requires (a) multiple, independently</w:t>
      </w:r>
      <w:r>
        <w:t xml:space="preserve"> </w:t>
      </w:r>
      <w:r>
        <w:t xml:space="preserve">manipulable grammatical properties, (b) a source language whose relationship to each</w:t>
      </w:r>
      <w:r>
        <w:t xml:space="preserve"> </w:t>
      </w:r>
      <w:r>
        <w:t xml:space="preserve">property is controlled, and (c) a temporal window long enough to watch transfer emerge</w:t>
      </w:r>
      <w:r>
        <w:t xml:space="preserve"> </w:t>
      </w:r>
      <w:r>
        <w:t xml:space="preserve">and to test whether what transferred is retained.</w:t>
      </w:r>
    </w:p>
    <w:bookmarkStart w:id="13" w:name="X444feecdf020f8e7f76d34fa2f0fed412dea1f0"/>
    <w:p>
      <w:pPr>
        <w:pStyle w:val="Heading2"/>
      </w:pPr>
      <w:r>
        <w:t xml:space="preserve">Electrophysiology of morphosyntactic processing</w:t>
      </w:r>
    </w:p>
    <w:p>
      <w:pPr>
        <w:pStyle w:val="FirstParagraph"/>
      </w:pPr>
      <w:r>
        <w:t xml:space="preserve">Event-related potentials (ERPs) provide a millisecond-resolution index of how the</w:t>
      </w:r>
      <w:r>
        <w:t xml:space="preserve"> </w:t>
      </w:r>
      <w:r>
        <w:t xml:space="preserve">brain responds to grammatical violations and are therefore well suited to</w:t>
      </w:r>
      <w:r>
        <w:t xml:space="preserve"> </w:t>
      </w:r>
      <w:r>
        <w:t xml:space="preserve">revealing the representations that underlie transfer before they surface in overt</w:t>
      </w:r>
      <w:r>
        <w:t xml:space="preserve"> </w:t>
      </w:r>
      <w:r>
        <w:t xml:space="preserve">behaviour. Most evidence on L3 morphosyntactic transfer has come from offline, untimed</w:t>
      </w:r>
      <w:r>
        <w:t xml:space="preserve"> </w:t>
      </w:r>
      <w:r>
        <w:t xml:space="preserve">acceptability judgements</w:t>
      </w:r>
      <w:r>
        <w:t xml:space="preserve"> </w:t>
      </w:r>
      <w:r>
        <w:t xml:space="preserve">(Puig-Mayenco et al. 2020; Skałba et al. 2026)</w:t>
      </w:r>
      <w:r>
        <w:t xml:space="preserve">. These index the outcome of</w:t>
      </w:r>
      <w:r>
        <w:t xml:space="preserve"> </w:t>
      </w:r>
      <w:r>
        <w:t xml:space="preserve">learning. They leave untouched the moment-to-moment processing that ERPs expose</w:t>
      </w:r>
      <w:r>
        <w:t xml:space="preserve"> </w:t>
      </w:r>
      <w:r>
        <w:t xml:space="preserve">(Angelovska and Roehm 2023; Rothman et al. 2015)</w:t>
      </w:r>
      <w:r>
        <w:t xml:space="preserve">. A single-trial ERP design therefore tests</w:t>
      </w:r>
      <w:r>
        <w:t xml:space="preserve"> </w:t>
      </w:r>
      <w:r>
        <w:t xml:space="preserve">directly whether source-language structure modulates online comprehension. Online</w:t>
      </w:r>
      <w:r>
        <w:t xml:space="preserve"> </w:t>
      </w:r>
      <w:r>
        <w:t xml:space="preserve">evidence has begun to appear. Eye-tracking in early learners of Norwegian shows</w:t>
      </w:r>
      <w:r>
        <w:t xml:space="preserve"> </w:t>
      </w:r>
      <w:r>
        <w:t xml:space="preserve">facilitative and non-facilitative influence from each prior language on different</w:t>
      </w:r>
      <w:r>
        <w:t xml:space="preserve"> </w:t>
      </w:r>
      <w:r>
        <w:t xml:space="preserve">properties</w:t>
      </w:r>
      <w:r>
        <w:t xml:space="preserve"> </w:t>
      </w:r>
      <w:r>
        <w:t xml:space="preserve">(Skałba et al. 2026)</w:t>
      </w:r>
      <w:r>
        <w:t xml:space="preserve">. The imbalance is visible in the literature itself</w:t>
      </w:r>
      <w:r>
        <w:t xml:space="preserve"> </w:t>
      </w:r>
      <w:r>
        <w:t xml:space="preserve">(</w:t>
      </w:r>
      <w:hyperlink w:anchor="fig-literature">
        <w:r>
          <w:rPr>
            <w:rStyle w:val="Hyperlink"/>
          </w:rPr>
          <w:t xml:space="preserve">Figure 1</w:t>
        </w:r>
      </w:hyperlink>
      <w:r>
        <w:t xml:space="preserve">). In all,</w:t>
      </w:r>
      <w:r>
        <w:t xml:space="preserve"> </w:t>
      </w:r>
      <w:r>
        <w:t xml:space="preserve">369 records on L3 transfer were indexed between</w:t>
      </w:r>
      <w:r>
        <w:t xml:space="preserve"> </w:t>
      </w:r>
      <w:r>
        <w:t xml:space="preserve">2005 and 2025. Of those, 50 used</w:t>
      </w:r>
      <w:r>
        <w:t xml:space="preserve"> </w:t>
      </w:r>
      <w:r>
        <w:t xml:space="preserve">acceptability or grammaticality judgements and 5</w:t>
      </w:r>
      <w:r>
        <w:t xml:space="preserve"> </w:t>
      </w:r>
      <w:r>
        <w:t xml:space="preserve">used electrophysiology, a ratio of roughly 10 to one. The field has grown steadily while its</w:t>
      </w:r>
      <w:r>
        <w:t xml:space="preserve"> </w:t>
      </w:r>
      <w:r>
        <w:t xml:space="preserve">electrophysiological base has not.</w:t>
      </w:r>
    </w:p>
    <w:tbl>
      <w:tblPr>
        <w:tblStyle w:val="Table"/>
        <w:tblW w:type="pct" w:w="5000"/>
        <w:tblLayout w:type="fixed"/>
        <w:tblLook w:firstRow="0" w:lastRow="0" w:firstColumn="0" w:lastColumn="0" w:noHBand="0" w:noVBand="0" w:val="0000"/>
      </w:tblPr>
      <w:tblGrid>
        <w:gridCol w:w="7920"/>
      </w:tblGrid>
      <w:tr>
        <w:tc>
          <w:tcPr/>
          <w:bookmarkStart w:id="12" w:name="fig-literature"/>
          <w:p>
            <w:pPr>
              <w:pStyle w:val="Compact"/>
              <w:jc w:val="center"/>
            </w:pPr>
            <w:r>
              <w:drawing>
                <wp:inline>
                  <wp:extent cx="5334000" cy="2461846"/>
                  <wp:effectExtent b="0" l="0" r="0" t="0"/>
                  <wp:docPr descr="" title="" id="10" name="Picture"/>
                  <a:graphic>
                    <a:graphicData uri="http://schemas.openxmlformats.org/drawingml/2006/picture">
                      <pic:pic>
                        <pic:nvPicPr>
                          <pic:cNvPr descr="paper_1_morphosyntax_files/figure-docx/fig-literature-1.png" id="11" name="Picture"/>
                          <pic:cNvPicPr>
                            <a:picLocks noChangeArrowheads="1" noChangeAspect="1"/>
                          </pic:cNvPicPr>
                        </pic:nvPicPr>
                        <pic:blipFill>
                          <a:blip r:embed="rId9"/>
                          <a:stretch>
                            <a:fillRect/>
                          </a:stretch>
                        </pic:blipFill>
                        <pic:spPr bwMode="auto">
                          <a:xfrm>
                            <a:off x="0" y="0"/>
                            <a:ext cx="5334000" cy="24618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Methodological Composition of the L3 Morphosyntactic-Transfer Literature Indexed in Scopus, by Publication Year</w:t>
            </w:r>
          </w:p>
          <w:bookmarkEnd w:id="12"/>
        </w:tc>
      </w:tr>
    </w:tbl>
    <w:p>
      <w:pPr>
        <w:pStyle w:val="BodyText"/>
      </w:pPr>
      <w:r>
        <w:t xml:space="preserve">Three components are relevant here. The left-anterior negativity (LAN) is often linked to</w:t>
      </w:r>
      <w:r>
        <w:t xml:space="preserve"> </w:t>
      </w:r>
      <w:r>
        <w:t xml:space="preserve">automatic morphosyntactic agreement checking. The N400, a negativity sensitive to</w:t>
      </w:r>
      <w:r>
        <w:t xml:space="preserve"> </w:t>
      </w:r>
      <w:r>
        <w:t xml:space="preserve">lexical–semantic and thematic integration</w:t>
      </w:r>
      <w:r>
        <w:t xml:space="preserve"> </w:t>
      </w:r>
      <w:r>
        <w:t xml:space="preserve">(Frisch and Schlesewsky 2001; Nieuwland et al. 2013)</w:t>
      </w:r>
      <w:r>
        <w:t xml:space="preserve">, also marks the</w:t>
      </w:r>
      <w:r>
        <w:t xml:space="preserve"> </w:t>
      </w:r>
      <w:r>
        <w:t xml:space="preserve">early stages of morphosyntactic learning, before a late positivity emerges with rising</w:t>
      </w:r>
      <w:r>
        <w:t xml:space="preserve"> </w:t>
      </w:r>
      <w:r>
        <w:t xml:space="preserve">proficiency</w:t>
      </w:r>
      <w:r>
        <w:t xml:space="preserve"> </w:t>
      </w:r>
      <w:r>
        <w:t xml:space="preserve">(Osterhout et al. 2006)</w:t>
      </w:r>
      <w:r>
        <w:t xml:space="preserve">. That later positivity is the P600, first reported for words</w:t>
      </w:r>
      <w:r>
        <w:t xml:space="preserve"> </w:t>
      </w:r>
      <w:r>
        <w:t xml:space="preserve">inconsistent with the preferred syntactic analysis</w:t>
      </w:r>
      <w:r>
        <w:t xml:space="preserve"> </w:t>
      </w:r>
      <w:r>
        <w:t xml:space="preserve">(Osterhout and Holcomb 1992)</w:t>
      </w:r>
      <w:r>
        <w:t xml:space="preserve">. Over</w:t>
      </w:r>
      <w:r>
        <w:t xml:space="preserve"> </w:t>
      </w:r>
      <w:r>
        <w:t xml:space="preserve">centro-posterior sites, it has since been associated with syntactic reanalysis and repair,</w:t>
      </w:r>
      <w:r>
        <w:t xml:space="preserve"> </w:t>
      </w:r>
      <w:r>
        <w:t xml:space="preserve">and with the late integration of syntactic and semantic information</w:t>
      </w:r>
      <w:r>
        <w:t xml:space="preserve"> </w:t>
      </w:r>
      <w:r>
        <w:t xml:space="preserve">(Friederici 2002; Friederici et al. 2002)</w:t>
      </w:r>
      <w:r>
        <w:t xml:space="preserve">. These map onto the three latency windows</w:t>
      </w:r>
      <w:r>
        <w:t xml:space="preserve"> </w:t>
      </w:r>
      <w:r>
        <w:t xml:space="preserve">analysed here (200–500, 300–600 and 400–900 ms). Training studies show that the brain’s response to</w:t>
      </w:r>
      <w:r>
        <w:t xml:space="preserve"> </w:t>
      </w:r>
      <w:r>
        <w:t xml:space="preserve">second-language violations becomes more native-like as proficiency increases</w:t>
      </w:r>
      <w:r>
        <w:t xml:space="preserve"> </w:t>
      </w:r>
      <w:r>
        <w:t xml:space="preserve">(Morgan-Short, Steinhauer, et al. 2012)</w:t>
      </w:r>
      <w:r>
        <w:t xml:space="preserve">, and again across a consolidation</w:t>
      </w:r>
      <w:r>
        <w:t xml:space="preserve"> </w:t>
      </w:r>
      <w:r>
        <w:t xml:space="preserve">interval containing no further exposure</w:t>
      </w:r>
      <w:r>
        <w:t xml:space="preserve"> </w:t>
      </w:r>
      <w:r>
        <w:t xml:space="preserve">(Morgan-Short, Finger, et al. 2012)</w:t>
      </w:r>
      <w:r>
        <w:t xml:space="preserve">, with negativities and</w:t>
      </w:r>
      <w:r>
        <w:t xml:space="preserve"> </w:t>
      </w:r>
      <w:r>
        <w:t xml:space="preserve">P600s emerging or shifting over time. Native speakers</w:t>
      </w:r>
      <w:r>
        <w:t xml:space="preserve"> </w:t>
      </w:r>
      <w:r>
        <w:t xml:space="preserve">(Tanner and Van Hell 2014)</w:t>
      </w:r>
      <w:r>
        <w:t xml:space="preserve"> </w:t>
      </w:r>
      <w:r>
        <w:t xml:space="preserve">and learners</w:t>
      </w:r>
      <w:r>
        <w:t xml:space="preserve"> </w:t>
      </w:r>
      <w:r>
        <w:t xml:space="preserve">(Tanner et al. 2013)</w:t>
      </w:r>
      <w:r>
        <w:t xml:space="preserve"> </w:t>
      </w:r>
      <w:r>
        <w:t xml:space="preserve">also differ systematically from one another in whether they recruit a more</w:t>
      </w:r>
      <w:r>
        <w:t xml:space="preserve"> </w:t>
      </w:r>
      <w:r>
        <w:t xml:space="preserve">negativity-dominated or a more P600-dominated response. Artificial-language paradigms, in</w:t>
      </w:r>
      <w:r>
        <w:t xml:space="preserve"> </w:t>
      </w:r>
      <w:r>
        <w:t xml:space="preserve">which the input is fully controlled, have been particularly valuable for isolating</w:t>
      </w:r>
      <w:r>
        <w:t xml:space="preserve"> </w:t>
      </w:r>
      <w:r>
        <w:t xml:space="preserve">these dynamics from the confounds of natural-language exposure</w:t>
      </w:r>
      <w:r>
        <w:t xml:space="preserve"> </w:t>
      </w:r>
      <w:r>
        <w:t xml:space="preserve">(González Alonso et al. 2020; Friederici et al. 2002)</w:t>
      </w:r>
      <w:r>
        <w:t xml:space="preserve">. Bilinguals learning such a language show a</w:t>
      </w:r>
      <w:r>
        <w:t xml:space="preserve"> </w:t>
      </w:r>
      <w:r>
        <w:t xml:space="preserve">P600 to syntactic violations at a lower proficiency than monolinguals do</w:t>
      </w:r>
      <w:r>
        <w:t xml:space="preserve"> </w:t>
      </w:r>
      <w:r>
        <w:t xml:space="preserve">(Grey et al. 2018)</w:t>
      </w:r>
      <w:r>
        <w:t xml:space="preserve">.</w:t>
      </w:r>
    </w:p>
    <w:p>
      <w:pPr>
        <w:pStyle w:val="BodyText"/>
      </w:pPr>
      <w:r>
        <w:t xml:space="preserve">The closest antecedent to the present design is the artificial-language L3 ERP work of</w:t>
      </w:r>
      <w:r>
        <w:t xml:space="preserve"> </w:t>
      </w:r>
      <w:r>
        <w:t xml:space="preserve">González Alonso et al. (2020)</w:t>
      </w:r>
      <w:r>
        <w:t xml:space="preserve">. Its findings shape both our predictions and our reading of the</w:t>
      </w:r>
      <w:r>
        <w:t xml:space="preserve"> </w:t>
      </w:r>
      <w:r>
        <w:t xml:space="preserve">results, so we set them out in full. Fifty first-language-Spanish, second-language-English</w:t>
      </w:r>
      <w:r>
        <w:t xml:space="preserve"> </w:t>
      </w:r>
      <w:r>
        <w:t xml:space="preserve">bilinguals were given implicit training on one of two miniature languages, built on</w:t>
      </w:r>
      <w:r>
        <w:t xml:space="preserve"> </w:t>
      </w:r>
      <w:r>
        <w:t xml:space="preserve">English and Spanish lexicons, and their ERPs to gender-agreement violations were recorded</w:t>
      </w:r>
      <w:r>
        <w:t xml:space="preserve"> </w:t>
      </w:r>
      <w:r>
        <w:t xml:space="preserve">at first exposure. They named their two languages after those lexicons, and we refer to</w:t>
      </w:r>
      <w:r>
        <w:t xml:space="preserve"> </w:t>
      </w:r>
      <w:r>
        <w:t xml:space="preserve">their groups by lexicon throughout, so that neither is confused with our own Mini-English</w:t>
      </w:r>
      <w:r>
        <w:t xml:space="preserve"> </w:t>
      </w:r>
      <w:r>
        <w:t xml:space="preserve">and Mini-Norwegian conditions. The two groups responded differently. In their</w:t>
      </w:r>
      <w:r>
        <w:t xml:space="preserve"> </w:t>
      </w:r>
      <w:r>
        <w:t xml:space="preserve">English-lexicon language, violations elicited an early (200–500 ms) fronto-lateral</w:t>
      </w:r>
      <w:r>
        <w:t xml:space="preserve"> </w:t>
      </w:r>
      <w:r>
        <w:t xml:space="preserve">negativity, confined to electrodes in the right-anterior region and followed by nothing in</w:t>
      </w:r>
      <w:r>
        <w:t xml:space="preserve"> </w:t>
      </w:r>
      <w:r>
        <w:t xml:space="preserve">later windows. In their Spanish-lexicon language, they elicited a broadly distributed</w:t>
      </w:r>
      <w:r>
        <w:t xml:space="preserve"> </w:t>
      </w:r>
      <w:r>
        <w:t xml:space="preserve">positivity at 300–600 ms. Neither group produced a P600 or</w:t>
      </w:r>
      <w:r>
        <w:t xml:space="preserve"> </w:t>
      </w:r>
      <w:r>
        <w:t xml:space="preserve">any other canonical index of grammatical processing. The authors read the between-group</w:t>
      </w:r>
      <w:r>
        <w:t xml:space="preserve"> </w:t>
      </w:r>
      <w:r>
        <w:t xml:space="preserve">difference as differential allocation of attention, driven by each miniature language’s</w:t>
      </w:r>
      <w:r>
        <w:t xml:space="preserve"> </w:t>
      </w:r>
      <w:r>
        <w:t xml:space="preserve">lexical similarity to a prior grammar, and therefore as a precursor of source selection,</w:t>
      </w:r>
      <w:r>
        <w:t xml:space="preserve"> </w:t>
      </w:r>
      <w:r>
        <w:t xml:space="preserve">not as grammatical processing itself. The present study extends that logic in</w:t>
      </w:r>
      <w:r>
        <w:t xml:space="preserve"> </w:t>
      </w:r>
      <w:r>
        <w:t xml:space="preserve">three ways. It goes beyond first exposure, tracking each property across up to four</w:t>
      </w:r>
      <w:r>
        <w:t xml:space="preserve"> </w:t>
      </w:r>
      <w:r>
        <w:t xml:space="preserve">sessions, and it manipulates three properties whose relation to the prior grammars</w:t>
      </w:r>
      <w:r>
        <w:t xml:space="preserve"> </w:t>
      </w:r>
      <w:r>
        <w:t xml:space="preserve">differs within the same learners. It also closes with an unrehearsed retention test</w:t>
      </w:r>
      <w:r>
        <w:t xml:space="preserve"> </w:t>
      </w:r>
      <w:r>
        <w:t xml:space="preserve">after months without exposure, so the durability of what transferred can be measured.</w:t>
      </w:r>
      <w:r>
        <w:t xml:space="preserve"> </w:t>
      </w:r>
      <w:r>
        <w:t xml:space="preserve">Whether the initial-exposure pattern of</w:t>
      </w:r>
      <w:r>
        <w:t xml:space="preserve"> </w:t>
      </w:r>
      <w:r>
        <w:t xml:space="preserve">González Alonso et al. (2020)</w:t>
      </w:r>
      <w:r>
        <w:t xml:space="preserve"> </w:t>
      </w:r>
      <w:r>
        <w:t xml:space="preserve">reappears under these</w:t>
      </w:r>
      <w:r>
        <w:t xml:space="preserve"> </w:t>
      </w:r>
      <w:r>
        <w:t xml:space="preserve">conditions is itself an empirical question, taken up in the Discussion.</w:t>
      </w:r>
    </w:p>
    <w:p>
      <w:pPr>
        <w:pStyle w:val="BodyText"/>
      </w:pPr>
      <w:r>
        <w:t xml:space="preserve">Two behavioural studies share more of the present materials. Each trained speakers on a</w:t>
      </w:r>
      <w:r>
        <w:t xml:space="preserve"> </w:t>
      </w:r>
      <w:r>
        <w:t xml:space="preserve">miniature language with a Norwegian lexicon and a case system, a property Norwegian</w:t>
      </w:r>
      <w:r>
        <w:t xml:space="preserve"> </w:t>
      </w:r>
      <w:r>
        <w:t xml:space="preserve">lacks. Prior knowledge of a case language eased acquisition even though the lexicon</w:t>
      </w:r>
      <w:r>
        <w:t xml:space="preserve"> </w:t>
      </w:r>
      <w:r>
        <w:t xml:space="preserve">pointed to Norwegian, but only where that language and the miniature language marked case</w:t>
      </w:r>
      <w:r>
        <w:t xml:space="preserve"> </w:t>
      </w:r>
      <w:r>
        <w:t xml:space="preserve">in the same overt form, on the noun</w:t>
      </w:r>
      <w:r>
        <w:t xml:space="preserve"> </w:t>
      </w:r>
      <w:r>
        <w:t xml:space="preserve">(Mitrofanova et al. 2023; Castle et al. 2026)</w:t>
      </w:r>
      <w:r>
        <w:t xml:space="preserve">. Greek, which marks</w:t>
      </w:r>
      <w:r>
        <w:t xml:space="preserve"> </w:t>
      </w:r>
      <w:r>
        <w:t xml:space="preserve">case on the determiner, gave no such advantage in the first study, and the second found</w:t>
      </w:r>
      <w:r>
        <w:t xml:space="preserve"> </w:t>
      </w:r>
      <w:r>
        <w:t xml:space="preserve">the advantage subject to word-order bias and proficiency. The overt realisation of a</w:t>
      </w:r>
      <w:r>
        <w:t xml:space="preserve"> </w:t>
      </w:r>
      <w:r>
        <w:t xml:space="preserve">property conditioned its transfer, and the present gender manipulation varies exactly</w:t>
      </w:r>
      <w:r>
        <w:t xml:space="preserve"> </w:t>
      </w:r>
      <w:r>
        <w:t xml:space="preserve">that realisation between the two miniature languages. Recent syntheses of the transfer</w:t>
      </w:r>
      <w:r>
        <w:t xml:space="preserve"> </w:t>
      </w:r>
      <w:r>
        <w:t xml:space="preserve">literature draw attention to the methodological choices that constrain what its findings</w:t>
      </w:r>
      <w:r>
        <w:t xml:space="preserve"> </w:t>
      </w:r>
      <w:r>
        <w:t xml:space="preserve">can show</w:t>
      </w:r>
      <w:r>
        <w:t xml:space="preserve"> </w:t>
      </w:r>
      <w:r>
        <w:t xml:space="preserve">(Puig-Mayenco et al. 2020; Rothman et al. 2019; Alonso et al. 2026)</w:t>
      </w:r>
      <w:r>
        <w:t xml:space="preserve">, and longitudinal and</w:t>
      </w:r>
      <w:r>
        <w:t xml:space="preserve"> </w:t>
      </w:r>
      <w:r>
        <w:t xml:space="preserve">electrophysiological evidence remains among its scarcest. An ERP successor to</w:t>
      </w:r>
      <w:r>
        <w:t xml:space="preserve"> </w:t>
      </w:r>
      <w:r>
        <w:t xml:space="preserve">González Alonso et al. (2020)</w:t>
      </w:r>
      <w:r>
        <w:t xml:space="preserve"> </w:t>
      </w:r>
      <w:r>
        <w:t xml:space="preserve">trained heritage and second-language bilinguals on a Latin</w:t>
      </w:r>
      <w:r>
        <w:t xml:space="preserve"> </w:t>
      </w:r>
      <w:r>
        <w:t xml:space="preserve">mini-grammar and found violation responses that no current model had predicted, an</w:t>
      </w:r>
      <w:r>
        <w:t xml:space="preserve"> </w:t>
      </w:r>
      <w:r>
        <w:t xml:space="preserve">outcome its authors took as a question about the paradigm itself</w:t>
      </w:r>
      <w:r>
        <w:t xml:space="preserve"> </w:t>
      </w:r>
      <w:r>
        <w:t xml:space="preserve">(Pereira Soares et al. 2022)</w:t>
      </w:r>
      <w:r>
        <w:t xml:space="preserve">.</w:t>
      </w:r>
      <w:r>
        <w:t xml:space="preserve"> </w:t>
      </w:r>
      <w:r>
        <w:t xml:space="preserve">The recurring objection to miniature languages is that a</w:t>
      </w:r>
      <w:r>
        <w:t xml:space="preserve"> </w:t>
      </w:r>
      <w:r>
        <w:t xml:space="preserve">grammar acquired in hours may not engage the mechanisms of natural morphosyntax. This</w:t>
      </w:r>
      <w:r>
        <w:t xml:space="preserve"> </w:t>
      </w:r>
      <w:r>
        <w:t xml:space="preserve">literature answers it with the finding that artificial-language learners, once</w:t>
      </w:r>
      <w:r>
        <w:t xml:space="preserve"> </w:t>
      </w:r>
      <w:r>
        <w:t xml:space="preserve">sufficiently proficient, show qualitatively native-like violation responses</w:t>
      </w:r>
      <w:r>
        <w:t xml:space="preserve"> </w:t>
      </w:r>
      <w:r>
        <w:t xml:space="preserve">(Morgan-Short, Steinhauer, et al. 2012; Friederici et al. 2002)</w:t>
      </w:r>
      <w:r>
        <w:t xml:space="preserve">. What the design buys in exchange is exact</w:t>
      </w:r>
      <w:r>
        <w:t xml:space="preserve"> </w:t>
      </w:r>
      <w:r>
        <w:t xml:space="preserve">control over every learner’s input history, which no natural-language design can offer.</w:t>
      </w:r>
    </w:p>
    <w:bookmarkEnd w:id="13"/>
    <w:bookmarkStart w:id="18" w:name="the-present-study"/>
    <w:p>
      <w:pPr>
        <w:pStyle w:val="Heading2"/>
      </w:pPr>
      <w:r>
        <w:t xml:space="preserve">The present study</w:t>
      </w:r>
    </w:p>
    <w:p>
      <w:pPr>
        <w:pStyle w:val="FirstParagraph"/>
      </w:pPr>
      <w:r>
        <w:t xml:space="preserve">We exploit a controlled artificial-language design to test predictions that separate</w:t>
      </w:r>
      <w:r>
        <w:t xml:space="preserve"> </w:t>
      </w:r>
      <w:r>
        <w:t xml:space="preserve">wholesale from property-by-property transfer, and to characterise the time course</w:t>
      </w:r>
      <w:r>
        <w:t xml:space="preserve"> </w:t>
      </w:r>
      <w:r>
        <w:t xml:space="preserve">of transfer from the first post-training session through post-training retention.</w:t>
      </w:r>
      <w:r>
        <w:t xml:space="preserve"> </w:t>
      </w:r>
      <w:r>
        <w:t xml:space="preserve">Norwegian–English bilinguals (first language Norwegian, second language English) acquired</w:t>
      </w:r>
      <w:r>
        <w:t xml:space="preserve"> </w:t>
      </w:r>
      <w:r>
        <w:t xml:space="preserve">one of two miniature languages, Mini-English or Mini-Norwegian. Within each language, we</w:t>
      </w:r>
      <w:r>
        <w:t xml:space="preserve"> </w:t>
      </w:r>
      <w:r>
        <w:t xml:space="preserve">manipulated three morphosyntactic properties that vary in their relationship to the</w:t>
      </w:r>
      <w:r>
        <w:t xml:space="preserve"> </w:t>
      </w:r>
      <w:r>
        <w:t xml:space="preserve">learners’ existing grammars: subject–verb gender agreement, differential object marking</w:t>
      </w:r>
      <w:r>
        <w:t xml:space="preserve"> </w:t>
      </w:r>
      <w:r>
        <w:t xml:space="preserve">and verb–object number agreement. The two languages share their morphemes but differ in</w:t>
      </w:r>
      <w:r>
        <w:t xml:space="preserve"> </w:t>
      </w:r>
      <w:r>
        <w:t xml:space="preserve">how they realise each property. Mini-Norwegian expresses gender agreement</w:t>
      </w:r>
      <w:r>
        <w:t xml:space="preserve"> </w:t>
      </w:r>
      <w:r>
        <w:t xml:space="preserve">through a suffixed determiner, as Norwegian does, whereas Mini-English uses an English-like</w:t>
      </w:r>
      <w:r>
        <w:t xml:space="preserve"> </w:t>
      </w:r>
      <w:r>
        <w:t xml:space="preserve">free determiner. The same property therefore aligns with the first language for one</w:t>
      </w:r>
      <w:r>
        <w:t xml:space="preserve"> </w:t>
      </w:r>
      <w:r>
        <w:t xml:space="preserve">group only (see Method).</w:t>
      </w:r>
    </w:p>
    <w:p>
      <w:pPr>
        <w:pStyle w:val="BodyText"/>
      </w:pPr>
      <w:r>
        <w:t xml:space="preserve">Single-trial ERPs and grammaticality judgements were collected across four</w:t>
      </w:r>
      <w:r>
        <w:t xml:space="preserve"> </w:t>
      </w:r>
      <w:r>
        <w:t xml:space="preserve">laboratory sessions (Sessions 2, 3, 4 and 6) that trace the learning trajectory</w:t>
      </w:r>
      <w:r>
        <w:t xml:space="preserve"> </w:t>
      </w:r>
      <w:r>
        <w:t xml:space="preserve">from the first post-training session to a post-consolidation retention test. The properties</w:t>
      </w:r>
      <w:r>
        <w:t xml:space="preserve"> </w:t>
      </w:r>
      <w:r>
        <w:t xml:space="preserve">enter the design at different points (gender agreement from Session 2,</w:t>
      </w:r>
      <w:r>
        <w:t xml:space="preserve"> </w:t>
      </w:r>
      <w:r>
        <w:t xml:space="preserve">differential object marking from Session 3 and verb–object number agreement from</w:t>
      </w:r>
      <w:r>
        <w:t xml:space="preserve"> </w:t>
      </w:r>
      <w:r>
        <w:t xml:space="preserve">Session 4), yielding a cumulative, property-by-property exposure schedule (</w:t>
      </w:r>
      <w:hyperlink w:anchor="fig-design">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design"/>
          <w:p>
            <w:pPr>
              <w:pStyle w:val="Compact"/>
              <w:jc w:val="center"/>
            </w:pPr>
            <w:r>
              <w:drawing>
                <wp:inline>
                  <wp:extent cx="5334000" cy="2376365"/>
                  <wp:effectExtent b="0" l="0" r="0" t="0"/>
                  <wp:docPr descr="" title="" id="15" name="Picture"/>
                  <a:graphic>
                    <a:graphicData uri="http://schemas.openxmlformats.org/drawingml/2006/picture">
                      <pic:pic>
                        <pic:nvPicPr>
                          <pic:cNvPr descr="paper_1_morphosyntax_files/figure-docx/fig-design-1.png" id="16" name="Picture"/>
                          <pic:cNvPicPr>
                            <a:picLocks noChangeArrowheads="1" noChangeAspect="1"/>
                          </pic:cNvPicPr>
                        </pic:nvPicPr>
                        <pic:blipFill>
                          <a:blip r:embed="rId14"/>
                          <a:stretch>
                            <a:fillRect/>
                          </a:stretch>
                        </pic:blipFill>
                        <pic:spPr bwMode="auto">
                          <a:xfrm>
                            <a:off x="0" y="0"/>
                            <a:ext cx="5334000" cy="23763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Exposure and Measurement Schedule</w:t>
            </w:r>
          </w:p>
          <w:bookmarkEnd w:id="17"/>
        </w:tc>
      </w:tr>
    </w:tbl>
    <w:p>
      <w:pPr>
        <w:pStyle w:val="BodyText"/>
      </w:pPr>
      <w:r>
        <w:t xml:space="preserve">Three quantities operationalise our hypotheses. The grammaticality effect</w:t>
      </w:r>
      <w:r>
        <w:t xml:space="preserve"> </w:t>
      </w:r>
      <w:r>
        <w:t xml:space="preserve">(the amplitude or accuracy difference between ungrammatical and grammatical trials)</w:t>
      </w:r>
      <w:r>
        <w:t xml:space="preserve"> </w:t>
      </w:r>
      <w:r>
        <w:t xml:space="preserve">indexes whether a property is processed grammatically at all. The</w:t>
      </w:r>
      <w:r>
        <w:t xml:space="preserve"> </w:t>
      </w:r>
      <w:r>
        <w:t xml:space="preserve">grammaticality</w:t>
      </w:r>
      <w:r>
        <w:t xml:space="preserve"> </w:t>
      </w:r>
      <m:oMath>
        <m:r>
          <m:rPr>
            <m:sty m:val="p"/>
          </m:rPr>
          <m:t>×</m:t>
        </m:r>
      </m:oMath>
      <w:r>
        <w:t xml:space="preserve"> </w:t>
      </w:r>
      <w:r>
        <w:t xml:space="preserve">session interaction indexes</w:t>
      </w:r>
      <w:r>
        <w:t xml:space="preserve"> </w:t>
      </w:r>
      <w:r>
        <w:rPr>
          <w:i/>
          <w:iCs/>
        </w:rPr>
        <w:t xml:space="preserve">learning</w:t>
      </w:r>
      <w:r>
        <w:t xml:space="preserve">: the sharpening of</w:t>
      </w:r>
      <w:r>
        <w:t xml:space="preserve"> </w:t>
      </w:r>
      <w:r>
        <w:t xml:space="preserve">that effect with exposure. Its modulation by language,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term, indexes</w:t>
      </w:r>
      <w:r>
        <w:t xml:space="preserve"> </w:t>
      </w:r>
      <w:r>
        <w:rPr>
          <w:i/>
          <w:iCs/>
        </w:rPr>
        <w:t xml:space="preserve">source-language transfer</w:t>
      </w:r>
      <w:r>
        <w:t xml:space="preserve">, whether learning is</w:t>
      </w:r>
      <w:r>
        <w:t xml:space="preserve"> </w:t>
      </w:r>
      <w:r>
        <w:t xml:space="preserve">faster or stronger for the language whose prior structures align with the target</w:t>
      </w:r>
      <w:r>
        <w:t xml:space="preserve"> </w:t>
      </w:r>
      <w:r>
        <w:t xml:space="preserve">property. A derived Session 4</w:t>
      </w:r>
      <w:r>
        <w:t xml:space="preserve"> </w:t>
      </w:r>
      <m:oMath>
        <m:r>
          <m:rPr>
            <m:sty m:val="p"/>
          </m:rPr>
          <m:t>→</m:t>
        </m:r>
      </m:oMath>
      <w:r>
        <w:t xml:space="preserve"> </w:t>
      </w:r>
      <w:r>
        <w:t xml:space="preserve">Session 6 contrast then indexes how the</w:t>
      </w:r>
      <w:r>
        <w:t xml:space="preserve"> </w:t>
      </w:r>
      <w:r>
        <w:t xml:space="preserve">grammaticality effect changes across the consolidation interval. The language advantage</w:t>
      </w:r>
      <w:r>
        <w:t xml:space="preserve"> </w:t>
      </w:r>
      <w:r>
        <w:t xml:space="preserve">evaluated at a property’s first session, derived from the same draws, indexes whether</w:t>
      </w:r>
      <w:r>
        <w:t xml:space="preserve"> </w:t>
      </w:r>
      <w:r>
        <w:t xml:space="preserve">that advantage was in place when the property was first probed.</w:t>
      </w:r>
    </w:p>
    <w:p>
      <w:pPr>
        <w:pStyle w:val="BodyText"/>
      </w:pPr>
      <w:r>
        <w:t xml:space="preserve">The transfer accounts make no prediction about the retention interval, since they</w:t>
      </w:r>
      <w:r>
        <w:t xml:space="preserve"> </w:t>
      </w:r>
      <w:r>
        <w:t xml:space="preserve">concern the initial state and the course of acquisition. The expectation for that</w:t>
      </w:r>
      <w:r>
        <w:t xml:space="preserve"> </w:t>
      </w:r>
      <w:r>
        <w:t xml:space="preserve">interval comes from the training literature cited above, in which a grammaticality</w:t>
      </w:r>
      <w:r>
        <w:t xml:space="preserve"> </w:t>
      </w:r>
      <w:r>
        <w:t xml:space="preserve">response that has emerged during training holds or grows across months without exposure</w:t>
      </w:r>
      <w:r>
        <w:t xml:space="preserve"> </w:t>
      </w:r>
      <w:r>
        <w:t xml:space="preserve">(Morgan-Short, Finger, et al. 2012)</w:t>
      </w:r>
      <w:r>
        <w:t xml:space="preserve">. If transfer is property-specific, that profile may differ</w:t>
      </w:r>
      <w:r>
        <w:t xml:space="preserve"> </w:t>
      </w:r>
      <w:r>
        <w:t xml:space="preserve">between the property with a first-language analogue and the two without. The retention</w:t>
      </w:r>
      <w:r>
        <w:t xml:space="preserve"> </w:t>
      </w:r>
      <w:r>
        <w:t xml:space="preserve">contrasts therefore characterise the trajectory. They do not test between the accounts.</w:t>
      </w:r>
    </w:p>
    <w:p>
      <w:pPr>
        <w:pStyle w:val="BodyText"/>
      </w:pPr>
      <w:r>
        <w:t xml:space="preserve">The two families of account are separated here by which prior grammar each engages and</w:t>
      </w:r>
      <w:r>
        <w:t xml:space="preserve"> </w:t>
      </w:r>
      <w:r>
        <w:t xml:space="preserve">by when its influence should appear. Gender agreement is the only property with a</w:t>
      </w:r>
      <w:r>
        <w:t xml:space="preserve"> </w:t>
      </w:r>
      <w:r>
        <w:t xml:space="preserve">first-language analogue, and so the only one on which the two miniature languages stand</w:t>
      </w:r>
      <w:r>
        <w:t xml:space="preserve"> </w:t>
      </w:r>
      <w:r>
        <w:t xml:space="preserve">in different relations to a prior grammar. Differential object marking and verb–object</w:t>
      </w:r>
      <w:r>
        <w:t xml:space="preserve"> </w:t>
      </w:r>
      <w:r>
        <w:t xml:space="preserve">number agreement are novel to Norwegian and English alike and are realised identically in</w:t>
      </w:r>
      <w:r>
        <w:t xml:space="preserve"> </w:t>
      </w:r>
      <w:r>
        <w:t xml:space="preserve">the two miniature languages. Property-level congruence therefore predicts no group</w:t>
      </w:r>
      <w:r>
        <w:t xml:space="preserve"> </w:t>
      </w:r>
      <w:r>
        <w:t xml:space="preserve">difference on them under either family, and they serve as controls. A wholesale account,</w:t>
      </w:r>
      <w:r>
        <w:t xml:space="preserve"> </w:t>
      </w:r>
      <w:r>
        <w:t xml:space="preserve">on which one prior grammar supplies the initial state for the L3 grammar as a whole, must</w:t>
      </w:r>
      <w:r>
        <w:t xml:space="preserve"> </w:t>
      </w:r>
      <w:r>
        <w:t xml:space="preserve">also say which</w:t>
      </w:r>
      <w:r>
        <w:t xml:space="preserve"> </w:t>
      </w:r>
      <w:r>
        <w:t xml:space="preserve">grammar is selected. The Typological Primacy Model selects the source from a rapid</w:t>
      </w:r>
      <w:r>
        <w:t xml:space="preserve"> </w:t>
      </w:r>
      <w:r>
        <w:t xml:space="preserve">typological assessment led by lexical similarity, and the design speaks to that cue</w:t>
      </w:r>
      <w:r>
        <w:t xml:space="preserve"> </w:t>
      </w:r>
      <w:r>
        <w:t xml:space="preserve">directly. Each miniature language draws its content words from one of the prior</w:t>
      </w:r>
      <w:r>
        <w:t xml:space="preserve"> </w:t>
      </w:r>
      <w:r>
        <w:t xml:space="preserve">languages, so lexically led selection points each group to the language its miniature</w:t>
      </w:r>
      <w:r>
        <w:t xml:space="preserve"> </w:t>
      </w:r>
      <w:r>
        <w:t xml:space="preserve">language is built on, English for Mini-English and Norwegian for Mini-Norwegian. On that</w:t>
      </w:r>
      <w:r>
        <w:t xml:space="preserve"> </w:t>
      </w:r>
      <w:r>
        <w:t xml:space="preserve">selection, a wholesale account predicts a Mini-Norwegian advantage on gender agreement,</w:t>
      </w:r>
      <w:r>
        <w:t xml:space="preserve"> </w:t>
      </w:r>
      <w:r>
        <w:t xml:space="preserve">present from that property’s first session, because the projected Norwegian grammar</w:t>
      </w:r>
      <w:r>
        <w:t xml:space="preserve"> </w:t>
      </w:r>
      <w:r>
        <w:t xml:space="preserve">supplies both the gender system and its suffixal format. It predicts no group</w:t>
      </w:r>
      <w:r>
        <w:t xml:space="preserve"> </w:t>
      </w:r>
      <w:r>
        <w:t xml:space="preserve">difference on the control properties, which neither projected grammar encodes. A</w:t>
      </w:r>
      <w:r>
        <w:t xml:space="preserve"> </w:t>
      </w:r>
      <w:r>
        <w:t xml:space="preserve">property-by-property account predicts the same confinement of the advantage to gender</w:t>
      </w:r>
      <w:r>
        <w:t xml:space="preserve"> </w:t>
      </w:r>
      <w:r>
        <w:t xml:space="preserve">agreement but a different onset, with the advantage emerging only as the learner detects</w:t>
      </w:r>
      <w:r>
        <w:t xml:space="preserve"> </w:t>
      </w:r>
      <w:r>
        <w:t xml:space="preserve">the structural match. Under the source selection</w:t>
      </w:r>
      <w:r>
        <w:t xml:space="preserve"> </w:t>
      </w:r>
      <w:r>
        <w:t xml:space="preserve">this design supports, then, the two families agree on where the gender-agreement</w:t>
      </w:r>
      <w:r>
        <w:t xml:space="preserve"> </w:t>
      </w:r>
      <w:r>
        <w:t xml:space="preserve">advantage should appear and differ only on when. The diagnostic quantity is therefore</w:t>
      </w:r>
      <w:r>
        <w:t xml:space="preserve"> </w:t>
      </w:r>
      <w:r>
        <w:t xml:space="preserve">the advantage at the property’s first session, which wholesale projection predicts to</w:t>
      </w:r>
      <w:r>
        <w:t xml:space="preserve"> </w:t>
      </w:r>
      <w:r>
        <w:t xml:space="preserve">be present and a property-by-property account predicts to be absent or small. Growth of</w:t>
      </w:r>
      <w:r>
        <w:t xml:space="preserve"> </w:t>
      </w:r>
      <w:r>
        <w:t xml:space="preserve">the advantage across sessions is predicted by the property-by-property account and</w:t>
      </w:r>
      <w:r>
        <w:t xml:space="preserve"> </w:t>
      </w:r>
      <w:r>
        <w:t xml:space="preserve">permitted by wholesale projection, which constrains the initial state and says nothing</w:t>
      </w:r>
      <w:r>
        <w:t xml:space="preserve"> </w:t>
      </w:r>
      <w:r>
        <w:t xml:space="preserve">about subsequent learning</w:t>
      </w:r>
      <w:r>
        <w:t xml:space="preserve"> </w:t>
      </w:r>
      <w:r>
        <w:t xml:space="preserve">(Alonso and Rothman 2017)</w:t>
      </w:r>
      <w:r>
        <w:t xml:space="preserve">, so growth alone favours the former</w:t>
      </w:r>
      <w:r>
        <w:t xml:space="preserve"> </w:t>
      </w:r>
      <w:r>
        <w:t xml:space="preserve">without excluding the latter.</w:t>
      </w:r>
    </w:p>
    <w:p>
      <w:pPr>
        <w:pStyle w:val="BodyText"/>
      </w:pPr>
      <w:r>
        <w:t xml:space="preserve">The L2 Status Factor makes a further prediction of its own. If the second language is the</w:t>
      </w:r>
      <w:r>
        <w:t xml:space="preserve"> </w:t>
      </w:r>
      <w:r>
        <w:t xml:space="preserve">default source, both groups project English, which encodes none of the three properties,</w:t>
      </w:r>
      <w:r>
        <w:t xml:space="preserve"> </w:t>
      </w:r>
      <w:r>
        <w:t xml:space="preserve">so property-level congruence predicts no group difference anywhere. If projecting a</w:t>
      </w:r>
      <w:r>
        <w:t xml:space="preserve"> </w:t>
      </w:r>
      <w:r>
        <w:t xml:space="preserve">source whose morphological format matches the input eases processing of that input at</w:t>
      </w:r>
      <w:r>
        <w:t xml:space="preserve"> </w:t>
      </w:r>
      <w:r>
        <w:t xml:space="preserve">all, the beneficiary under an English default is the Mini-English group, whose miniature</w:t>
      </w:r>
      <w:r>
        <w:t xml:space="preserve"> </w:t>
      </w:r>
      <w:r>
        <w:t xml:space="preserve">language is built on English-like free morphology. In no derivation does an L2 default predict a</w:t>
      </w:r>
      <w:r>
        <w:t xml:space="preserve"> </w:t>
      </w:r>
      <w:r>
        <w:t xml:space="preserve">Mini-Norwegian advantage. This design discriminates the two families less sharply than a</w:t>
      </w:r>
      <w:r>
        <w:t xml:space="preserve"> </w:t>
      </w:r>
      <w:r>
        <w:t xml:space="preserve">design contrasting two candidate source grammars would, and we return to the point in the</w:t>
      </w:r>
      <w:r>
        <w:t xml:space="preserve"> </w:t>
      </w:r>
      <w:r>
        <w:t xml:space="preserve">Limitations.</w:t>
      </w:r>
    </w:p>
    <w:p>
      <w:pPr>
        <w:pStyle w:val="BodyText"/>
      </w:pPr>
      <w:r>
        <w:t xml:space="preserve">Alongside the region-averaged models, we ask whether grammaticality is decodable from the</w:t>
      </w:r>
      <w:r>
        <w:t xml:space="preserve"> </w:t>
      </w:r>
      <w:r>
        <w:t xml:space="preserve">whole-scalp voltage pattern at each moment. A multivariate decoder can detect a</w:t>
      </w:r>
      <w:r>
        <w:t xml:space="preserve"> </w:t>
      </w:r>
      <w:r>
        <w:t xml:space="preserve">distributed violation response too weak to move any single region’s mean. Its</w:t>
      </w:r>
      <w:r>
        <w:t xml:space="preserve"> </w:t>
      </w:r>
      <w:r>
        <w:t xml:space="preserve">cross-language generalisation asks whether the pattern that separates the conditions in</w:t>
      </w:r>
      <w:r>
        <w:t xml:space="preserve"> </w:t>
      </w:r>
      <w:r>
        <w:t xml:space="preserve">one mini-language also separates them in the other. Its cross-property generalisation</w:t>
      </w:r>
      <w:r>
        <w:t xml:space="preserve"> </w:t>
      </w:r>
      <w:r>
        <w:t xml:space="preserve">tests a further prediction. If the grammaticality response were largely a domain-general</w:t>
      </w:r>
      <w:r>
        <w:t xml:space="preserve"> </w:t>
      </w:r>
      <w:r>
        <w:t xml:space="preserve">salience or integration signal</w:t>
      </w:r>
      <w:r>
        <w:t xml:space="preserve"> </w:t>
      </w:r>
      <w:r>
        <w:t xml:space="preserve">(Sassenhagen and Fiebach 2019; Aurnhammer et al. 2023)</w:t>
      </w:r>
      <w:r>
        <w:t xml:space="preserve">, a decoder trained on</w:t>
      </w:r>
      <w:r>
        <w:t xml:space="preserve"> </w:t>
      </w:r>
      <w:r>
        <w:t xml:space="preserve">one property should transfer to the others. If each property recruits its own code, as</w:t>
      </w:r>
      <w:r>
        <w:t xml:space="preserve"> </w:t>
      </w:r>
      <w:r>
        <w:t xml:space="preserve">the fractionation of the late positivity</w:t>
      </w:r>
      <w:r>
        <w:t xml:space="preserve"> </w:t>
      </w:r>
      <w:r>
        <w:t xml:space="preserve">(Kaan and Swaab 2003)</w:t>
      </w:r>
      <w:r>
        <w:t xml:space="preserve"> </w:t>
      </w:r>
      <w:r>
        <w:t xml:space="preserve">and the separable developmental</w:t>
      </w:r>
      <w:r>
        <w:t xml:space="preserve"> </w:t>
      </w:r>
      <w:r>
        <w:t xml:space="preserve">courses of agreement features</w:t>
      </w:r>
      <w:r>
        <w:t xml:space="preserve"> </w:t>
      </w:r>
      <w:r>
        <w:t xml:space="preserve">(Alemán Bañón et al. 2018)</w:t>
      </w:r>
      <w:r>
        <w:t xml:space="preserve"> </w:t>
      </w:r>
      <w:r>
        <w:t xml:space="preserve">suggest, it should not. No null</w:t>
      </w:r>
      <w:r>
        <w:t xml:space="preserve"> </w:t>
      </w:r>
      <w:r>
        <w:t xml:space="preserve">distribution was computed for either generalisation analysis, so both are reported as</w:t>
      </w:r>
      <w:r>
        <w:t xml:space="preserve"> </w:t>
      </w:r>
      <w:r>
        <w:t xml:space="preserve">descriptive probes.</w:t>
      </w:r>
    </w:p>
    <w:bookmarkEnd w:id="18"/>
    <w:bookmarkStart w:id="51" w:name="method"/>
    <w:p>
      <w:pPr>
        <w:pStyle w:val="Heading1"/>
      </w:pPr>
      <w:r>
        <w:t xml:space="preserve">Method</w:t>
      </w:r>
    </w:p>
    <w:bookmarkStart w:id="23" w:name="participants"/>
    <w:p>
      <w:pPr>
        <w:pStyle w:val="Heading2"/>
      </w:pPr>
      <w:r>
        <w:t xml:space="preserve">Participants</w:t>
      </w:r>
    </w:p>
    <w:p>
      <w:pPr>
        <w:pStyle w:val="FirstParagraph"/>
      </w:pPr>
      <w:r>
        <w:t xml:space="preserve">In total, 65 Norwegian–English bilinguals (first</w:t>
      </w:r>
      <w:r>
        <w:t xml:space="preserve"> </w:t>
      </w:r>
      <w:r>
        <w:t xml:space="preserve">language Norwegian, second language English) took part, each assigned to learn one</w:t>
      </w:r>
      <w:r>
        <w:t xml:space="preserve"> </w:t>
      </w:r>
      <w:r>
        <w:t xml:space="preserve">of the two miniature languages. Assignment followed a fixed rule on the participant</w:t>
      </w:r>
      <w:r>
        <w:t xml:space="preserve"> </w:t>
      </w:r>
      <w:r>
        <w:t xml:space="preserve">identifier, giving 33 Mini-English and</w:t>
      </w:r>
      <w:r>
        <w:t xml:space="preserve"> </w:t>
      </w:r>
      <w:r>
        <w:t xml:space="preserve">32 Mini-Norwegian learners, so language is a</w:t>
      </w:r>
      <w:r>
        <w:t xml:space="preserve"> </w:t>
      </w:r>
      <w:r>
        <w:t xml:space="preserve">between-participants factor. At the Norwegian site, odd-numbered participant</w:t>
      </w:r>
      <w:r>
        <w:t xml:space="preserve"> </w:t>
      </w:r>
      <w:r>
        <w:t xml:space="preserve">identifiers were assigned to Mini-English and even-numbered identifiers to</w:t>
      </w:r>
      <w:r>
        <w:t xml:space="preserve"> </w:t>
      </w:r>
      <w:r>
        <w:t xml:space="preserve">Mini-Norwegian; this was a deterministic allocation rather than a random assignment.</w:t>
      </w:r>
      <w:r>
        <w:t xml:space="preserve"> </w:t>
      </w:r>
      <w:r>
        <w:t xml:space="preserve">The six-session protocol comprised an approximately 1.5-hour home baseline (Session 1),</w:t>
      </w:r>
      <w:r>
        <w:t xml:space="preserve"> </w:t>
      </w:r>
      <w:r>
        <w:t xml:space="preserve">laboratory sessions of approximately 2.5 hours (Session 2), 2.5 hours (Session 3), and</w:t>
      </w:r>
      <w:r>
        <w:t xml:space="preserve"> </w:t>
      </w:r>
      <w:r>
        <w:t xml:space="preserve">3 hours (Session 4), a 1-hour home retest (Session 5), and a 2.5-hour laboratory</w:t>
      </w:r>
      <w:r>
        <w:t xml:space="preserve"> </w:t>
      </w:r>
      <w:r>
        <w:t xml:space="preserve">retention session (Session 6). Of the 64 participants</w:t>
      </w:r>
      <w:r>
        <w:t xml:space="preserve"> </w:t>
      </w:r>
      <w:r>
        <w:t xml:space="preserve">with a Language History Questionnaire record</w:t>
      </w:r>
      <w:r>
        <w:t xml:space="preserve"> </w:t>
      </w:r>
      <w:r>
        <w:t xml:space="preserve">(LHQ3: Li et al. 2020)</w:t>
      </w:r>
      <w:r>
        <w:t xml:space="preserve">, the mean age was</w:t>
      </w:r>
      <w:r>
        <w:t xml:space="preserve"> </w:t>
      </w:r>
      <w:r>
        <w:t xml:space="preserve">25.7 years (</w:t>
      </w:r>
      <m:oMath>
        <m:r>
          <m:t>S</m:t>
        </m:r>
        <m:r>
          <m:t>D</m:t>
        </m:r>
        <m:r>
          <m:rPr>
            <m:sty m:val="p"/>
          </m:rPr>
          <m:t>=</m:t>
        </m:r>
        <m:r>
          <m:t>7.4</m:t>
        </m:r>
      </m:oMath>
      <w:r>
        <w:t xml:space="preserve">, range</w:t>
      </w:r>
      <w:r>
        <w:t xml:space="preserve"> </w:t>
      </w:r>
      <w:r>
        <w:t xml:space="preserve">16–54). The youngest participant was under 18 at the time of the questionnaire. All others were adults.</w:t>
      </w:r>
      <w:r>
        <w:t xml:space="preserve"> </w:t>
      </w:r>
      <w:r>
        <w:t xml:space="preserve">Of the same record, 40 identified as female,</w:t>
      </w:r>
      <w:r>
        <w:t xml:space="preserve"> </w:t>
      </w:r>
      <w:r>
        <w:t xml:space="preserve">21 as male and 1</w:t>
      </w:r>
      <w:r>
        <w:t xml:space="preserve"> </w:t>
      </w:r>
      <w:r>
        <w:t xml:space="preserve">as non-binary (2 did not disclose). Among the</w:t>
      </w:r>
      <w:r>
        <w:t xml:space="preserve"> </w:t>
      </w:r>
      <w:r>
        <w:t xml:space="preserve">63 who reported handedness,</w:t>
      </w:r>
      <w:r>
        <w:t xml:space="preserve"> </w:t>
      </w:r>
      <w:r>
        <w:t xml:space="preserve">60 were right-handed and</w:t>
      </w:r>
      <w:r>
        <w:t xml:space="preserve"> </w:t>
      </w:r>
      <w:r>
        <w:t xml:space="preserve">3 left-handed. English had been</w:t>
      </w:r>
      <w:r>
        <w:t xml:space="preserve"> </w:t>
      </w:r>
      <w:r>
        <w:t xml:space="preserve">acquired early (age of first exposure</w:t>
      </w:r>
      <w:r>
        <w:t xml:space="preserve"> </w:t>
      </w:r>
      <m:oMath>
        <m:r>
          <m:t>M</m:t>
        </m:r>
        <m:r>
          <m:rPr>
            <m:sty m:val="p"/>
          </m:rPr>
          <m:t>=</m:t>
        </m:r>
        <m:r>
          <m:t>6.8</m:t>
        </m:r>
      </m:oMath>
      <w:r>
        <w:t xml:space="preserve"> </w:t>
      </w:r>
      <w:r>
        <w:t xml:space="preserve">years,</w:t>
      </w:r>
      <w:r>
        <w:t xml:space="preserve"> </w:t>
      </w:r>
      <m:oMath>
        <m:r>
          <m:t>S</m:t>
        </m:r>
        <m:r>
          <m:t>D</m:t>
        </m:r>
        <m:r>
          <m:rPr>
            <m:sty m:val="p"/>
          </m:rPr>
          <m:t>=</m:t>
        </m:r>
        <m:r>
          <m:t>4.0</m:t>
        </m:r>
      </m:oMath>
      <w:r>
        <w:t xml:space="preserve">) and used for many years</w:t>
      </w:r>
      <w:r>
        <w:t xml:space="preserve"> </w:t>
      </w:r>
      <w:r>
        <w:t xml:space="preserve">(</w:t>
      </w:r>
      <m:oMath>
        <m:r>
          <m:t>M</m:t>
        </m:r>
        <m:r>
          <m:rPr>
            <m:sty m:val="p"/>
          </m:rPr>
          <m:t>=</m:t>
        </m:r>
        <m:r>
          <m:t>18.2</m:t>
        </m:r>
      </m:oMath>
      <w:r>
        <w:t xml:space="preserve">,</w:t>
      </w:r>
      <w:r>
        <w:t xml:space="preserve"> </w:t>
      </w:r>
      <m:oMath>
        <m:r>
          <m:t>S</m:t>
        </m:r>
        <m:r>
          <m:t>D</m:t>
        </m:r>
        <m:r>
          <m:rPr>
            <m:sty m:val="p"/>
          </m:rPr>
          <m:t>=</m:t>
        </m:r>
        <m:r>
          <m:t>7.5</m:t>
        </m:r>
      </m:oMath>
      <w:r>
        <w:t xml:space="preserve">), with high</w:t>
      </w:r>
      <w:r>
        <w:t xml:space="preserve"> </w:t>
      </w:r>
      <w:r>
        <w:t xml:space="preserve">self-rated proficiency (</w:t>
      </w:r>
      <m:oMath>
        <m:r>
          <m:t>M</m:t>
        </m:r>
        <m:r>
          <m:rPr>
            <m:sty m:val="p"/>
          </m:rPr>
          <m:t>=</m:t>
        </m:r>
        <m:r>
          <m:t>0.82</m:t>
        </m:r>
      </m:oMath>
      <w:r>
        <w:t xml:space="preserve"> </w:t>
      </w:r>
      <w:r>
        <w:t xml:space="preserve">of 1,</w:t>
      </w:r>
      <w:r>
        <w:t xml:space="preserve"> </w:t>
      </w:r>
      <m:oMath>
        <m:r>
          <m:t>S</m:t>
        </m:r>
        <m:r>
          <m:t>D</m:t>
        </m:r>
        <m:r>
          <m:rPr>
            <m:sty m:val="p"/>
          </m:rPr>
          <m:t>=</m:t>
        </m:r>
        <m:r>
          <m:t>0.16</m:t>
        </m:r>
      </m:oMath>
      <w:r>
        <w:t xml:space="preserve">). 48 of the 64 also reported knowledge of at least one further language, most often German or Spanish. Several of the languages named mark grammatical gender or case, and the design did not screen them out (see Limitations).</w:t>
      </w:r>
    </w:p>
    <w:p>
      <w:pPr>
        <w:pStyle w:val="BodyText"/>
      </w:pPr>
      <w:r>
        <w:t xml:space="preserve">Attrition increased across the training: of the 65 who began,</w:t>
      </w:r>
      <w:r>
        <w:t xml:space="preserve"> </w:t>
      </w:r>
      <w:r>
        <w:t xml:space="preserve">57 remained at Session 3, 56 at</w:t>
      </w:r>
      <w:r>
        <w:t xml:space="preserve"> </w:t>
      </w:r>
      <w:r>
        <w:t xml:space="preserve">Session 4, and 36 completed the Session 6 retention test.</w:t>
      </w:r>
      <w:r>
        <w:t xml:space="preserve"> </w:t>
      </w:r>
      <w:r>
        <w:t xml:space="preserve">The ERP analyses draw on the 63 participants with usable</w:t>
      </w:r>
      <w:r>
        <w:t xml:space="preserve"> </w:t>
      </w:r>
      <w:r>
        <w:t xml:space="preserve">single-trial EEG (33 Mini-English,</w:t>
      </w:r>
      <w:r>
        <w:t xml:space="preserve"> </w:t>
      </w:r>
      <w:r>
        <w:t xml:space="preserve">30 Mini-Norwegian). The fitted ERP models</w:t>
      </w:r>
      <w:r>
        <w:t xml:space="preserve"> </w:t>
      </w:r>
      <w:r>
        <w:t xml:space="preserve">also require the L1-dominance covariate described under</w:t>
      </w:r>
      <w:r>
        <w:t xml:space="preserve"> </w:t>
      </w:r>
      <w:r>
        <w:rPr>
          <w:i/>
          <w:iCs/>
        </w:rPr>
        <w:t xml:space="preserve">Data analysis</w:t>
      </w:r>
      <w:r>
        <w:t xml:space="preserve">, and the trials</w:t>
      </w:r>
      <w:r>
        <w:t xml:space="preserve"> </w:t>
      </w:r>
      <w:r>
        <w:t xml:space="preserve">of a participant without that score are dropped by listwise deletion, so the</w:t>
      </w:r>
      <w:r>
        <w:t xml:space="preserve"> </w:t>
      </w:r>
      <w:r>
        <w:t xml:space="preserve">gender-agreement models were fitted to 62</w:t>
      </w:r>
      <w:r>
        <w:t xml:space="preserve"> </w:t>
      </w:r>
      <w:r>
        <w:t xml:space="preserve">participants, the differential-object-marking models to</w:t>
      </w:r>
      <w:r>
        <w:t xml:space="preserve"> </w:t>
      </w:r>
      <w:r>
        <w:t xml:space="preserve">56 and the verb–object number-agreement</w:t>
      </w:r>
      <w:r>
        <w:t xml:space="preserve"> </w:t>
      </w:r>
      <w:r>
        <w:t xml:space="preserve">models to 55. The</w:t>
      </w:r>
      <w:r>
        <w:t xml:space="preserve"> </w:t>
      </w:r>
      <w:r>
        <w:t xml:space="preserve">grammaticality-judgement analyses draw on 64 participants</w:t>
      </w:r>
      <w:r>
        <w:t xml:space="preserve"> </w:t>
      </w:r>
      <w:r>
        <w:t xml:space="preserve">(</w:t>
      </w:r>
      <w:hyperlink w:anchor="fig-flow">
        <w:r>
          <w:rPr>
            <w:rStyle w:val="Hyperlink"/>
          </w:rPr>
          <w:t xml:space="preserve">Figure 3</w:t>
        </w:r>
      </w:hyperlink>
      <w:r>
        <w:t xml:space="preserve">). The project was registered with the Norwegian Agency for Shared Services in</w:t>
      </w:r>
      <w:r>
        <w:t xml:space="preserve"> </w:t>
      </w:r>
      <w:r>
        <w:t xml:space="preserve">Education and Research (Sikt; project 2559611). The approving ethics committee, approval</w:t>
      </w:r>
      <w:r>
        <w:t xml:space="preserve"> </w:t>
      </w:r>
      <w:r>
        <w:t xml:space="preserve">date, and reference number are TBC. All procedures complied</w:t>
      </w:r>
      <w:r>
        <w:t xml:space="preserve"> </w:t>
      </w:r>
      <w:r>
        <w:t xml:space="preserve">with the relevant laws and institutional guidelines, the privacy rights of the participants</w:t>
      </w:r>
      <w:r>
        <w:t xml:space="preserve"> </w:t>
      </w:r>
      <w:r>
        <w:t xml:space="preserve">were observed, and every participant gave written informed consent. The 16-year-old</w:t>
      </w:r>
      <w:r>
        <w:t xml:space="preserve"> </w:t>
      </w:r>
      <w:r>
        <w:t xml:space="preserve">participant was covered by the study’s self-consent procedure. Participants were</w:t>
      </w:r>
      <w:r>
        <w:t xml:space="preserve"> </w:t>
      </w:r>
      <w:r>
        <w:t xml:space="preserve">compensated with shopping vouchers worth NOK 250 per hour of participation, pro rata,</w:t>
      </w:r>
      <w:r>
        <w:t xml:space="preserve"> </w:t>
      </w:r>
      <w:r>
        <w:t xml:space="preserve">and received an additional NOK 400 completion bonus after the sixth and final session.</w:t>
      </w:r>
    </w:p>
    <w:tbl>
      <w:tblPr>
        <w:tblStyle w:val="Table"/>
        <w:tblW w:type="pct" w:w="5000"/>
        <w:tblLayout w:type="fixed"/>
        <w:tblLook w:firstRow="0" w:lastRow="0" w:firstColumn="0" w:lastColumn="0" w:noHBand="0" w:noVBand="0" w:val="0000"/>
      </w:tblPr>
      <w:tblGrid>
        <w:gridCol w:w="7920"/>
      </w:tblGrid>
      <w:tr>
        <w:tc>
          <w:tcPr/>
          <w:bookmarkStart w:id="22" w:name="fig-flow"/>
          <w:p>
            <w:pPr>
              <w:pStyle w:val="Compact"/>
              <w:jc w:val="center"/>
            </w:pPr>
            <w:r>
              <w:drawing>
                <wp:inline>
                  <wp:extent cx="5334000" cy="3607288"/>
                  <wp:effectExtent b="0" l="0" r="0" t="0"/>
                  <wp:docPr descr="" title="" id="20" name="Picture"/>
                  <a:graphic>
                    <a:graphicData uri="http://schemas.openxmlformats.org/drawingml/2006/picture">
                      <pic:pic>
                        <pic:nvPicPr>
                          <pic:cNvPr descr="paper_1_morphosyntax_files/figure-docx/fig-flow-1.png" id="21" name="Picture"/>
                          <pic:cNvPicPr>
                            <a:picLocks noChangeArrowheads="1" noChangeAspect="1"/>
                          </pic:cNvPicPr>
                        </pic:nvPicPr>
                        <pic:blipFill>
                          <a:blip r:embed="rId19"/>
                          <a:stretch>
                            <a:fillRect/>
                          </a:stretch>
                        </pic:blipFill>
                        <pic:spPr bwMode="auto">
                          <a:xfrm>
                            <a:off x="0" y="0"/>
                            <a:ext cx="5334000" cy="36072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Participant Flow</w:t>
            </w:r>
          </w:p>
          <w:bookmarkEnd w:id="22"/>
        </w:tc>
      </w:tr>
    </w:tbl>
    <w:bookmarkEnd w:id="23"/>
    <w:bookmarkStart w:id="24" w:name="design-and-materials"/>
    <w:p>
      <w:pPr>
        <w:pStyle w:val="Heading2"/>
      </w:pPr>
      <w:r>
        <w:t xml:space="preserve">Design and materials</w:t>
      </w:r>
    </w:p>
    <w:p>
      <w:pPr>
        <w:pStyle w:val="FirstParagraph"/>
      </w:pPr>
      <w:r>
        <w:t xml:space="preserve">The longitudinal artificial-language paradigm implemented here is that of the wider</w:t>
      </w:r>
      <w:r>
        <w:t xml:space="preserve"> </w:t>
      </w:r>
      <w:r>
        <w:t xml:space="preserve">project reported by</w:t>
      </w:r>
      <w:r>
        <w:t xml:space="preserve"> </w:t>
      </w:r>
      <w:r>
        <w:t xml:space="preserve">González Alonso et al. (2025)</w:t>
      </w:r>
      <w:r>
        <w:t xml:space="preserve">. Within each language, the design crosses</w:t>
      </w:r>
      <w:r>
        <w:t xml:space="preserve"> </w:t>
      </w:r>
      <w:r>
        <w:t xml:space="preserve">grammaticality (contrast coded</w:t>
      </w:r>
      <w:r>
        <w:t xml:space="preserve"> </w:t>
      </w:r>
      <w:r>
        <w:t xml:space="preserve">grammatical</w:t>
      </w:r>
      <w:r>
        <w:t xml:space="preserve"> </w:t>
      </w:r>
      <m:oMath>
        <m:r>
          <m:rPr>
            <m:sty m:val="p"/>
          </m:rPr>
          <m:t>=</m:t>
        </m:r>
        <m:r>
          <m:rPr>
            <m:sty m:val="p"/>
          </m:rPr>
          <m:t>+</m:t>
        </m:r>
        <m:r>
          <m:t>0.5</m:t>
        </m:r>
      </m:oMath>
      <w:r>
        <w:t xml:space="preserve">, ungrammatical</w:t>
      </w:r>
      <w:r>
        <w:t xml:space="preserve"> </w:t>
      </w:r>
      <m:oMath>
        <m:r>
          <m:rPr>
            <m:sty m:val="p"/>
          </m:rPr>
          <m:t>=</m:t>
        </m:r>
        <m:r>
          <m:rPr>
            <m:sty m:val="p"/>
          </m:rPr>
          <m:t>−</m:t>
        </m:r>
        <m:r>
          <m:t>0.5</m:t>
        </m:r>
      </m:oMath>
      <w:r>
        <w:t xml:space="preserve">) with session (the cumulative exposure</w:t>
      </w:r>
      <w:r>
        <w:t xml:space="preserve"> </w:t>
      </w:r>
      <w:r>
        <w:t xml:space="preserve">schedule above) within participants, and language between participants</w:t>
      </w:r>
      <w:r>
        <w:t xml:space="preserve"> </w:t>
      </w:r>
      <w:r>
        <w:t xml:space="preserve">(Mini-Norwegian</w:t>
      </w:r>
      <w:r>
        <w:t xml:space="preserve"> </w:t>
      </w:r>
      <m:oMath>
        <m:r>
          <m:rPr>
            <m:sty m:val="p"/>
          </m:rPr>
          <m:t>=</m:t>
        </m:r>
        <m:r>
          <m:rPr>
            <m:sty m:val="p"/>
          </m:rPr>
          <m:t>+</m:t>
        </m:r>
        <m:r>
          <m:t>0.5</m:t>
        </m:r>
      </m:oMath>
      <w:r>
        <w:t xml:space="preserve">, Mini-English</w:t>
      </w:r>
      <w:r>
        <w:t xml:space="preserve"> </w:t>
      </w:r>
      <m:oMath>
        <m:r>
          <m:rPr>
            <m:sty m:val="p"/>
          </m:rPr>
          <m:t>=</m:t>
        </m:r>
        <m:r>
          <m:rPr>
            <m:sty m:val="p"/>
          </m:rPr>
          <m:t>−</m:t>
        </m:r>
        <m:r>
          <m:t>0.5</m:t>
        </m:r>
      </m:oMath>
      <w:r>
        <w:t xml:space="preserve">), so a positive language-bearing</w:t>
      </w:r>
      <w:r>
        <w:t xml:space="preserve"> </w:t>
      </w:r>
      <w:r>
        <w:t xml:space="preserve">coefficient indicates a larger value for the Mini-Norwegian group. The three</w:t>
      </w:r>
      <w:r>
        <w:t xml:space="preserve"> </w:t>
      </w:r>
      <w:r>
        <w:t xml:space="preserve">properties were analysed separately. Each was probed with 48 grammatical and 48</w:t>
      </w:r>
      <w:r>
        <w:t xml:space="preserve"> </w:t>
      </w:r>
      <w:r>
        <w:t xml:space="preserve">ungrammatical sentences per session, built from a closed lexicon of twelve nouns, twelve</w:t>
      </w:r>
      <w:r>
        <w:t xml:space="preserve"> </w:t>
      </w:r>
      <w:r>
        <w:t xml:space="preserve">adjectives, twelve transitive verbs and twelve proper names per language. A third,</w:t>
      </w:r>
      <w:r>
        <w:t xml:space="preserve"> </w:t>
      </w:r>
      <w:r>
        <w:t xml:space="preserve">ancillary violation type was recorded but is not analysed here. Each sentence frame was</w:t>
      </w:r>
      <w:r>
        <w:t xml:space="preserve"> </w:t>
      </w:r>
      <w:r>
        <w:t xml:space="preserve">presented in both a grammatical and an ungrammatical version. The two miniature</w:t>
      </w:r>
      <w:r>
        <w:t xml:space="preserve"> </w:t>
      </w:r>
      <w:r>
        <w:t xml:space="preserve">languages draw on separate content lexicons, Mini-English building its nouns,</w:t>
      </w:r>
      <w:r>
        <w:t xml:space="preserve"> </w:t>
      </w:r>
      <w:r>
        <w:t xml:space="preserve">adjectives, verbs and names on English stems and Mini-Norwegian on</w:t>
      </w:r>
      <w:r>
        <w:t xml:space="preserve"> </w:t>
      </w:r>
      <w:r>
        <w:t xml:space="preserve">Norwegian stems. The critical word</w:t>
      </w:r>
      <w:r>
        <w:t xml:space="preserve"> </w:t>
      </w:r>
      <w:r>
        <w:t xml:space="preserve">carried the EEG trigger that defined the single-trial time-lock.</w:t>
      </w:r>
    </w:p>
    <w:p>
      <w:pPr>
        <w:pStyle w:val="BodyText"/>
      </w:pPr>
      <w:r>
        <w:t xml:space="preserve">The two miniature languages share the same invented grammatical morphemes (the</w:t>
      </w:r>
      <w:r>
        <w:t xml:space="preserve"> </w:t>
      </w:r>
      <w:r>
        <w:t xml:space="preserve">determiners</w:t>
      </w:r>
      <w:r>
        <w:t xml:space="preserve"> </w:t>
      </w:r>
      <w:r>
        <w:rPr>
          <w:i/>
          <w:iCs/>
        </w:rPr>
        <w:t xml:space="preserve">je</w:t>
      </w:r>
      <w:r>
        <w:t xml:space="preserve">/</w:t>
      </w:r>
      <w:r>
        <w:rPr>
          <w:i/>
          <w:iCs/>
        </w:rPr>
        <w:t xml:space="preserve">ze</w:t>
      </w:r>
      <w:r>
        <w:t xml:space="preserve">/</w:t>
      </w:r>
      <w:r>
        <w:rPr>
          <w:i/>
          <w:iCs/>
        </w:rPr>
        <w:t xml:space="preserve">jer</w:t>
      </w:r>
      <w:r>
        <w:t xml:space="preserve">/</w:t>
      </w:r>
      <w:r>
        <w:rPr>
          <w:i/>
          <w:iCs/>
        </w:rPr>
        <w:t xml:space="preserve">zer</w:t>
      </w:r>
      <w:r>
        <w:t xml:space="preserve">, the object marker</w:t>
      </w:r>
      <w:r>
        <w:t xml:space="preserve"> </w:t>
      </w:r>
      <w:r>
        <w:rPr>
          <w:i/>
          <w:iCs/>
        </w:rPr>
        <w:t xml:space="preserve">fi</w:t>
      </w:r>
      <w:r>
        <w:t xml:space="preserve">, the verbal suffix</w:t>
      </w:r>
      <w:r>
        <w:t xml:space="preserve"> </w:t>
      </w:r>
      <w:r>
        <w:rPr>
          <w:i/>
          <w:iCs/>
        </w:rPr>
        <w:t xml:space="preserve">-evo</w:t>
      </w:r>
      <w:r>
        <w:t xml:space="preserve"> </w:t>
      </w:r>
      <w:r>
        <w:t xml:space="preserve">and the adjectival agreement suffixes). They differ in one structural dimension,</w:t>
      </w:r>
      <w:r>
        <w:t xml:space="preserve"> </w:t>
      </w:r>
      <w:r>
        <w:t xml:space="preserve">determiner position, and that difference is the pivot of the transfer contrast.</w:t>
      </w:r>
      <w:r>
        <w:t xml:space="preserve"> </w:t>
      </w:r>
      <w:r>
        <w:t xml:space="preserve">Subject–verb gender agreement is built on a two-way common/neuter distinction, as</w:t>
      </w:r>
      <w:r>
        <w:t xml:space="preserve"> </w:t>
      </w:r>
      <w:r>
        <w:t xml:space="preserve">in real Norwegian. In Mini-English, the determiner is a free prenominal word that</w:t>
      </w:r>
      <w:r>
        <w:t xml:space="preserve"> </w:t>
      </w:r>
      <w:r>
        <w:t xml:space="preserve">marks gender and number (</w:t>
      </w:r>
      <w:r>
        <w:rPr>
          <w:i/>
          <w:iCs/>
        </w:rPr>
        <w:t xml:space="preserve">je</w:t>
      </w:r>
      <w:r>
        <w:t xml:space="preserve">/</w:t>
      </w:r>
      <w:r>
        <w:rPr>
          <w:i/>
          <w:iCs/>
        </w:rPr>
        <w:t xml:space="preserve">ze</w:t>
      </w:r>
      <w:r>
        <w:t xml:space="preserve"> </w:t>
      </w:r>
      <w:r>
        <w:t xml:space="preserve">for common/neuter singular,</w:t>
      </w:r>
      <w:r>
        <w:t xml:space="preserve"> </w:t>
      </w:r>
      <w:r>
        <w:rPr>
          <w:i/>
          <w:iCs/>
        </w:rPr>
        <w:t xml:space="preserve">jer</w:t>
      </w:r>
      <w:r>
        <w:t xml:space="preserve">/</w:t>
      </w:r>
      <w:r>
        <w:rPr>
          <w:i/>
          <w:iCs/>
        </w:rPr>
        <w:t xml:space="preserve">zer</w:t>
      </w:r>
      <w:r>
        <w:t xml:space="preserve"> </w:t>
      </w:r>
      <w:r>
        <w:t xml:space="preserve">for</w:t>
      </w:r>
      <w:r>
        <w:t xml:space="preserve"> </w:t>
      </w:r>
      <w:r>
        <w:t xml:space="preserve">the plural), as English articles are free-standing. In Mini-Norwegian, the same</w:t>
      </w:r>
      <w:r>
        <w:t xml:space="preserve"> </w:t>
      </w:r>
      <w:r>
        <w:t xml:space="preserve">gender–number determiner is a bound suffix on the noun (e.g. </w:t>
      </w:r>
      <w:r>
        <w:rPr>
          <w:i/>
          <w:iCs/>
        </w:rPr>
        <w:t xml:space="preserve">gateje</w:t>
      </w:r>
      <w:r>
        <w:t xml:space="preserve">/</w:t>
      </w:r>
      <w:r>
        <w:rPr>
          <w:i/>
          <w:iCs/>
        </w:rPr>
        <w:t xml:space="preserve">gatejer</w:t>
      </w:r>
      <w:r>
        <w:t xml:space="preserve">),</w:t>
      </w:r>
      <w:r>
        <w:t xml:space="preserve"> </w:t>
      </w:r>
      <w:r>
        <w:t xml:space="preserve">as the Norwegian definite article is suffixal. In both languages, the predicate</w:t>
      </w:r>
      <w:r>
        <w:t xml:space="preserve"> </w:t>
      </w:r>
      <w:r>
        <w:t xml:space="preserve">adjective carries a matching agreement suffix, on which the gender-agreement</w:t>
      </w:r>
      <w:r>
        <w:t xml:space="preserve"> </w:t>
      </w:r>
      <w:r>
        <w:t xml:space="preserve">violation is realised. Differential object marking is a free particle</w:t>
      </w:r>
      <w:r>
        <w:t xml:space="preserve"> </w:t>
      </w:r>
      <w:r>
        <w:rPr>
          <w:i/>
          <w:iCs/>
        </w:rPr>
        <w:t xml:space="preserve">fi</w:t>
      </w:r>
      <w:r>
        <w:t xml:space="preserve"> </w:t>
      </w:r>
      <w:r>
        <w:t xml:space="preserve">placed</w:t>
      </w:r>
      <w:r>
        <w:t xml:space="preserve"> </w:t>
      </w:r>
      <w:r>
        <w:t xml:space="preserve">before the object noun phrase, identical in the two languages, with the violation</w:t>
      </w:r>
      <w:r>
        <w:t xml:space="preserve"> </w:t>
      </w:r>
      <w:r>
        <w:t xml:space="preserve">omitting it. Verb–object number agreement is a verbal suffix</w:t>
      </w:r>
      <w:r>
        <w:t xml:space="preserve"> </w:t>
      </w:r>
      <w:r>
        <w:rPr>
          <w:i/>
          <w:iCs/>
        </w:rPr>
        <w:t xml:space="preserve">-evo</w:t>
      </w:r>
      <w:r>
        <w:t xml:space="preserve"> </w:t>
      </w:r>
      <w:r>
        <w:t xml:space="preserve">that marks the</w:t>
      </w:r>
      <w:r>
        <w:t xml:space="preserve"> </w:t>
      </w:r>
      <w:r>
        <w:t xml:space="preserve">verb to agree with a plural object, again identical across languages, with the</w:t>
      </w:r>
      <w:r>
        <w:t xml:space="preserve"> </w:t>
      </w:r>
      <w:r>
        <w:t xml:space="preserve">violation a number mismatch between verb and object.</w:t>
      </w:r>
    </w:p>
    <w:p>
      <w:pPr>
        <w:pStyle w:val="BodyText"/>
      </w:pPr>
      <w:r>
        <w:t xml:space="preserve">These three properties map onto the learners’ existing grammars differently, which</w:t>
      </w:r>
      <w:r>
        <w:t xml:space="preserve"> </w:t>
      </w:r>
      <w:r>
        <w:t xml:space="preserve">is what the language factor exploits. Grammatical gender expressed through a</w:t>
      </w:r>
      <w:r>
        <w:t xml:space="preserve"> </w:t>
      </w:r>
      <w:r>
        <w:t xml:space="preserve">suffixed determiner is a property of the learners’ first language, Norwegian, but</w:t>
      </w:r>
      <w:r>
        <w:t xml:space="preserve"> </w:t>
      </w:r>
      <w:r>
        <w:t xml:space="preserve">not of their second language, English. The Mini-Norwegian realisation therefore</w:t>
      </w:r>
      <w:r>
        <w:t xml:space="preserve"> </w:t>
      </w:r>
      <w:r>
        <w:t xml:space="preserve">aligns closely with the first-language grammar, whereas the Mini-English realisation expresses</w:t>
      </w:r>
      <w:r>
        <w:t xml:space="preserve"> </w:t>
      </w:r>
      <w:r>
        <w:t xml:space="preserve">a feature that English does not encode (gender) through an English-like free</w:t>
      </w:r>
      <w:r>
        <w:t xml:space="preserve"> </w:t>
      </w:r>
      <w:r>
        <w:t xml:space="preserve">determiner. Differential object marking and verb–object number agreement, by</w:t>
      </w:r>
      <w:r>
        <w:t xml:space="preserve"> </w:t>
      </w:r>
      <w:r>
        <w:t xml:space="preserve">contrast, are absent from both Norwegian and English, so neither is supported by a</w:t>
      </w:r>
      <w:r>
        <w:t xml:space="preserve"> </w:t>
      </w:r>
      <w:r>
        <w:t xml:space="preserve">prior grammar in either group.</w:t>
      </w:r>
    </w:p>
    <w:bookmarkEnd w:id="24"/>
    <w:bookmarkStart w:id="25" w:name="procedure"/>
    <w:p>
      <w:pPr>
        <w:pStyle w:val="Heading2"/>
      </w:pPr>
      <w:r>
        <w:t xml:space="preserve">Procedure</w:t>
      </w:r>
    </w:p>
    <w:p>
      <w:pPr>
        <w:pStyle w:val="FirstParagraph"/>
      </w:pPr>
      <w:r>
        <w:t xml:space="preserve">Sentences were presented one word at a time in the centre of the screen (rapid serial</w:t>
      </w:r>
      <w:r>
        <w:t xml:space="preserve"> </w:t>
      </w:r>
      <w:r>
        <w:t xml:space="preserve">visual presentation, RSVP) using OpenSesame 3.3.14. Word duration was a deterministic</w:t>
      </w:r>
      <w:r>
        <w:t xml:space="preserve"> </w:t>
      </w:r>
      <w:r>
        <w:t xml:space="preserve">function of word length. A non-critical word was shown for</w:t>
      </w:r>
      <w:r>
        <w:t xml:space="preserve"> </w:t>
      </w:r>
      <m:oMath>
        <m:r>
          <m:t>250</m:t>
        </m:r>
        <m:r>
          <m:rPr>
            <m:sty m:val="p"/>
          </m:rPr>
          <m:t>+</m:t>
        </m:r>
        <m:r>
          <m:t>35</m:t>
        </m:r>
        <m:r>
          <m:rPr>
            <m:sty m:val="p"/>
          </m:rPr>
          <m:t>×</m:t>
        </m:r>
        <m:r>
          <m:rPr>
            <m:sty m:val="p"/>
          </m:rPr>
          <m:t>(</m:t>
        </m:r>
        <m:r>
          <m:rPr>
            <m:nor/>
            <m:sty m:val="p"/>
          </m:rPr>
          <m:t>characters</m:t>
        </m:r>
        <m:r>
          <m:rPr>
            <m:sty m:val="p"/>
          </m:rPr>
          <m:t>−</m:t>
        </m:r>
        <m:r>
          <m:t>3</m:t>
        </m:r>
        <m:r>
          <m:rPr>
            <m:sty m:val="p"/>
          </m:rPr>
          <m:t>)</m:t>
        </m:r>
      </m:oMath>
      <w:r>
        <w:t xml:space="preserve"> </w:t>
      </w:r>
      <w:r>
        <w:t xml:space="preserve">ms, floored at 250 ms, giving durations of</w:t>
      </w:r>
      <w:r>
        <w:t xml:space="preserve"> </w:t>
      </w:r>
      <w:r>
        <w:t xml:space="preserve">250–600 ms. The critical word was shown for 40 ms less than a non-critical word of the</w:t>
      </w:r>
      <w:r>
        <w:t xml:space="preserve"> </w:t>
      </w:r>
      <w:r>
        <w:t xml:space="preserve">same length (210–560 ms). Non-critical words followed one another at a stimulus-onset</w:t>
      </w:r>
      <w:r>
        <w:t xml:space="preserve"> </w:t>
      </w:r>
      <w:r>
        <w:t xml:space="preserve">asynchrony of approximately 505 ms. At the critical word, the script held the asynchrony</w:t>
      </w:r>
      <w:r>
        <w:t xml:space="preserve"> </w:t>
      </w:r>
      <w:r>
        <w:t xml:space="preserve">fixed at approximately 750 ms, lengthening the following blank interval to compensate for</w:t>
      </w:r>
      <w:r>
        <w:t xml:space="preserve"> </w:t>
      </w:r>
      <w:r>
        <w:t xml:space="preserve">the varying word duration. The timing of the post-critical region therefore did not depend</w:t>
      </w:r>
      <w:r>
        <w:t xml:space="preserve"> </w:t>
      </w:r>
      <w:r>
        <w:t xml:space="preserve">on the length of the critical word. The critical word occupied the third or fourth position and</w:t>
      </w:r>
      <w:r>
        <w:t xml:space="preserve"> </w:t>
      </w:r>
      <w:r>
        <w:t xml:space="preserve">was followed by three to six further words. Presentation was entirely</w:t>
      </w:r>
      <w:r>
        <w:t xml:space="preserve"> </w:t>
      </w:r>
      <w:r>
        <w:t xml:space="preserve">experimenter-paced. Nothing in the sentence stream depended on the participant, so a</w:t>
      </w:r>
      <w:r>
        <w:t xml:space="preserve"> </w:t>
      </w:r>
      <w:r>
        <w:t xml:space="preserve">condition difference in reading speed cannot shift the epoch. The grammaticality judgement</w:t>
      </w:r>
      <w:r>
        <w:t xml:space="preserve"> </w:t>
      </w:r>
      <w:r>
        <w:t xml:space="preserve">was requested only after the final word of the sentence, never during it, and was made with</w:t>
      </w:r>
      <w:r>
        <w:t xml:space="preserve"> </w:t>
      </w:r>
      <w:r>
        <w:t xml:space="preserve">a two-button response (left = grammatical, right = violation). No motor response therefore</w:t>
      </w:r>
      <w:r>
        <w:t xml:space="preserve"> </w:t>
      </w:r>
      <w:r>
        <w:t xml:space="preserve">fell inside the analysed epoch. Participants were instructed to minimise movement and</w:t>
      </w:r>
      <w:r>
        <w:t xml:space="preserve"> </w:t>
      </w:r>
      <w:r>
        <w:t xml:space="preserve">blinking, especially during the presentation of words. During pauses in these long</w:t>
      </w:r>
      <w:r>
        <w:t xml:space="preserve"> </w:t>
      </w:r>
      <w:r>
        <w:t xml:space="preserve">sessions, experimenters monitored the signal and intervened when necessary to maintain</w:t>
      </w:r>
      <w:r>
        <w:t xml:space="preserve"> </w:t>
      </w:r>
      <w:r>
        <w:t xml:space="preserve">low electrode impedance and acceptable signal quality.</w:t>
      </w:r>
    </w:p>
    <w:p>
      <w:pPr>
        <w:pStyle w:val="BodyText"/>
      </w:pPr>
      <w:r>
        <w:t xml:space="preserve">This timing has one consequence for the late window. The raw presentation logs record</w:t>
      </w:r>
      <w:r>
        <w:t xml:space="preserve"> </w:t>
      </w:r>
      <w:r>
        <w:t xml:space="preserve">all 64,907 critical-word trials, a census taken before any</w:t>
      </w:r>
      <w:r>
        <w:t xml:space="preserve"> </w:t>
      </w:r>
      <w:r>
        <w:t xml:space="preserve">EEG-side exclusion, so its count exceeds the modelled trial numbers. In that census,</w:t>
      </w:r>
      <w:r>
        <w:t xml:space="preserve"> </w:t>
      </w:r>
      <w:r>
        <w:t xml:space="preserve">exactly one subsequent word onset falls within 900 ms</w:t>
      </w:r>
      <w:r>
        <w:t xml:space="preserve"> </w:t>
      </w:r>
      <w:r>
        <w:t xml:space="preserve">of the critical word (the per-trial maximum is</w:t>
      </w:r>
      <w:r>
        <w:t xml:space="preserve"> </w:t>
      </w:r>
      <w:r>
        <w:t xml:space="preserve">1), at 743–864 ms</w:t>
      </w:r>
      <w:r>
        <w:t xml:space="preserve"> </w:t>
      </w:r>
      <w:r>
        <w:t xml:space="preserve">(median 747 ms). The final roughly 150 ms of the</w:t>
      </w:r>
      <w:r>
        <w:t xml:space="preserve"> </w:t>
      </w:r>
      <w:r>
        <w:t xml:space="preserve">400–900 ms measurement window therefore contains the beginning of the response to the</w:t>
      </w:r>
      <w:r>
        <w:t xml:space="preserve"> </w:t>
      </w:r>
      <w:r>
        <w:t xml:space="preserve">following word. This is unavoidable in connected-sentence RSVP at this rate, and it is</w:t>
      </w:r>
      <w:r>
        <w:t xml:space="preserve"> </w:t>
      </w:r>
      <w:r>
        <w:t xml:space="preserve">constant across conditions because the post-critical asynchrony is held fixed, so it cannot</w:t>
      </w:r>
      <w:r>
        <w:t xml:space="preserve"> </w:t>
      </w:r>
      <w:r>
        <w:t xml:space="preserve">manufacture a grammaticality effect. Late-window amplitudes should nonetheless be read as</w:t>
      </w:r>
      <w:r>
        <w:t xml:space="preserve"> </w:t>
      </w:r>
      <w:r>
        <w:t xml:space="preserve">containing that overlap. They are not a pure response to the critical word.</w:t>
      </w:r>
    </w:p>
    <w:bookmarkEnd w:id="25"/>
    <w:bookmarkStart w:id="36" w:name="X0ccf509cef4fa979be3aa2297c27549cad40b40"/>
    <w:p>
      <w:pPr>
        <w:pStyle w:val="Heading2"/>
      </w:pPr>
      <w:r>
        <w:t xml:space="preserve">EEG acquisition and single-trial ERP quantification</w:t>
      </w:r>
    </w:p>
    <w:p>
      <w:pPr>
        <w:pStyle w:val="FirstParagraph"/>
      </w:pPr>
      <w:r>
        <w:t xml:space="preserve">Continuous EEG was recorded with a 32-channel Brain Products LiveAmp system, using active</w:t>
      </w:r>
      <w:r>
        <w:t xml:space="preserve"> </w:t>
      </w:r>
      <w:r>
        <w:t xml:space="preserve">electrodes in an extended 10–20 layout with the CACS-32 cap montage recorded in the data</w:t>
      </w:r>
      <w:r>
        <w:t xml:space="preserve"> </w:t>
      </w:r>
      <w:r>
        <w:t xml:space="preserve">headers. The sampling rate was 500 Hz and the online passband DC–131 Hz, with no online</w:t>
      </w:r>
      <w:r>
        <w:t xml:space="preserve"> </w:t>
      </w:r>
      <w:r>
        <w:t xml:space="preserve">notch filter. The 131 Hz anti-aliasing low-pass is a causal acquisition filter, so it</w:t>
      </w:r>
      <w:r>
        <w:t xml:space="preserve"> </w:t>
      </w:r>
      <w:r>
        <w:t xml:space="preserve">imposes no phase distortion of the kind that motivates the offline filter choices set out</w:t>
      </w:r>
      <w:r>
        <w:t xml:space="preserve"> </w:t>
      </w:r>
      <w:r>
        <w:t xml:space="preserve">below.</w:t>
      </w:r>
    </w:p>
    <w:p>
      <w:pPr>
        <w:pStyle w:val="BodyText"/>
      </w:pPr>
      <w:r>
        <w:t xml:space="preserve">Three channel counts appear in what follows, and they refer to different things, so we</w:t>
      </w:r>
      <w:r>
        <w:t xml:space="preserve"> </w:t>
      </w:r>
      <w:r>
        <w:t xml:space="preserve">set them out once. Thirty-two electrodes were recorded. Two of them, TP9 and TP10, become</w:t>
      </w:r>
      <w:r>
        <w:t xml:space="preserve"> </w:t>
      </w:r>
      <w:r>
        <w:t xml:space="preserve">the offline linked-mastoid reference and are therefore not analysed as signals. FCz served</w:t>
      </w:r>
      <w:r>
        <w:t xml:space="preserve"> </w:t>
      </w:r>
      <w:r>
        <w:t xml:space="preserve">as the online reference and is recovered as a channel when the data are re-referenced. The</w:t>
      </w:r>
      <w:r>
        <w:t xml:space="preserve"> </w:t>
      </w:r>
      <w:r>
        <w:t xml:space="preserve">remaining 30 electrodes are the ones assigned to the nine analysis regions, so they are</w:t>
      </w:r>
      <w:r>
        <w:t xml:space="preserve"> </w:t>
      </w:r>
      <w:r>
        <w:t xml:space="preserve">what the region-averaged amplitude models use and what the scalp maps interpolate across.</w:t>
      </w:r>
      <w:r>
        <w:t xml:space="preserve"> </w:t>
      </w:r>
      <w:r>
        <w:t xml:space="preserve">The decoder ignores the region map and takes every EEG channel available in</w:t>
      </w:r>
      <w:r>
        <w:t xml:space="preserve"> </w:t>
      </w:r>
      <w:r>
        <w:t xml:space="preserve">all contributing sessions, which is those 30 plus the recovered FCz, giving 31 features.</w:t>
      </w:r>
      <w:r>
        <w:t xml:space="preserve"> </w:t>
      </w:r>
      <w:r>
        <w:t xml:space="preserve">The LiveAmp’s three accelerometer traces (</w:t>
      </w:r>
      <w:r>
        <w:rPr>
          <w:rStyle w:val="VerbatimChar"/>
        </w:rPr>
        <w:t xml:space="preserve">x_dir</w:t>
      </w:r>
      <w:r>
        <w:t xml:space="preserve">,</w:t>
      </w:r>
      <w:r>
        <w:t xml:space="preserve"> </w:t>
      </w:r>
      <w:r>
        <w:rPr>
          <w:rStyle w:val="VerbatimChar"/>
        </w:rPr>
        <w:t xml:space="preserve">y_dir</w:t>
      </w:r>
      <w:r>
        <w:t xml:space="preserve">,</w:t>
      </w:r>
      <w:r>
        <w:t xml:space="preserve"> </w:t>
      </w:r>
      <w:r>
        <w:rPr>
          <w:rStyle w:val="VerbatimChar"/>
        </w:rPr>
        <w:t xml:space="preserve">z_dir</w:t>
      </w:r>
      <w:r>
        <w:t xml:space="preserve">) are movement signals,</w:t>
      </w:r>
      <w:r>
        <w:t xml:space="preserve"> </w:t>
      </w:r>
      <w:r>
        <w:t xml:space="preserve">not brain signals, and are excluded throughout. The Session 2 exports additionally retain</w:t>
      </w:r>
      <w:r>
        <w:t xml:space="preserve"> </w:t>
      </w:r>
      <w:r>
        <w:t xml:space="preserve">TP9, TP10 and the accelerometer channels, whereas the Session 3, 4 and 6 exports do not,</w:t>
      </w:r>
      <w:r>
        <w:t xml:space="preserve"> </w:t>
      </w:r>
      <w:r>
        <w:t xml:space="preserve">which is why the decoder uses only the channels common to every session. Offline, in</w:t>
      </w:r>
      <w:r>
        <w:t xml:space="preserve"> </w:t>
      </w:r>
      <w:r>
        <w:t xml:space="preserve">BrainVision Analyzer, the data were re-referenced to</w:t>
      </w:r>
      <w:r>
        <w:t xml:space="preserve"> </w:t>
      </w:r>
      <w:r>
        <w:t xml:space="preserve">the mastoids and then band-pass filtered with zero-phase-shift (forward and reverse)</w:t>
      </w:r>
      <w:r>
        <w:t xml:space="preserve"> </w:t>
      </w:r>
      <w:r>
        <w:t xml:space="preserve">Butterworth IIR filters, high-pass 0.1 Hz and low-pass 30 Hz, each specified in Analyzer as</w:t>
      </w:r>
      <w:r>
        <w:t xml:space="preserve"> </w:t>
      </w:r>
      <w:r>
        <w:t xml:space="preserve">fourth order (24 dB per octave). Because the filters are applied in both directions, the</w:t>
      </w:r>
      <w:r>
        <w:t xml:space="preserve"> </w:t>
      </w:r>
      <w:r>
        <w:t xml:space="preserve">effective roll-off is approximately double that figure. No notch filter was applied</w:t>
      </w:r>
      <w:r>
        <w:t xml:space="preserve"> </w:t>
      </w:r>
      <w:r>
        <w:t xml:space="preserve">offline. Filtering preceded ocular correction, so the independent component analysis was</w:t>
      </w:r>
      <w:r>
        <w:t xml:space="preserve"> </w:t>
      </w:r>
      <w:r>
        <w:t xml:space="preserve">trained on the same 0.1 Hz high-passed data that the analyses themselves use. Owing to a</w:t>
      </w:r>
      <w:r>
        <w:t xml:space="preserve"> </w:t>
      </w:r>
      <w:r>
        <w:t xml:space="preserve">processing oversight, the Session 3 recordings of four</w:t>
      </w:r>
      <w:r>
        <w:t xml:space="preserve"> </w:t>
      </w:r>
      <w:r>
        <w:t xml:space="preserve">participants (lab IDs 7, 8, 9 and 16) were high-pass filtered at 1 Hz rather than 0.1 Hz.</w:t>
      </w:r>
      <w:r>
        <w:t xml:space="preserve"> </w:t>
      </w:r>
      <w:r>
        <w:t xml:space="preserve">These four participant-sessions are excluded from every fitted ERP model and from the</w:t>
      </w:r>
      <w:r>
        <w:t xml:space="preserve"> </w:t>
      </w:r>
      <w:r>
        <w:t xml:space="preserve">decoding. They are retained in two places, both flagged where they</w:t>
      </w:r>
      <w:r>
        <w:t xml:space="preserve"> </w:t>
      </w:r>
      <w:r>
        <w:t xml:space="preserve">occur. The accuracy models draw on the behavioural record, which the filter setting does</w:t>
      </w:r>
      <w:r>
        <w:t xml:space="preserve"> </w:t>
      </w:r>
      <w:r>
        <w:t xml:space="preserve">not touch. The descriptive grand-average waveforms, difference waves and topographies</w:t>
      </w:r>
      <w:r>
        <w:t xml:space="preserve"> </w:t>
      </w:r>
      <w:r>
        <w:t xml:space="preserve">shown in the Results are extracted on the full sample, and their captions say so. The</w:t>
      </w:r>
      <w:r>
        <w:t xml:space="preserve"> </w:t>
      </w:r>
      <w:r>
        <w:t xml:space="preserve">exclusion rests on the filter setting itself, a documented generator of artefacts in this</w:t>
      </w:r>
      <w:r>
        <w:t xml:space="preserve"> </w:t>
      </w:r>
      <w:r>
        <w:t xml:space="preserve">kind of paradigm</w:t>
      </w:r>
      <w:r>
        <w:t xml:space="preserve"> </w:t>
      </w:r>
      <w:r>
        <w:t xml:space="preserve">(Tanner et al. 2015; Widmann et al. 2015)</w:t>
      </w:r>
      <w:r>
        <w:t xml:space="preserve">, and on nothing observed in these</w:t>
      </w:r>
      <w:r>
        <w:t xml:space="preserve"> </w:t>
      </w:r>
      <w:r>
        <w:t xml:space="preserve">participants’ data, so the choice is not results-contingent. The argument is set out in</w:t>
      </w:r>
      <w:r>
        <w:t xml:space="preserve"> </w:t>
      </w:r>
      <w:r>
        <w:t xml:space="preserve">(</w:t>
      </w:r>
      <w:r>
        <w:rPr>
          <w:b/>
          <w:bCs/>
        </w:rPr>
        <w:t xml:space="preserve">apx-analytic-decisions-in-detail?</w:t>
      </w:r>
      <w:r>
        <w:t xml:space="preserve">)</w:t>
      </w:r>
      <w:r>
        <w:t xml:space="preserve">. The excluded datasets hold 6.2% for gender agreement and 6.2% for differential object marking of the retained Session 3 trials.</w:t>
      </w:r>
      <w:r>
        <w:t xml:space="preserve"> </w:t>
      </w:r>
      <w:r>
        <w:t xml:space="preserve">The pipeline can be re-run with them retained.</w:t>
      </w:r>
      <w:r>
        <w:rPr>
          <w:rStyle w:val="FootnoteReference"/>
        </w:rPr>
        <w:footnoteReference w:id="26"/>
      </w:r>
      <w:r>
        <w:t xml:space="preserve"> </w:t>
      </w:r>
      <w:r>
        <w:t xml:space="preserve">Ocular artefacts were then corrected by independent component</w:t>
      </w:r>
      <w:r>
        <w:t xml:space="preserve"> </w:t>
      </w:r>
      <w:r>
        <w:t xml:space="preserve">analysis, and the record was segmented into epochs from</w:t>
      </w:r>
      <w:r>
        <w:t xml:space="preserve"> </w:t>
      </w:r>
      <m:oMath>
        <m:r>
          <m:rPr>
            <m:sty m:val="p"/>
          </m:rPr>
          <m:t>−</m:t>
        </m:r>
        <m:r>
          <m:t>100</m:t>
        </m:r>
      </m:oMath>
      <w:r>
        <w:t xml:space="preserve"> </w:t>
      </w:r>
      <w:r>
        <w:t xml:space="preserve">to</w:t>
      </w:r>
      <w:r>
        <w:t xml:space="preserve"> </w:t>
      </w:r>
      <m:oMath>
        <m:r>
          <m:t>1098</m:t>
        </m:r>
      </m:oMath>
      <w:r>
        <w:t xml:space="preserve"> </w:t>
      </w:r>
      <w:r>
        <w:t xml:space="preserve">ms relative to the</w:t>
      </w:r>
      <w:r>
        <w:t xml:space="preserve"> </w:t>
      </w:r>
      <w:r>
        <w:t xml:space="preserve">onset of the critical word. Trial-by-trial artefact rejection followed, retaining on</w:t>
      </w:r>
      <w:r>
        <w:t xml:space="preserve"> </w:t>
      </w:r>
      <w:r>
        <w:t xml:space="preserve">average 31.4 of the 48 presented trials per modelled cell</w:t>
      </w:r>
      <w:r>
        <w:t xml:space="preserve"> </w:t>
      </w:r>
      <w:r>
        <w:t xml:space="preserve">(</w:t>
      </w:r>
      <m:oMath>
        <m:r>
          <m:t>S</m:t>
        </m:r>
        <m:r>
          <m:t>D</m:t>
        </m:r>
        <m:r>
          <m:rPr>
            <m:sty m:val="p"/>
          </m:rPr>
          <m:t>=</m:t>
        </m:r>
        <m:r>
          <m:t>5.8</m:t>
        </m:r>
      </m:oMath>
      <w:r>
        <w:t xml:space="preserve">), a mean rejection rate of 34.5%.</w:t>
      </w:r>
      <w:r>
        <w:t xml:space="preserve"> </w:t>
      </w:r>
      <w:r>
        <w:t xml:space="preserve">These retention figures are computed on the full sample, as the grand averages are, so</w:t>
      </w:r>
      <w:r>
        <w:t xml:space="preserve"> </w:t>
      </w:r>
      <w:r>
        <w:t xml:space="preserve">the four mis-filtered Session 3 datasets contribute to the Session 3 means.</w:t>
      </w:r>
      <w:r>
        <w:t xml:space="preserve"> </w:t>
      </w:r>
      <w:hyperlink w:anchor="tbl-retention-trials">
        <w:r>
          <w:rPr>
            <w:rStyle w:val="Hyperlink"/>
          </w:rPr>
          <w:t xml:space="preserve">Table 1</w:t>
        </w:r>
      </w:hyperlink>
      <w:r>
        <w:t xml:space="preserve"> </w:t>
      </w:r>
      <w:r>
        <w:t xml:space="preserve">gives the full per-condition breakdown. Differential trial</w:t>
      </w:r>
      <w:r>
        <w:t xml:space="preserve"> </w:t>
      </w:r>
      <w:r>
        <w:t xml:space="preserve">loss between the compared conditions would make a grammaticality effect partly a difference</w:t>
      </w:r>
      <w:r>
        <w:t xml:space="preserve"> </w:t>
      </w:r>
      <w:r>
        <w:t xml:space="preserve">in measurement precision and only partly one in brain response, so retention is reported per</w:t>
      </w:r>
      <w:r>
        <w:t xml:space="preserve"> </w:t>
      </w:r>
      <w:r>
        <w:t xml:space="preserve">condition, and the two prove effectively equal.</w:t>
      </w:r>
    </w:p>
    <w:p>
      <w:pPr>
        <w:pStyle w:val="BodyText"/>
      </w:pPr>
      <w:r>
        <w:t xml:space="preserve">The observed elapsed duration of each home task and of each phase of the laboratory</w:t>
      </w:r>
      <w:r>
        <w:t xml:space="preserve"> </w:t>
      </w:r>
      <w:r>
        <w:t xml:space="preserve">sessions is shown in</w:t>
      </w:r>
      <w:r>
        <w:t xml:space="preserve"> </w:t>
      </w:r>
      <w:hyperlink w:anchor="fig-home-task-duration">
        <w:r>
          <w:rPr>
            <w:rStyle w:val="Hyperlink"/>
          </w:rPr>
          <w:t xml:space="preserve">Figure 4</w:t>
        </w:r>
      </w:hyperlink>
      <w:r>
        <w:t xml:space="preserve"> </w:t>
      </w:r>
      <w:r>
        <w:t xml:space="preserve">and</w:t>
      </w:r>
      <w:r>
        <w:t xml:space="preserve"> </w:t>
      </w:r>
      <w:hyperlink w:anchor="fig-lab-phase-duration">
        <w:r>
          <w:rPr>
            <w:rStyle w:val="Hyperlink"/>
          </w:rPr>
          <w:t xml:space="preserve">Figure 5</w:t>
        </w:r>
      </w:hyperlink>
      <w:r>
        <w:t xml:space="preserve">. These are</w:t>
      </w:r>
      <w:r>
        <w:t xml:space="preserve"> </w:t>
      </w:r>
      <w:r>
        <w:t xml:space="preserve">descriptive timing checks, not additional outcomes: home-task duration runs from the</w:t>
      </w:r>
      <w:r>
        <w:t xml:space="preserve"> </w:t>
      </w:r>
      <w:r>
        <w:t xml:space="preserve">first to the last Gorilla event for each participant and task, whereas lab-phase duration</w:t>
      </w:r>
      <w:r>
        <w:t xml:space="preserve"> </w:t>
      </w:r>
      <w:r>
        <w:t xml:space="preserve">uses the OpenSesame phase markers and the final event in a phase when the next phase was</w:t>
      </w:r>
      <w:r>
        <w:t xml:space="preserve"> </w:t>
      </w:r>
      <w:r>
        <w:t xml:space="preserve">recorded in a separate export.</w:t>
      </w:r>
      <w:r>
        <w:t xml:space="preserve"> </w:t>
      </w:r>
      <w:r>
        <w:t xml:space="preserve">The median home-task durations were 4.45 min for Stroop, 11.98 min for digit span and 36.94 min for ASRT in Session 1, and 3.71, 11.32 and 35.61 min, respectively, in Session 5. Median laboratory-phase durations (pretraining, training, test and experiment) were 4.21, 16.14, 9.93 and 47.49 min in Session 2; 1.57, 18.97, 7.18 and 52.54 min in Session 3; 16.73, 20.08 and 78.37 min for training, test and experiment in Session 4, where pretraining was not recorded; and 73.42 min for the experiment in Session 6, where the other phases were not recorded.</w:t>
      </w:r>
    </w:p>
    <w:tbl>
      <w:tblPr>
        <w:tblStyle w:val="Table"/>
        <w:tblW w:type="pct" w:w="5000"/>
        <w:tblLayout w:type="fixed"/>
        <w:tblLook w:firstRow="0" w:lastRow="0" w:firstColumn="0" w:lastColumn="0" w:noHBand="0" w:noVBand="0" w:val="0000"/>
      </w:tblPr>
      <w:tblGrid>
        <w:gridCol w:w="7920"/>
      </w:tblGrid>
      <w:tr>
        <w:tc>
          <w:tcPr/>
          <w:bookmarkStart w:id="30" w:name="fig-home-task-duration"/>
          <w:p>
            <w:pPr>
              <w:pStyle w:val="Compact"/>
              <w:jc w:val="center"/>
            </w:pPr>
            <w:r>
              <w:drawing>
                <wp:inline>
                  <wp:extent cx="5334000" cy="2376365"/>
                  <wp:effectExtent b="0" l="0" r="0" t="0"/>
                  <wp:docPr descr="" title="" id="28" name="Picture"/>
                  <a:graphic>
                    <a:graphicData uri="http://schemas.openxmlformats.org/drawingml/2006/picture">
                      <pic:pic>
                        <pic:nvPicPr>
                          <pic:cNvPr descr="paper_1_morphosyntax_files/figure-docx/fig-home-task-duration-1.png" id="29" name="Picture"/>
                          <pic:cNvPicPr>
                            <a:picLocks noChangeArrowheads="1" noChangeAspect="1"/>
                          </pic:cNvPicPr>
                        </pic:nvPicPr>
                        <pic:blipFill>
                          <a:blip r:embed="rId27"/>
                          <a:stretch>
                            <a:fillRect/>
                          </a:stretch>
                        </pic:blipFill>
                        <pic:spPr bwMode="auto">
                          <a:xfrm>
                            <a:off x="0" y="0"/>
                            <a:ext cx="5334000" cy="237636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Duration of the Home Cognitive Tasks by Session</w:t>
            </w:r>
          </w:p>
          <w:bookmarkEnd w:id="30"/>
        </w:tc>
      </w:tr>
    </w:tbl>
    <w:tbl>
      <w:tblPr>
        <w:tblStyle w:val="Table"/>
        <w:tblW w:type="pct" w:w="5000"/>
        <w:tblLayout w:type="fixed"/>
        <w:tblLook w:firstRow="0" w:lastRow="0" w:firstColumn="0" w:lastColumn="0" w:noHBand="0" w:noVBand="0" w:val="0000"/>
      </w:tblPr>
      <w:tblGrid>
        <w:gridCol w:w="7920"/>
      </w:tblGrid>
      <w:tr>
        <w:tc>
          <w:tcPr/>
          <w:bookmarkStart w:id="34" w:name="fig-lab-phase-duration"/>
          <w:p>
            <w:pPr>
              <w:pStyle w:val="Compact"/>
              <w:jc w:val="center"/>
            </w:pPr>
            <w:r>
              <w:drawing>
                <wp:inline>
                  <wp:extent cx="5334000" cy="2461846"/>
                  <wp:effectExtent b="0" l="0" r="0" t="0"/>
                  <wp:docPr descr="" title="" id="32" name="Picture"/>
                  <a:graphic>
                    <a:graphicData uri="http://schemas.openxmlformats.org/drawingml/2006/picture">
                      <pic:pic>
                        <pic:nvPicPr>
                          <pic:cNvPr descr="paper_1_morphosyntax_files/figure-docx/fig-lab-phase-duration-1.png" id="33" name="Picture"/>
                          <pic:cNvPicPr>
                            <a:picLocks noChangeArrowheads="1" noChangeAspect="1"/>
                          </pic:cNvPicPr>
                        </pic:nvPicPr>
                        <pic:blipFill>
                          <a:blip r:embed="rId31"/>
                          <a:stretch>
                            <a:fillRect/>
                          </a:stretch>
                        </pic:blipFill>
                        <pic:spPr bwMode="auto">
                          <a:xfrm>
                            <a:off x="0" y="0"/>
                            <a:ext cx="5334000" cy="246184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Duration of the Laboratory-Session Phases</w:t>
            </w:r>
          </w:p>
          <w:bookmarkEnd w:id="34"/>
        </w:tc>
      </w:tr>
    </w:tbl>
    <w:p>
      <w:pPr>
        <w:pStyle w:val="BodyText"/>
      </w:pPr>
      <w:r>
        <w:t xml:space="preserve">Averaged over properties and sessions, 31.4 trials were retained</w:t>
      </w:r>
      <w:r>
        <w:t xml:space="preserve"> </w:t>
      </w:r>
      <w:r>
        <w:t xml:space="preserve">on grammatical trials and</w:t>
      </w:r>
      <w:r>
        <w:t xml:space="preserve"> </w:t>
      </w:r>
      <w:r>
        <w:t xml:space="preserve">31.4 on ungrammatical trials, a difference of</w:t>
      </w:r>
      <w:r>
        <w:t xml:space="preserve"> </w:t>
      </w:r>
      <w:r>
        <w:t xml:space="preserve">0.02 trials.</w:t>
      </w:r>
    </w:p>
    <w:p>
      <w:pPr>
        <w:pStyle w:val="BodyText"/>
      </w:pPr>
      <w:r>
        <w:t xml:space="preserve">For each retained trial, we computed the mean amplitude in three theoretically</w:t>
      </w:r>
      <w:r>
        <w:t xml:space="preserve"> </w:t>
      </w:r>
      <w:r>
        <w:t xml:space="preserve">motivated latency windows, 200–500 ms (the LAN/early-negativity range),</w:t>
      </w:r>
      <w:r>
        <w:t xml:space="preserve"> </w:t>
      </w:r>
      <w:r>
        <w:t xml:space="preserve">300–600 ms (the N400 range) and 400–900 ms (the P600 range), at lateral and</w:t>
      </w:r>
      <w:r>
        <w:t xml:space="preserve"> </w:t>
      </w:r>
      <w:r>
        <w:t xml:space="preserve">midline electrode macroregions. The windows are named by their nominal bounds</w:t>
      </w:r>
      <w:r>
        <w:t xml:space="preserve"> </w:t>
      </w:r>
      <w:r>
        <w:t xml:space="preserve">throughout. On the 2 ms acquisition grid, each is inclusive of samples up to</w:t>
      </w:r>
      <w:r>
        <w:t xml:space="preserve"> </w:t>
      </w:r>
      <w:r>
        <w:t xml:space="preserve">498, 598 and 898 ms respectively. That convention is inherited from the validated importer</w:t>
      </w:r>
      <w:r>
        <w:t xml:space="preserve"> </w:t>
      </w:r>
      <w:r>
        <w:t xml:space="preserve">and is noted here so that the figures and the code can be read against the prose. The lateral</w:t>
      </w:r>
      <w:r>
        <w:t xml:space="preserve"> </w:t>
      </w:r>
      <w:r>
        <w:t xml:space="preserve">region comprises left- and</w:t>
      </w:r>
      <w:r>
        <w:t xml:space="preserve"> </w:t>
      </w:r>
      <w:r>
        <w:t xml:space="preserve">right-hemisphere anterior, medial and posterior clusters and so carries both the</w:t>
      </w:r>
      <w:r>
        <w:t xml:space="preserve"> </w:t>
      </w:r>
      <w:r>
        <w:t xml:space="preserve">hemisphere and the caudality contrasts. The midline region comprises three clusters</w:t>
      </w:r>
      <w:r>
        <w:t xml:space="preserve"> </w:t>
      </w:r>
      <w:r>
        <w:t xml:space="preserve">centred on the midline and supports the caudality contrast alone. Those clusters are parasagittal, so they are</w:t>
      </w:r>
      <w:r>
        <w:t xml:space="preserve"> </w:t>
      </w:r>
      <w:r>
        <w:t xml:space="preserve">not strictly midline. Besides Fz, Cz, Pz and Oz they include the pairs</w:t>
      </w:r>
      <w:r>
        <w:t xml:space="preserve"> </w:t>
      </w:r>
      <w:r>
        <w:t xml:space="preserve">FC1/FC2 and CP1/CP2, which the cap places about a quarter of the head radius either</w:t>
      </w:r>
      <w:r>
        <w:t xml:space="preserve"> </w:t>
      </w:r>
      <w:r>
        <w:t xml:space="preserve">side of it. Because each pair is exactly symmetric, however, the cluster mean remains</w:t>
      </w:r>
      <w:r>
        <w:t xml:space="preserve"> </w:t>
      </w:r>
      <w:r>
        <w:t xml:space="preserve">centred on the midline and has no net hemispheric bias, which is why no hemisphere</w:t>
      </w:r>
      <w:r>
        <w:t xml:space="preserve"> </w:t>
      </w:r>
      <w:r>
        <w:t xml:space="preserve">term is estimated there. Two further choices, the within-participant</w:t>
      </w:r>
      <w:r>
        <w:t xml:space="preserve"> </w:t>
      </w:r>
      <m:oMath>
        <m:r>
          <m:t>z</m:t>
        </m:r>
      </m:oMath>
      <w:r>
        <w:t xml:space="preserve">-scoring of</w:t>
      </w:r>
      <w:r>
        <w:t xml:space="preserve"> </w:t>
      </w:r>
      <w:r>
        <w:t xml:space="preserve">single-trial amplitudes and the treatment of each trial’s pre-stimulus mean amplitude</w:t>
      </w:r>
      <w:r>
        <w:t xml:space="preserve"> </w:t>
      </w:r>
      <w:r>
        <w:t xml:space="preserve">(</w:t>
      </w:r>
      <m:oMath>
        <m:r>
          <m:rPr>
            <m:sty m:val="p"/>
          </m:rPr>
          <m:t>−</m:t>
        </m:r>
        <m:r>
          <m:t>100</m:t>
        </m:r>
      </m:oMath>
      <w:r>
        <w:t xml:space="preserve"> </w:t>
      </w:r>
      <w:r>
        <w:t xml:space="preserve">to</w:t>
      </w:r>
      <w:r>
        <w:t xml:space="preserve"> </w:t>
      </w:r>
      <m:oMath>
        <m:r>
          <m:t>0</m:t>
        </m:r>
      </m:oMath>
      <w:r>
        <w:t xml:space="preserve"> </w:t>
      </w:r>
      <w:r>
        <w:t xml:space="preserve">ms) as a covariate instead of a subtracted baseline, are modelling</w:t>
      </w:r>
      <w:r>
        <w:t xml:space="preserve"> </w:t>
      </w:r>
      <w:r>
        <w:t xml:space="preserve">decisions and are set out under</w:t>
      </w:r>
      <w:r>
        <w:t xml:space="preserve"> </w:t>
      </w:r>
      <w:r>
        <w:rPr>
          <w:i/>
          <w:iCs/>
        </w:rPr>
        <w:t xml:space="preserve">Data analysis</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tbl-retention-trials"/>
          <w:p>
            <w:pPr>
              <w:jc w:val="center"/>
            </w:pPr>
            <w:pPr>
              <w:jc w:val="left"/>
              <w:spacing w:before="200"/>
              <w:pStyle w:val="ImageCaption"/>
            </w:pPr>
            <w:r>
              <w:t xml:space="preserve">Table 1: Retained Single-Trial EEG per Modelled Cell, by Grammatical Property and Session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Property</w:t>
                  </w:r>
                </w:p>
              </w:tc>
              <w:tc>
                <w:tcPr/>
                <w:p>
                  <w:pPr>
                    <w:pStyle w:val="Compact"/>
                    <w:jc w:val="left"/>
                    <w:jc w:val="center"/>
                  </w:pPr>
                  <w:r>
                    <w:t xml:space="preserve">Condition</w:t>
                  </w:r>
                </w:p>
              </w:tc>
              <w:tc>
                <w:tcPr/>
                <w:p>
                  <w:pPr>
                    <w:pStyle w:val="Compact"/>
                    <w:jc w:val="right"/>
                    <w:jc w:val="center"/>
                  </w:pPr>
                  <w:r>
                    <w:t xml:space="preserve">S2</w:t>
                  </w:r>
                </w:p>
              </w:tc>
              <w:tc>
                <w:tcPr/>
                <w:p>
                  <w:pPr>
                    <w:pStyle w:val="Compact"/>
                    <w:jc w:val="right"/>
                    <w:jc w:val="center"/>
                  </w:pPr>
                  <w:r>
                    <w:t xml:space="preserve">S3</w:t>
                  </w:r>
                </w:p>
              </w:tc>
              <w:tc>
                <w:tcPr/>
                <w:p>
                  <w:pPr>
                    <w:pStyle w:val="Compact"/>
                    <w:jc w:val="right"/>
                    <w:jc w:val="center"/>
                  </w:pPr>
                  <w:r>
                    <w:t xml:space="preserve">S4</w:t>
                  </w:r>
                </w:p>
              </w:tc>
              <w:tc>
                <w:tcPr/>
                <w:p>
                  <w:pPr>
                    <w:pStyle w:val="Compact"/>
                    <w:jc w:val="right"/>
                    <w:jc w:val="center"/>
                  </w:pPr>
                  <w:r>
                    <w:t xml:space="preserve">S6</w:t>
                  </w:r>
                </w:p>
              </w:tc>
            </w:tr>
            <w:tr>
              <w:tc>
                <w:tcPr/>
                <w:p>
                  <w:pPr>
                    <w:pStyle w:val="Compact"/>
                    <w:jc w:val="left"/>
                    <w:jc w:val="center"/>
                  </w:pPr>
                  <w:r>
                    <w:t xml:space="preserve">Gender agreement</w:t>
                  </w:r>
                </w:p>
              </w:tc>
              <w:tc>
                <w:tcPr/>
                <w:p>
                  <w:pPr>
                    <w:pStyle w:val="Compact"/>
                    <w:jc w:val="left"/>
                    <w:jc w:val="center"/>
                  </w:pPr>
                  <w:r>
                    <w:t xml:space="preserve">Grammatical</w:t>
                  </w:r>
                </w:p>
              </w:tc>
              <w:tc>
                <w:tcPr/>
                <w:p>
                  <w:pPr>
                    <w:pStyle w:val="Compact"/>
                    <w:jc w:val="right"/>
                    <w:jc w:val="center"/>
                  </w:pPr>
                  <w:r>
                    <w:t xml:space="preserve">31.5</w:t>
                  </w:r>
                </w:p>
              </w:tc>
              <w:tc>
                <w:tcPr/>
                <w:p>
                  <w:pPr>
                    <w:pStyle w:val="Compact"/>
                    <w:jc w:val="right"/>
                    <w:jc w:val="center"/>
                  </w:pPr>
                  <w:r>
                    <w:t xml:space="preserve">32.1</w:t>
                  </w:r>
                </w:p>
              </w:tc>
              <w:tc>
                <w:tcPr/>
                <w:p>
                  <w:pPr>
                    <w:pStyle w:val="Compact"/>
                    <w:jc w:val="right"/>
                    <w:jc w:val="center"/>
                  </w:pPr>
                  <w:r>
                    <w:t xml:space="preserve">32.2</w:t>
                  </w:r>
                </w:p>
              </w:tc>
              <w:tc>
                <w:tcPr/>
                <w:p>
                  <w:pPr>
                    <w:pStyle w:val="Compact"/>
                    <w:jc w:val="right"/>
                    <w:jc w:val="center"/>
                  </w:pPr>
                  <w:r>
                    <w:t xml:space="preserve">30.2</w:t>
                  </w:r>
                </w:p>
              </w:tc>
            </w:tr>
            <w:tr>
              <w:tc>
                <w:tcPr/>
                <w:p>
                  <w:pPr>
                    <w:pStyle w:val="Compact"/>
                    <w:jc w:val="left"/>
                    <w:jc w:val="center"/>
                  </w:pPr>
                  <w:r>
                    <w:t xml:space="preserve">Gender agreement</w:t>
                  </w:r>
                </w:p>
              </w:tc>
              <w:tc>
                <w:tcPr/>
                <w:p>
                  <w:pPr>
                    <w:pStyle w:val="Compact"/>
                    <w:jc w:val="left"/>
                    <w:jc w:val="center"/>
                  </w:pPr>
                  <w:r>
                    <w:t xml:space="preserve">Ungrammatical</w:t>
                  </w:r>
                </w:p>
              </w:tc>
              <w:tc>
                <w:tcPr/>
                <w:p>
                  <w:pPr>
                    <w:pStyle w:val="Compact"/>
                    <w:jc w:val="right"/>
                    <w:jc w:val="center"/>
                  </w:pPr>
                  <w:r>
                    <w:t xml:space="preserve">30.6</w:t>
                  </w:r>
                </w:p>
              </w:tc>
              <w:tc>
                <w:tcPr/>
                <w:p>
                  <w:pPr>
                    <w:pStyle w:val="Compact"/>
                    <w:jc w:val="right"/>
                    <w:jc w:val="center"/>
                  </w:pPr>
                  <w:r>
                    <w:t xml:space="preserve">32.0</w:t>
                  </w:r>
                </w:p>
              </w:tc>
              <w:tc>
                <w:tcPr/>
                <w:p>
                  <w:pPr>
                    <w:pStyle w:val="Compact"/>
                    <w:jc w:val="right"/>
                    <w:jc w:val="center"/>
                  </w:pPr>
                  <w:r>
                    <w:t xml:space="preserve">31.4</w:t>
                  </w:r>
                </w:p>
              </w:tc>
              <w:tc>
                <w:tcPr/>
                <w:p>
                  <w:pPr>
                    <w:pStyle w:val="Compact"/>
                    <w:jc w:val="right"/>
                    <w:jc w:val="center"/>
                  </w:pPr>
                  <w:r>
                    <w:t xml:space="preserve">30.6</w:t>
                  </w:r>
                </w:p>
              </w:tc>
            </w:tr>
            <w:tr>
              <w:tc>
                <w:tcPr/>
                <w:p>
                  <w:pPr>
                    <w:pStyle w:val="Compact"/>
                    <w:jc w:val="left"/>
                    <w:jc w:val="center"/>
                  </w:pPr>
                  <w:r>
                    <w:t xml:space="preserve">Differential object marking</w:t>
                  </w:r>
                </w:p>
              </w:tc>
              <w:tc>
                <w:tcPr/>
                <w:p>
                  <w:pPr>
                    <w:pStyle w:val="Compact"/>
                    <w:jc w:val="left"/>
                    <w:jc w:val="center"/>
                  </w:pPr>
                  <w:r>
                    <w:t xml:space="preserve">Grammatical</w:t>
                  </w:r>
                </w:p>
              </w:tc>
              <w:tc>
                <w:tcPr/>
                <w:p>
                  <w:pPr>
                    <w:pStyle w:val="Compact"/>
                    <w:jc w:val="right"/>
                    <w:jc w:val="center"/>
                  </w:pPr>
                  <w:r>
                    <w:t xml:space="preserve">n/a</w:t>
                  </w:r>
                </w:p>
              </w:tc>
              <w:tc>
                <w:tcPr/>
                <w:p>
                  <w:pPr>
                    <w:pStyle w:val="Compact"/>
                    <w:jc w:val="right"/>
                    <w:jc w:val="center"/>
                  </w:pPr>
                  <w:r>
                    <w:t xml:space="preserve">32.0</w:t>
                  </w:r>
                </w:p>
              </w:tc>
              <w:tc>
                <w:tcPr/>
                <w:p>
                  <w:pPr>
                    <w:pStyle w:val="Compact"/>
                    <w:jc w:val="right"/>
                    <w:jc w:val="center"/>
                  </w:pPr>
                  <w:r>
                    <w:t xml:space="preserve">31.7</w:t>
                  </w:r>
                </w:p>
              </w:tc>
              <w:tc>
                <w:tcPr/>
                <w:p>
                  <w:pPr>
                    <w:pStyle w:val="Compact"/>
                    <w:jc w:val="right"/>
                    <w:jc w:val="center"/>
                  </w:pPr>
                  <w:r>
                    <w:t xml:space="preserve">30.5</w:t>
                  </w:r>
                </w:p>
              </w:tc>
            </w:tr>
            <w:tr>
              <w:tc>
                <w:tcPr/>
                <w:p>
                  <w:pPr>
                    <w:pStyle w:val="Compact"/>
                    <w:jc w:val="left"/>
                    <w:jc w:val="center"/>
                  </w:pPr>
                  <w:r>
                    <w:t xml:space="preserve">Differential object marking</w:t>
                  </w:r>
                </w:p>
              </w:tc>
              <w:tc>
                <w:tcPr/>
                <w:p>
                  <w:pPr>
                    <w:pStyle w:val="Compact"/>
                    <w:jc w:val="left"/>
                    <w:jc w:val="center"/>
                  </w:pPr>
                  <w:r>
                    <w:t xml:space="preserve">Ungrammatical</w:t>
                  </w:r>
                </w:p>
              </w:tc>
              <w:tc>
                <w:tcPr/>
                <w:p>
                  <w:pPr>
                    <w:pStyle w:val="Compact"/>
                    <w:jc w:val="right"/>
                    <w:jc w:val="center"/>
                  </w:pPr>
                  <w:r>
                    <w:t xml:space="preserve">n/a</w:t>
                  </w:r>
                </w:p>
              </w:tc>
              <w:tc>
                <w:tcPr/>
                <w:p>
                  <w:pPr>
                    <w:pStyle w:val="Compact"/>
                    <w:jc w:val="right"/>
                    <w:jc w:val="center"/>
                  </w:pPr>
                  <w:r>
                    <w:t xml:space="preserve">30.8</w:t>
                  </w:r>
                </w:p>
              </w:tc>
              <w:tc>
                <w:tcPr/>
                <w:p>
                  <w:pPr>
                    <w:pStyle w:val="Compact"/>
                    <w:jc w:val="right"/>
                    <w:jc w:val="center"/>
                  </w:pPr>
                  <w:r>
                    <w:t xml:space="preserve">31.6</w:t>
                  </w:r>
                </w:p>
              </w:tc>
              <w:tc>
                <w:tcPr/>
                <w:p>
                  <w:pPr>
                    <w:pStyle w:val="Compact"/>
                    <w:jc w:val="right"/>
                    <w:jc w:val="center"/>
                  </w:pPr>
                  <w:r>
                    <w:t xml:space="preserve">31.5</w:t>
                  </w:r>
                </w:p>
              </w:tc>
            </w:tr>
            <w:tr>
              <w:tc>
                <w:tcPr/>
                <w:p>
                  <w:pPr>
                    <w:pStyle w:val="Compact"/>
                    <w:jc w:val="left"/>
                    <w:jc w:val="center"/>
                  </w:pPr>
                  <w:r>
                    <w:t xml:space="preserve">Verb–object number agreement</w:t>
                  </w:r>
                </w:p>
              </w:tc>
              <w:tc>
                <w:tcPr/>
                <w:p>
                  <w:pPr>
                    <w:pStyle w:val="Compact"/>
                    <w:jc w:val="left"/>
                    <w:jc w:val="center"/>
                  </w:pPr>
                  <w:r>
                    <w:t xml:space="preserve">Grammatical</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31.5</w:t>
                  </w:r>
                </w:p>
              </w:tc>
              <w:tc>
                <w:tcPr/>
                <w:p>
                  <w:pPr>
                    <w:pStyle w:val="Compact"/>
                    <w:jc w:val="right"/>
                    <w:jc w:val="center"/>
                  </w:pPr>
                  <w:r>
                    <w:t xml:space="preserve">30.6</w:t>
                  </w:r>
                </w:p>
              </w:tc>
            </w:tr>
            <w:tr>
              <w:tc>
                <w:tcPr/>
                <w:p>
                  <w:pPr>
                    <w:pStyle w:val="Compact"/>
                    <w:jc w:val="left"/>
                    <w:jc w:val="center"/>
                  </w:pPr>
                  <w:r>
                    <w:t xml:space="preserve">Verb–object number agreement</w:t>
                  </w:r>
                </w:p>
              </w:tc>
              <w:tc>
                <w:tcPr/>
                <w:p>
                  <w:pPr>
                    <w:pStyle w:val="Compact"/>
                    <w:jc w:val="left"/>
                    <w:jc w:val="center"/>
                  </w:pPr>
                  <w:r>
                    <w:t xml:space="preserve">Ungrammatical</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32.1</w:t>
                  </w:r>
                </w:p>
              </w:tc>
              <w:tc>
                <w:tcPr/>
                <w:p>
                  <w:pPr>
                    <w:pStyle w:val="Compact"/>
                    <w:jc w:val="right"/>
                    <w:jc w:val="center"/>
                  </w:pPr>
                  <w:r>
                    <w:t xml:space="preserve">31.8</w:t>
                  </w:r>
                </w:p>
              </w:tc>
            </w:tr>
          </w:tbl>
          <w:bookmarkEnd w:id="35"/>
          <w:p/>
        </w:tc>
      </w:tr>
    </w:tbl>
    <w:bookmarkEnd w:id="36"/>
    <w:bookmarkStart w:id="37" w:name="grammaticality-judgement-task"/>
    <w:p>
      <w:pPr>
        <w:pStyle w:val="Heading2"/>
      </w:pPr>
      <w:r>
        <w:t xml:space="preserve">Grammaticality-judgement task</w:t>
      </w:r>
    </w:p>
    <w:p>
      <w:pPr>
        <w:pStyle w:val="FirstParagraph"/>
      </w:pPr>
      <w:r>
        <w:t xml:space="preserve">The grammaticality judgement was collected concurrently with the ERP recording. On</w:t>
      </w:r>
      <w:r>
        <w:t xml:space="preserve"> </w:t>
      </w:r>
      <w:r>
        <w:t xml:space="preserve">each experimental trial, participants judged whether the sentence was grammatical for</w:t>
      </w:r>
      <w:r>
        <w:t xml:space="preserve"> </w:t>
      </w:r>
      <w:r>
        <w:t xml:space="preserve">the property under test, so the trial-level accuracy (correct/incorrect) and the</w:t>
      </w:r>
      <w:r>
        <w:t xml:space="preserve"> </w:t>
      </w:r>
      <w:r>
        <w:t xml:space="preserve">single-trial ERP are two measures of one and the same event, recorded within a single</w:t>
      </w:r>
      <w:r>
        <w:t xml:space="preserve"> </w:t>
      </w:r>
      <w:r>
        <w:t xml:space="preserve">task. Accuracy is the sole behavioural dependent measure. Response times</w:t>
      </w:r>
      <w:r>
        <w:t xml:space="preserve"> </w:t>
      </w:r>
      <w:r>
        <w:t xml:space="preserve">served only to screen trials.</w:t>
      </w:r>
      <w:r>
        <w:t xml:space="preserve"> </w:t>
      </w:r>
      <w:r>
        <w:t xml:space="preserve">Judgements of 200 ms or less, or of 4,000</w:t>
      </w:r>
      <w:r>
        <w:t xml:space="preserve"> </w:t>
      </w:r>
      <w:r>
        <w:t xml:space="preserve">ms or more, were discarded as implausible, which removed</w:t>
      </w:r>
      <w:r>
        <w:t xml:space="preserve"> </w:t>
      </w:r>
      <w:r>
        <w:t xml:space="preserve">8,504 of the 42,116 otherwise valid</w:t>
      </w:r>
      <w:r>
        <w:t xml:space="preserve"> </w:t>
      </w:r>
      <w:r>
        <w:t xml:space="preserve">judgement trials (20.2%), leaving</w:t>
      </w:r>
      <w:r>
        <w:t xml:space="preserve"> </w:t>
      </w:r>
      <w:r>
        <w:t xml:space="preserve">33,612 trials for analysis. The bounds were carried over from the</w:t>
      </w:r>
      <w:r>
        <w:t xml:space="preserve"> </w:t>
      </w:r>
      <w:r>
        <w:t xml:space="preserve">legacy preprocessing pipeline, which recorded no rationale for them, so we disclose</w:t>
      </w:r>
      <w:r>
        <w:t xml:space="preserve"> </w:t>
      </w:r>
      <w:r>
        <w:t xml:space="preserve">the screen and its cost without defending the cutoffs. Two features of the Session 4 logs removed further judgements before that screen. The runs of two participants were exported in two files whose names the extraction’s file pattern does not match, and the logs of two participants were exported with a semicolon delimiter that the comma-delimited reader cannot parse. Those participants contribute no Session 4 judgements and enter the models through their other sessions only. Rows</w:t>
      </w:r>
      <w:r>
        <w:t xml:space="preserve"> </w:t>
      </w:r>
      <w:r>
        <w:t xml:space="preserve">that the presentation software logged twice under one trial number were reduced to one</w:t>
      </w:r>
      <w:r>
        <w:t xml:space="preserve"> </w:t>
      </w:r>
      <w:r>
        <w:t xml:space="preserve">per participant, session, property and trial, and the unlabelled filler sentences shown</w:t>
      </w:r>
      <w:r>
        <w:t xml:space="preserve"> </w:t>
      </w:r>
      <w:r>
        <w:t xml:space="preserve">at Session 2 carry no property and fall outside the modelled contrast. The judgement</w:t>
      </w:r>
      <w:r>
        <w:t xml:space="preserve"> </w:t>
      </w:r>
      <w:r>
        <w:t xml:space="preserve">sentences were generated combinatorially, which has a consequence for the accuracy</w:t>
      </w:r>
      <w:r>
        <w:t xml:space="preserve"> </w:t>
      </w:r>
      <w:r>
        <w:t xml:space="preserve">models’ random-effect structure (see</w:t>
      </w:r>
      <w:r>
        <w:t xml:space="preserve"> </w:t>
      </w:r>
      <w:r>
        <w:rPr>
          <w:i/>
          <w:iCs/>
        </w:rPr>
        <w:t xml:space="preserve">Data analysis</w:t>
      </w:r>
      <w:r>
        <w:t xml:space="preserve">).</w:t>
      </w:r>
    </w:p>
    <w:bookmarkEnd w:id="37"/>
    <w:bookmarkStart w:id="48" w:name="data-analysis"/>
    <w:p>
      <w:pPr>
        <w:pStyle w:val="Heading2"/>
      </w:pPr>
      <w:r>
        <w:t xml:space="preserve">Data analysis</w:t>
      </w:r>
    </w:p>
    <w:p>
      <w:pPr>
        <w:pStyle w:val="FirstParagraph"/>
      </w:pPr>
      <w:r>
        <w:t xml:space="preserve">All models were fitted in a fully Bayesian framework with</w:t>
      </w:r>
      <w:r>
        <w:t xml:space="preserve"> </w:t>
      </w:r>
      <w:r>
        <w:rPr>
          <w:rStyle w:val="VerbatimChar"/>
        </w:rPr>
        <w:t xml:space="preserve">brms</w:t>
      </w:r>
      <w:r>
        <w:t xml:space="preserve"> </w:t>
      </w:r>
      <w:r>
        <w:t xml:space="preserve">(Bürkner 2017, 2018)</w:t>
      </w:r>
      <w:r>
        <w:t xml:space="preserve"> </w:t>
      </w:r>
      <w:r>
        <w:t xml:space="preserve">as a front end to the Stan No-U-Turn sampler</w:t>
      </w:r>
      <w:r>
        <w:t xml:space="preserve"> </w:t>
      </w:r>
      <w:r>
        <w:t xml:space="preserve">(Carpenter et al. 2017)</w:t>
      </w:r>
      <w:r>
        <w:t xml:space="preserve">. A Bayesian</w:t>
      </w:r>
      <w:r>
        <w:t xml:space="preserve"> </w:t>
      </w:r>
      <w:r>
        <w:t xml:space="preserve">treatment is not incidental to the question here. The hypotheses concern the size and</w:t>
      </w:r>
      <w:r>
        <w:t xml:space="preserve"> </w:t>
      </w:r>
      <w:r>
        <w:t xml:space="preserve">direction of effects that are expected to be small. Several of the comparisons that</w:t>
      </w:r>
      <w:r>
        <w:t xml:space="preserve"> </w:t>
      </w:r>
      <w:r>
        <w:t xml:space="preserve">matter, such as whether a property’s transfer effect grows across sessions, are naturally</w:t>
      </w:r>
      <w:r>
        <w:t xml:space="preserve"> </w:t>
      </w:r>
      <w:r>
        <w:t xml:space="preserve">expressed as statements about a posterior. Priors, sampler settings, diagnostics and</w:t>
      </w:r>
      <w:r>
        <w:t xml:space="preserve"> </w:t>
      </w:r>
      <w:r>
        <w:t xml:space="preserve">inference rules are set out in the sections that follow. The analysis and reporting code</w:t>
      </w:r>
      <w:r>
        <w:t xml:space="preserve"> </w:t>
      </w:r>
      <w:r>
        <w:t xml:space="preserve">was written with the assistance of Claude Code (version 2.1, Anthropic), running</w:t>
      </w:r>
      <w:r>
        <w:t xml:space="preserve"> </w:t>
      </w:r>
      <w:r>
        <w:t xml:space="preserve">primarily the Claude Opus and Claude Fable models, which drafted and revised scripts</w:t>
      </w:r>
      <w:r>
        <w:t xml:space="preserve"> </w:t>
      </w:r>
      <w:r>
        <w:t xml:space="preserve">under the authors’ direction and checked them against the method reported here. The</w:t>
      </w:r>
      <w:r>
        <w:t xml:space="preserve"> </w:t>
      </w:r>
      <w:r>
        <w:t xml:space="preserve">authors reviewed and ran every script, and the deposited code reproduces the analyses</w:t>
      </w:r>
      <w:r>
        <w:t xml:space="preserve"> </w:t>
      </w:r>
      <w:r>
        <w:t xml:space="preserve">without the tool.</w:t>
      </w:r>
    </w:p>
    <w:bookmarkStart w:id="38" w:name="predictor-coding-and-standardisation"/>
    <w:p>
      <w:pPr>
        <w:pStyle w:val="Heading3"/>
      </w:pPr>
      <w:r>
        <w:t xml:space="preserve">Predictor coding and standardisation</w:t>
      </w:r>
    </w:p>
    <w:p>
      <w:pPr>
        <w:pStyle w:val="FirstParagraph"/>
      </w:pPr>
      <w:r>
        <w:t xml:space="preserve">Every continuous predictor was</w:t>
      </w:r>
      <w:r>
        <w:t xml:space="preserve"> </w:t>
      </w:r>
      <m:oMath>
        <m:r>
          <m:t>z</m:t>
        </m:r>
      </m:oMath>
      <w:r>
        <w:t xml:space="preserve">-standardised and every dichotomous predictor</w:t>
      </w:r>
      <w:r>
        <w:t xml:space="preserve"> </w:t>
      </w:r>
      <w:r>
        <w:t xml:space="preserve">was</w:t>
      </w:r>
      <w:r>
        <w:t xml:space="preserve"> </w:t>
      </w:r>
      <m:oMath>
        <m:r>
          <m:rPr>
            <m:sty m:val="p"/>
          </m:rPr>
          <m:t>±</m:t>
        </m:r>
        <m:r>
          <m:t>0.5</m:t>
        </m:r>
      </m:oMath>
      <w:r>
        <w:t xml:space="preserve"> </w:t>
      </w:r>
      <w:r>
        <w:t xml:space="preserve">contrast coded before model fitting (the</w:t>
      </w:r>
      <w:r>
        <w:t xml:space="preserve"> </w:t>
      </w:r>
      <m:oMath>
        <m:r>
          <m:rPr>
            <m:sty m:val="p"/>
          </m:rPr>
          <m:t>±</m:t>
        </m:r>
        <m:r>
          <m:t>0.5</m:t>
        </m:r>
      </m:oMath>
      <w:r>
        <w:t xml:space="preserve"> </w:t>
      </w:r>
      <w:r>
        <w:t xml:space="preserve">codes are then</w:t>
      </w:r>
      <w:r>
        <w:t xml:space="preserve"> </w:t>
      </w:r>
      <m:oMath>
        <m:r>
          <m:t>z</m:t>
        </m:r>
      </m:oMath>
      <w:r>
        <w:t xml:space="preserve">-standardised with the other predictors, which preserves their sign). On this</w:t>
      </w:r>
      <w:r>
        <w:t xml:space="preserve"> </w:t>
      </w:r>
      <w:r>
        <w:t xml:space="preserve">common standardised scale, regression coefficients are directly comparable, and</w:t>
      </w:r>
      <w:r>
        <w:t xml:space="preserve"> </w:t>
      </w:r>
      <w:r>
        <w:t xml:space="preserve">lower-order terms in interactive models retain interpretable main-effect meanings</w:t>
      </w:r>
      <w:r>
        <w:t xml:space="preserve"> </w:t>
      </w:r>
      <w:r>
        <w:t xml:space="preserve">(Brauer and Curtin 2018; Schielzeth 2010)</w:t>
      </w:r>
      <w:r>
        <w:t xml:space="preserve">. Standardising the inputs is also what makes a prior</w:t>
      </w:r>
      <w:r>
        <w:t xml:space="preserve"> </w:t>
      </w:r>
      <w:r>
        <w:t xml:space="preserve">on a coefficient interpretable, because it fixes the scale that prior is placed on</w:t>
      </w:r>
      <w:r>
        <w:t xml:space="preserve"> </w:t>
      </w:r>
      <w:r>
        <w:t xml:space="preserve">(Gelman et al. 2008)</w:t>
      </w:r>
      <w:r>
        <w:t xml:space="preserve">. Session was recoded to consecutive integers in the order the four</w:t>
      </w:r>
      <w:r>
        <w:t xml:space="preserve"> </w:t>
      </w:r>
      <w:r>
        <w:t xml:space="preserve">sessions occurred, Sessions 2, 3, 4 and 6 becoming 0–3, and then</w:t>
      </w:r>
      <w:r>
        <w:t xml:space="preserve"> </w:t>
      </w:r>
      <m:oMath>
        <m:r>
          <m:t>z</m:t>
        </m:r>
      </m:oMath>
      <w:r>
        <w:t xml:space="preserve">-standardised</w:t>
      </w:r>
      <w:r>
        <w:t xml:space="preserve"> </w:t>
      </w:r>
      <w:r>
        <w:t xml:space="preserve">(within property for the accuracy models, whose properties span different session</w:t>
      </w:r>
      <w:r>
        <w:t xml:space="preserve"> </w:t>
      </w:r>
      <w:r>
        <w:t xml:space="preserve">ranges). The change in an effect between any two measured sessions,</w:t>
      </w:r>
      <w:r>
        <w:t xml:space="preserve"> </w:t>
      </w:r>
      <w:r>
        <w:t xml:space="preserve">including across the retention interval, is then a single linear combination of the</w:t>
      </w:r>
      <w:r>
        <w:t xml:space="preserve"> </w:t>
      </w:r>
      <w:r>
        <w:t xml:space="preserve">posterior draws. Besides grammaticality (grammatical</w:t>
      </w:r>
      <w:r>
        <w:t xml:space="preserve"> </w:t>
      </w:r>
      <m:oMath>
        <m:r>
          <m:rPr>
            <m:sty m:val="p"/>
          </m:rPr>
          <m:t>=</m:t>
        </m:r>
        <m:r>
          <m:rPr>
            <m:sty m:val="p"/>
          </m:rPr>
          <m:t>+</m:t>
        </m:r>
        <m:r>
          <m:t>0.5</m:t>
        </m:r>
      </m:oMath>
      <w:r>
        <w:t xml:space="preserve">) and language</w:t>
      </w:r>
      <w:r>
        <w:t xml:space="preserve"> </w:t>
      </w:r>
      <w:r>
        <w:t xml:space="preserve">(Mini-Norwegian</w:t>
      </w:r>
      <w:r>
        <w:t xml:space="preserve"> </w:t>
      </w:r>
      <m:oMath>
        <m:r>
          <m:rPr>
            <m:sty m:val="p"/>
          </m:rPr>
          <m:t>=</m:t>
        </m:r>
        <m:r>
          <m:rPr>
            <m:sty m:val="p"/>
          </m:rPr>
          <m:t>+</m:t>
        </m:r>
        <m:r>
          <m:t>0.5</m:t>
        </m:r>
      </m:oMath>
      <w:r>
        <w:t xml:space="preserve">), stated with the design, the topographic contrasts are</w:t>
      </w:r>
      <w:r>
        <w:t xml:space="preserve"> </w:t>
      </w:r>
      <w:r>
        <w:t xml:space="preserve">coded hemisphere right</w:t>
      </w:r>
      <w:r>
        <w:t xml:space="preserve"> </w:t>
      </w:r>
      <m:oMath>
        <m:r>
          <m:rPr>
            <m:sty m:val="p"/>
          </m:rPr>
          <m:t>=</m:t>
        </m:r>
        <m:r>
          <m:rPr>
            <m:sty m:val="p"/>
          </m:rPr>
          <m:t>+</m:t>
        </m:r>
        <m:r>
          <m:t>0.5</m:t>
        </m:r>
      </m:oMath>
      <w:r>
        <w:t xml:space="preserve">, left</w:t>
      </w:r>
      <w:r>
        <w:t xml:space="preserve"> </w:t>
      </w:r>
      <m:oMath>
        <m:r>
          <m:rPr>
            <m:sty m:val="p"/>
          </m:rPr>
          <m:t>=</m:t>
        </m:r>
        <m:r>
          <m:rPr>
            <m:sty m:val="p"/>
          </m:rPr>
          <m:t>−</m:t>
        </m:r>
        <m:r>
          <m:t>0.5</m:t>
        </m:r>
      </m:oMath>
      <w:r>
        <w:t xml:space="preserve">, and caudality anterior</w:t>
      </w:r>
      <w:r>
        <w:t xml:space="preserve"> </w:t>
      </w:r>
      <m:oMath>
        <m:r>
          <m:rPr>
            <m:sty m:val="p"/>
          </m:rPr>
          <m:t>=</m:t>
        </m:r>
        <m:r>
          <m:rPr>
            <m:sty m:val="p"/>
          </m:rPr>
          <m:t>+</m:t>
        </m:r>
        <m:r>
          <m:t>0.5</m:t>
        </m:r>
      </m:oMath>
      <w:r>
        <w:t xml:space="preserve">,</w:t>
      </w:r>
      <w:r>
        <w:t xml:space="preserve"> </w:t>
      </w:r>
      <w:r>
        <w:t xml:space="preserve">medial</w:t>
      </w:r>
      <w:r>
        <w:t xml:space="preserve"> </w:t>
      </w:r>
      <m:oMath>
        <m:r>
          <m:rPr>
            <m:sty m:val="p"/>
          </m:rPr>
          <m:t>=</m:t>
        </m:r>
        <m:r>
          <m:t>0</m:t>
        </m:r>
      </m:oMath>
      <w:r>
        <w:t xml:space="preserve">, posterior</w:t>
      </w:r>
      <w:r>
        <w:t xml:space="preserve"> </w:t>
      </w:r>
      <m:oMath>
        <m:r>
          <m:rPr>
            <m:sty m:val="p"/>
          </m:rPr>
          <m:t>=</m:t>
        </m:r>
        <m:r>
          <m:rPr>
            <m:sty m:val="p"/>
          </m:rPr>
          <m:t>−</m:t>
        </m:r>
        <m:r>
          <m:t>0.5</m:t>
        </m:r>
      </m:oMath>
      <w:r>
        <w:t xml:space="preserve">. A positive coefficient on a topographic</w:t>
      </w:r>
      <w:r>
        <w:t xml:space="preserve"> </w:t>
      </w:r>
      <w:r>
        <w:t xml:space="preserve">interaction therefore indicates a larger effect over right or anterior sites respectively.</w:t>
      </w:r>
    </w:p>
    <w:p>
      <w:pPr>
        <w:pStyle w:val="BodyText"/>
      </w:pPr>
      <w:r>
        <w:t xml:space="preserve">One further covariate enters the ERP models. It is the L1 Dominance Score, the</w:t>
      </w:r>
      <w:r>
        <w:t xml:space="preserve"> </w:t>
      </w:r>
      <w:r>
        <w:t xml:space="preserve">per-participant derived score of that name in the Language History Questionnaire’s</w:t>
      </w:r>
      <w:r>
        <w:t xml:space="preserve"> </w:t>
      </w:r>
      <w:r>
        <w:t xml:space="preserve">Aggregate Scores export</w:t>
      </w:r>
      <w:r>
        <w:t xml:space="preserve"> </w:t>
      </w:r>
      <w:r>
        <w:t xml:space="preserve">(LHQ3: Li et al. 2020)</w:t>
      </w:r>
      <w:r>
        <w:t xml:space="preserve">, read from that export and</w:t>
      </w:r>
      <w:r>
        <w:t xml:space="preserve"> </w:t>
      </w:r>
      <m:oMath>
        <m:r>
          <m:t>z</m:t>
        </m:r>
      </m:oMath>
      <w:r>
        <w:t xml:space="preserve">-standardised with the</w:t>
      </w:r>
      <w:r>
        <w:t xml:space="preserve"> </w:t>
      </w:r>
      <w:r>
        <w:t xml:space="preserve">other continuous predictors. It indexes how far the first language dominates the</w:t>
      </w:r>
      <w:r>
        <w:t xml:space="preserve"> </w:t>
      </w:r>
      <w:r>
        <w:t xml:space="preserve">participant’s repertoire, and it is carried in the ERP models as a control for prior</w:t>
      </w:r>
      <w:r>
        <w:t xml:space="preserve"> </w:t>
      </w:r>
      <w:r>
        <w:t xml:space="preserve">language experience. The variable is named for multilingual language diversity in the</w:t>
      </w:r>
      <w:r>
        <w:t xml:space="preserve"> </w:t>
      </w:r>
      <w:r>
        <w:t xml:space="preserve">extraction code, a legacy of an earlier version of the export in which the two scores sat</w:t>
      </w:r>
      <w:r>
        <w:t xml:space="preserve"> </w:t>
      </w:r>
      <w:r>
        <w:t xml:space="preserve">in different columns, so the code label and the quantity modelled differ; the models use</w:t>
      </w:r>
      <w:r>
        <w:t xml:space="preserve"> </w:t>
      </w:r>
      <w:r>
        <w:t xml:space="preserve">the score described here. The covariate is not carried into the accuracy models. That</w:t>
      </w:r>
      <w:r>
        <w:t xml:space="preserve"> </w:t>
      </w:r>
      <w:r>
        <w:t xml:space="preserve">asymmetry has no justification, and we return to it in the Limitations.</w:t>
      </w:r>
    </w:p>
    <w:p>
      <w:pPr>
        <w:pStyle w:val="BodyText"/>
      </w:pPr>
      <w:r>
        <w:t xml:space="preserve">The response side has two standardisation decisions of its own. Single-trial</w:t>
      </w:r>
      <w:r>
        <w:t xml:space="preserve"> </w:t>
      </w:r>
      <w:r>
        <w:t xml:space="preserve">amplitudes were</w:t>
      </w:r>
      <w:r>
        <w:t xml:space="preserve"> </w:t>
      </w:r>
      <m:oMath>
        <m:r>
          <m:t>z</m:t>
        </m:r>
      </m:oMath>
      <w:r>
        <w:t xml:space="preserve">-scored within participant. The reasoning is the one</w:t>
      </w:r>
      <w:r>
        <w:t xml:space="preserve"> </w:t>
      </w:r>
      <w:r>
        <w:t xml:space="preserve">Faust et al. (1999)</w:t>
      </w:r>
      <w:r>
        <w:t xml:space="preserve"> </w:t>
      </w:r>
      <w:r>
        <w:t xml:space="preserve">set out for response latencies. When individuals differ in the overall scale of a</w:t>
      </w:r>
      <w:r>
        <w:t xml:space="preserve"> </w:t>
      </w:r>
      <w:r>
        <w:t xml:space="preserve">measure, and those differences are roughly linear, a group whose scale is larger</w:t>
      </w:r>
      <w:r>
        <w:t xml:space="preserve"> </w:t>
      </w:r>
      <w:r>
        <w:t xml:space="preserve">will show a larger raw treatment effect, and the resulting overadditive interaction</w:t>
      </w:r>
      <w:r>
        <w:t xml:space="preserve"> </w:t>
      </w:r>
      <w:r>
        <w:t xml:space="preserve">is an artefact of scale. They recommend a within-individual</w:t>
      </w:r>
      <w:r>
        <w:t xml:space="preserve"> </w:t>
      </w:r>
      <m:oMath>
        <m:r>
          <m:t>z</m:t>
        </m:r>
      </m:oMath>
      <w:r>
        <w:t xml:space="preserve"> </w:t>
      </w:r>
      <w:r>
        <w:t xml:space="preserve">transformation as</w:t>
      </w:r>
      <w:r>
        <w:t xml:space="preserve"> </w:t>
      </w:r>
      <w:r>
        <w:t xml:space="preserve">the remedy. Single-trial ERP amplitude has the same property, and the risk applies</w:t>
      </w:r>
      <w:r>
        <w:t xml:space="preserve"> </w:t>
      </w:r>
      <w:r>
        <w:t xml:space="preserve">directly here because the language contrast is between participants, so a scale</w:t>
      </w:r>
      <w:r>
        <w:t xml:space="preserve"> </w:t>
      </w:r>
      <w:r>
        <w:t xml:space="preserve">difference between the two groups could otherwise present as a grammaticality</w:t>
      </w:r>
      <w:r>
        <w:t xml:space="preserve"> </w:t>
      </w:r>
      <m:oMath>
        <m:r>
          <m:rPr>
            <m:sty m:val="p"/>
          </m:rPr>
          <m:t>×</m:t>
        </m:r>
      </m:oMath>
      <w:r>
        <w:t xml:space="preserve"> </w:t>
      </w:r>
      <w:r>
        <w:t xml:space="preserve">language interaction.</w:t>
      </w:r>
      <w:r>
        <w:t xml:space="preserve"> </w:t>
      </w:r>
      <w:r>
        <w:t xml:space="preserve">We also entered the trial’s own</w:t>
      </w:r>
      <w:r>
        <w:t xml:space="preserve"> </w:t>
      </w:r>
      <w:r>
        <w:t xml:space="preserve">pre-stimulus mean amplitude (</w:t>
      </w:r>
      <m:oMath>
        <m:r>
          <m:rPr>
            <m:sty m:val="p"/>
          </m:rPr>
          <m:t>−</m:t>
        </m:r>
        <m:r>
          <m:t>100</m:t>
        </m:r>
      </m:oMath>
      <w:r>
        <w:t xml:space="preserve"> </w:t>
      </w:r>
      <w:r>
        <w:t xml:space="preserve">to</w:t>
      </w:r>
      <w:r>
        <w:t xml:space="preserve"> </w:t>
      </w:r>
      <m:oMath>
        <m:r>
          <m:t>0</m:t>
        </m:r>
      </m:oMath>
      <w:r>
        <w:t xml:space="preserve"> </w:t>
      </w:r>
      <w:r>
        <w:t xml:space="preserve">ms) as a within-participant</w:t>
      </w:r>
      <w:r>
        <w:t xml:space="preserve"> </w:t>
      </w:r>
      <m:oMath>
        <m:r>
          <m:t>z</m:t>
        </m:r>
      </m:oMath>
      <w:r>
        <w:t xml:space="preserve">-scored</w:t>
      </w:r>
      <w:r>
        <w:t xml:space="preserve"> </w:t>
      </w:r>
      <w:r>
        <w:t xml:space="preserve">covariate. Subtraction of a baseline is the special case of this model in which the</w:t>
      </w:r>
      <w:r>
        <w:t xml:space="preserve"> </w:t>
      </w:r>
      <w:r>
        <w:t xml:space="preserve">baseline coefficient is fixed at one. Estimating that coefficient lets the model absorb</w:t>
      </w:r>
      <w:r>
        <w:t xml:space="preserve"> </w:t>
      </w:r>
      <w:r>
        <w:t xml:space="preserve">baseline variance that subtraction would leave in the residual, which</w:t>
      </w:r>
      <w:r>
        <w:t xml:space="preserve"> </w:t>
      </w:r>
      <w:r>
        <w:t xml:space="preserve">Alday (2019)</w:t>
      </w:r>
      <w:r>
        <w:t xml:space="preserve"> </w:t>
      </w:r>
      <w:r>
        <w:t xml:space="preserve">shows can raise power. It also avoids the assumption subtraction requires, that conditions</w:t>
      </w:r>
      <w:r>
        <w:t xml:space="preserve"> </w:t>
      </w:r>
      <w:r>
        <w:t xml:space="preserve">do not differ systematically during the baseline interval.</w:t>
      </w:r>
    </w:p>
    <w:bookmarkEnd w:id="38"/>
    <w:bookmarkStart w:id="39" w:name="model-structure"/>
    <w:p>
      <w:pPr>
        <w:pStyle w:val="Heading3"/>
      </w:pPr>
      <w:r>
        <w:t xml:space="preserve">Model structure</w:t>
      </w:r>
    </w:p>
    <w:p>
      <w:pPr>
        <w:pStyle w:val="FirstParagraph"/>
      </w:pPr>
      <w:r>
        <w:t xml:space="preserve">For each ERP cell (property</w:t>
      </w:r>
      <w:r>
        <w:t xml:space="preserve"> </w:t>
      </w:r>
      <m:oMath>
        <m:r>
          <m:rPr>
            <m:sty m:val="p"/>
          </m:rPr>
          <m:t>×</m:t>
        </m:r>
      </m:oMath>
      <w:r>
        <w:t xml:space="preserve"> </w:t>
      </w:r>
      <w:r>
        <w:t xml:space="preserve">window</w:t>
      </w:r>
      <w:r>
        <w:t xml:space="preserve"> </w:t>
      </w:r>
      <m:oMath>
        <m:r>
          <m:rPr>
            <m:sty m:val="p"/>
          </m:rPr>
          <m:t>×</m:t>
        </m:r>
      </m:oMath>
      <w:r>
        <w:t xml:space="preserve"> </w:t>
      </w:r>
      <w:r>
        <w:t xml:space="preserve">macroregion), we fitted a</w:t>
      </w:r>
      <w:r>
        <w:t xml:space="preserve"> </w:t>
      </w:r>
      <w:r>
        <w:t xml:space="preserve">Gaussian model of single-trial mean amplitude:</w:t>
      </w:r>
    </w:p>
    <w:p>
      <w:pPr>
        <w:pStyle w:val="BodyText"/>
      </w:pPr>
      <m:oMathPara>
        <m:oMathParaPr>
          <m:jc m:val="center"/>
        </m:oMathParaPr>
        <m:oMath>
          <m:eqArr>
            <m:e>
              <m:r>
                <m:rPr>
                  <m:nor/>
                  <m:sty m:val="p"/>
                </m:rPr>
                <m:t>amplitude</m:t>
              </m:r>
              <m:r>
                <m:rPr>
                  <m:sty m:val="p"/>
                </m:rPr>
                <m:t>∼</m:t>
              </m:r>
              <m:r>
                <m:t> </m:t>
              </m:r>
              <m:r>
                <m:t>&amp;</m:t>
              </m:r>
              <m:r>
                <m:rPr>
                  <m:nor/>
                  <m:sty m:val="p"/>
                </m:rPr>
                <m:t>baseline</m:t>
              </m:r>
              <m:r>
                <m:rPr>
                  <m:sty m:val="p"/>
                </m:rPr>
                <m:t>+</m:t>
              </m:r>
              <m:r>
                <m:rPr>
                  <m:nor/>
                  <m:sty m:val="p"/>
                </m:rPr>
                <m:t>Gram</m:t>
              </m:r>
              <m:r>
                <m:rPr>
                  <m:sty m:val="p"/>
                </m:rPr>
                <m:t>×</m:t>
              </m:r>
              <m:r>
                <m:rPr>
                  <m:nor/>
                  <m:sty m:val="p"/>
                </m:rPr>
                <m:t>Session</m:t>
              </m:r>
              <m:r>
                <m:rPr>
                  <m:sty m:val="p"/>
                </m:rPr>
                <m:t>×</m:t>
              </m:r>
              <m:r>
                <m:rPr>
                  <m:nor/>
                  <m:sty m:val="p"/>
                </m:rPr>
                <m:t>Language</m:t>
              </m:r>
            </m:e>
            <m:e>
              <m:r>
                <m:t>&amp;</m:t>
              </m:r>
              <m:r>
                <m:rPr>
                  <m:sty m:val="p"/>
                </m:rPr>
                <m:t>+</m:t>
              </m:r>
              <m:r>
                <m:rPr>
                  <m:nor/>
                  <m:sty m:val="p"/>
                </m:rPr>
                <m:t>Gram</m:t>
              </m:r>
              <m:r>
                <m:rPr>
                  <m:sty m:val="p"/>
                </m:rPr>
                <m:t>×</m:t>
              </m:r>
              <m:r>
                <m:rPr>
                  <m:nor/>
                  <m:sty m:val="p"/>
                </m:rPr>
                <m:t>Hemisphere (lateral only)</m:t>
              </m:r>
              <m:r>
                <m:rPr>
                  <m:sty m:val="p"/>
                </m:rPr>
                <m:t>+</m:t>
              </m:r>
              <m:r>
                <m:rPr>
                  <m:nor/>
                  <m:sty m:val="p"/>
                </m:rPr>
                <m:t>Gram</m:t>
              </m:r>
              <m:r>
                <m:rPr>
                  <m:sty m:val="p"/>
                </m:rPr>
                <m:t>×</m:t>
              </m:r>
              <m:r>
                <m:rPr>
                  <m:nor/>
                  <m:sty m:val="p"/>
                </m:rPr>
                <m:t>Caudality</m:t>
              </m:r>
            </m:e>
            <m:e>
              <m:r>
                <m:t>&amp;</m:t>
              </m:r>
              <m:r>
                <m:rPr>
                  <m:sty m:val="p"/>
                </m:rPr>
                <m:t>+</m:t>
              </m:r>
              <m:r>
                <m:rPr>
                  <m:nor/>
                  <m:sty m:val="p"/>
                </m:rPr>
                <m:t>L1 dominance</m:t>
              </m:r>
            </m:e>
            <m:e>
              <m:r>
                <m:t>&amp;</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item</m:t>
              </m:r>
              <m:r>
                <m:rPr>
                  <m:sty m:val="p"/>
                </m:rPr>
                <m:t>)</m:t>
              </m:r>
              <m:r>
                <m:rPr>
                  <m:sty m:val="p"/>
                </m:rPr>
                <m:t>.</m:t>
              </m:r>
            </m:e>
          </m:eqArr>
        </m:oMath>
      </m:oMathPara>
    </w:p>
    <w:p>
      <w:pPr>
        <w:pStyle w:val="FirstParagraph"/>
      </w:pPr>
      <w:r>
        <w:t xml:space="preserve">For each property, we fitted a Bernoulli (logit-link) model of judgement accuracy</w:t>
      </w:r>
      <w:r>
        <w:t xml:space="preserve"> </w:t>
      </w:r>
      <w:r>
        <w:t xml:space="preserve">(Jaeger 2008; Dixon 2008)</w:t>
      </w:r>
      <w:r>
        <w:t xml:space="preserve">:</w:t>
      </w:r>
    </w:p>
    <w:p>
      <w:pPr>
        <w:pStyle w:val="BodyText"/>
      </w:pPr>
      <m:oMathPara>
        <m:oMathParaPr>
          <m:jc m:val="center"/>
        </m:oMathParaPr>
        <m:oMath>
          <m:r>
            <m:rPr>
              <m:nor/>
              <m:sty m:val="p"/>
            </m:rPr>
            <m:t>correct</m:t>
          </m:r>
          <m:r>
            <m:rPr>
              <m:sty m:val="p"/>
            </m:rPr>
            <m:t>∼</m:t>
          </m:r>
          <m:r>
            <m:rPr>
              <m:nor/>
              <m:sty m:val="p"/>
            </m:rPr>
            <m:t>Gram</m:t>
          </m:r>
          <m:r>
            <m:rPr>
              <m:sty m:val="p"/>
            </m:rPr>
            <m:t>×</m:t>
          </m:r>
          <m:r>
            <m:rPr>
              <m:nor/>
              <m:sty m:val="p"/>
            </m:rPr>
            <m:t>Session</m:t>
          </m:r>
          <m:r>
            <m:rPr>
              <m:sty m:val="p"/>
            </m:rPr>
            <m:t>×</m:t>
          </m:r>
          <m:r>
            <m:rPr>
              <m:nor/>
              <m:sty m:val="p"/>
            </m:rPr>
            <m:t>Language</m:t>
          </m:r>
          <m:r>
            <m:rPr>
              <m:sty m:val="p"/>
            </m:rPr>
            <m:t>+</m:t>
          </m:r>
          <m:r>
            <m:rPr>
              <m:sty m:val="p"/>
            </m:rPr>
            <m:t>(</m:t>
          </m:r>
          <m:r>
            <m:t>1</m:t>
          </m:r>
          <m:r>
            <m:rPr>
              <m:sty m:val="p"/>
            </m:rPr>
            <m:t>+</m:t>
          </m:r>
          <m:r>
            <m:rPr>
              <m:nor/>
              <m:sty m:val="p"/>
            </m:rPr>
            <m:t>Gram</m:t>
          </m:r>
          <m:r>
            <m:rPr>
              <m:sty m:val="p"/>
            </m:rPr>
            <m:t>+</m:t>
          </m:r>
          <m:r>
            <m:rPr>
              <m:nor/>
              <m:sty m:val="p"/>
            </m:rPr>
            <m:t>Session</m:t>
          </m:r>
          <m:r>
            <m:rPr>
              <m:sty m:val="p"/>
            </m:rPr>
            <m:t>∣</m:t>
          </m:r>
          <m:r>
            <m:rPr>
              <m:nor/>
              <m:sty m:val="p"/>
            </m:rPr>
            <m:t>participant</m:t>
          </m:r>
          <m:r>
            <m:rPr>
              <m:sty m:val="p"/>
            </m:rPr>
            <m:t>)</m:t>
          </m:r>
          <m:r>
            <m:rPr>
              <m:sty m:val="p"/>
            </m:rPr>
            <m:t>.</m:t>
          </m:r>
        </m:oMath>
      </m:oMathPara>
    </w:p>
    <w:p>
      <w:pPr>
        <w:pStyle w:val="FirstParagraph"/>
      </w:pPr>
      <w:r>
        <w:t xml:space="preserve">Participants and items are crossed rather than hierarchically nested. Within a</w:t>
      </w:r>
      <w:r>
        <w:t xml:space="preserve"> </w:t>
      </w:r>
      <w:r>
        <w:t xml:space="preserve">language, every participant sees every sentence frame, and every frame is seen by every</w:t>
      </w:r>
      <w:r>
        <w:t xml:space="preserve"> </w:t>
      </w:r>
      <w:r>
        <w:t xml:space="preserve">participant in that language, so the ERP models carry crossed by-participant and by-item</w:t>
      </w:r>
      <w:r>
        <w:t xml:space="preserve"> </w:t>
      </w:r>
      <w:r>
        <w:t xml:space="preserve">random effects</w:t>
      </w:r>
      <w:r>
        <w:t xml:space="preserve"> </w:t>
      </w:r>
      <w:r>
        <w:t xml:space="preserve">(Baayen et al. 2008; Barr et al. 2013)</w:t>
      </w:r>
      <w:r>
        <w:t xml:space="preserve">. Items are nested within language, because the</w:t>
      </w:r>
      <w:r>
        <w:t xml:space="preserve"> </w:t>
      </w:r>
      <w:r>
        <w:t xml:space="preserve">two miniature languages draw on separate lexicons, so language does not vary within an</w:t>
      </w:r>
      <w:r>
        <w:t xml:space="preserve"> </w:t>
      </w:r>
      <w:r>
        <w:t xml:space="preserve">item and no by-item language slope is estimable. Grammaticality and session, by contrast,</w:t>
      </w:r>
      <w:r>
        <w:t xml:space="preserve"> </w:t>
      </w:r>
      <w:r>
        <w:t xml:space="preserve">vary within both grouping factors, since every frame is presented in both a grammatical</w:t>
      </w:r>
      <w:r>
        <w:t xml:space="preserve"> </w:t>
      </w:r>
      <w:r>
        <w:t xml:space="preserve">and an ungrammatical version and is re-presented across sessions.</w:t>
      </w:r>
    </w:p>
    <w:p>
      <w:pPr>
        <w:pStyle w:val="BodyText"/>
      </w:pPr>
      <w:r>
        <w:t xml:space="preserve">Random effects therefore follow the</w:t>
      </w:r>
      <w:r>
        <w:t xml:space="preserve"> </w:t>
      </w:r>
      <w:r>
        <w:t xml:space="preserve">“keep it maximal</w:t>
      </w:r>
      <w:r>
        <w:t xml:space="preserve"> </w:t>
      </w:r>
      <w:r>
        <w:rPr>
          <w:i/>
          <w:iCs/>
        </w:rPr>
        <w:t xml:space="preserve">as justified by the design</w:t>
      </w:r>
      <w:r>
        <w:t xml:space="preserve">”</w:t>
      </w:r>
      <w:r>
        <w:t xml:space="preserve"> </w:t>
      </w:r>
      <w:r>
        <w:t xml:space="preserve">principle</w:t>
      </w:r>
      <w:r>
        <w:t xml:space="preserve"> </w:t>
      </w:r>
      <w:r>
        <w:t xml:space="preserve">(Barr et al. 2013)</w:t>
      </w:r>
      <w:r>
        <w:t xml:space="preserve">, so both grouping factors receive a random intercept plus</w:t>
      </w:r>
      <w:r>
        <w:t xml:space="preserve"> </w:t>
      </w:r>
      <w:r>
        <w:t xml:space="preserve">grammaticality and session slopes, with correlations estimated under the shared</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p>
    <w:p>
      <w:pPr>
        <w:pStyle w:val="BodyText"/>
      </w:pPr>
      <w:r>
        <w:t xml:space="preserve">Session enters that specification as a single linear predictor, so the change in the</w:t>
      </w:r>
      <w:r>
        <w:t xml:space="preserve"> </w:t>
      </w:r>
      <w:r>
        <w:t xml:space="preserve">grammaticality effect across the retention interval is read off the fitted trend rather</w:t>
      </w:r>
      <w:r>
        <w:t xml:space="preserve"> </w:t>
      </w:r>
      <w:r>
        <w:t xml:space="preserve">than estimated for that interval on its own. Gender agreement and differential object</w:t>
      </w:r>
      <w:r>
        <w:t xml:space="preserve"> </w:t>
      </w:r>
      <w:r>
        <w:t xml:space="preserve">marking were therefore also refitted with a binary indicator for the retention session,</w:t>
      </w:r>
      <w:r>
        <w:t xml:space="preserve"> </w:t>
      </w:r>
      <w:r>
        <w:t xml:space="preserve">interacted with grammaticality and language and added to the linear session term. The</w:t>
      </w:r>
      <w:r>
        <w:t xml:space="preserve"> </w:t>
      </w:r>
      <w:r>
        <w:t xml:space="preserve">linear term then carries the training trend and the indicator the deviation at Session 6.</w:t>
      </w:r>
      <w:r>
        <w:t xml:space="preserve"> </w:t>
      </w:r>
      <w:r>
        <w:t xml:space="preserve">The indicator is coded</w:t>
      </w:r>
      <w:r>
        <w:t xml:space="preserve"> </w:t>
      </w:r>
      <m:oMath>
        <m:r>
          <m:rPr>
            <m:sty m:val="p"/>
          </m:rPr>
          <m:t>+</m:t>
        </m:r>
        <m:r>
          <m:t>0.5</m:t>
        </m:r>
      </m:oMath>
      <w:r>
        <w:t xml:space="preserve"> </w:t>
      </w:r>
      <w:r>
        <w:t xml:space="preserve">at Session 6 and</w:t>
      </w:r>
      <w:r>
        <w:t xml:space="preserve"> </w:t>
      </w:r>
      <m:oMath>
        <m:r>
          <m:rPr>
            <m:sty m:val="p"/>
          </m:rPr>
          <m:t>−</m:t>
        </m:r>
        <m:r>
          <m:t>0.5</m:t>
        </m:r>
      </m:oMath>
      <w:r>
        <w:t xml:space="preserve"> </w:t>
      </w:r>
      <w:r>
        <w:t xml:space="preserve">elsewhere and, unlike the other</w:t>
      </w:r>
      <w:r>
        <w:t xml:space="preserve"> </w:t>
      </w:r>
      <w:r>
        <w:t xml:space="preserve">predictors, is not standardised, so its coefficient is the deviation at Session 6 on the</w:t>
      </w:r>
      <w:r>
        <w:t xml:space="preserve"> </w:t>
      </w:r>
      <w:r>
        <w:t xml:space="preserve">response scale. The refits are otherwise identical to the models above and were run</w:t>
      </w:r>
      <w:r>
        <w:t xml:space="preserve"> </w:t>
      </w:r>
      <w:r>
        <w:t xml:space="preserve">under both random-effect structures. Verb–object number agreement admits no such refit. It is</w:t>
      </w:r>
      <w:r>
        <w:t xml:space="preserve"> </w:t>
      </w:r>
      <w:r>
        <w:t xml:space="preserve">sampled at the two bracketing sessions only, so an indicator for the later of them would</w:t>
      </w:r>
      <w:r>
        <w:t xml:space="preserve"> </w:t>
      </w:r>
      <w:r>
        <w:t xml:space="preserve">be collinear with the linear term. Where the two derivations disagree, the freed estimate</w:t>
      </w:r>
      <w:r>
        <w:t xml:space="preserve"> </w:t>
      </w:r>
      <w:r>
        <w:t xml:space="preserve">is the one that bears on consolidation, and both are reported (</w:t>
      </w:r>
      <w:hyperlink w:anchor="tbl-retention">
        <w:r>
          <w:rPr>
            <w:rStyle w:val="Hyperlink"/>
          </w:rPr>
          <w:t xml:space="preserve">Table 2</w:t>
        </w:r>
      </w:hyperlink>
      <w:r>
        <w:t xml:space="preserve">,</w:t>
      </w:r>
      <w:r>
        <w:t xml:space="preserve"> </w:t>
      </w:r>
      <w:hyperlink w:anchor="tbl-retention-free">
        <w:r>
          <w:rPr>
            <w:rStyle w:val="Hyperlink"/>
          </w:rPr>
          <w:t xml:space="preserve">Table 3</w:t>
        </w:r>
      </w:hyperlink>
      <w:r>
        <w:t xml:space="preserve">).</w:t>
      </w:r>
    </w:p>
    <w:p>
      <w:pPr>
        <w:pStyle w:val="BodyText"/>
      </w:pPr>
      <w:r>
        <w:t xml:space="preserve">The case for retaining the by-item grammaticality slope, and the power-based argument</w:t>
      </w:r>
      <w:r>
        <w:t xml:space="preserve"> </w:t>
      </w:r>
      <w:r>
        <w:t xml:space="preserve">against maximal structures that it was weighed against</w:t>
      </w:r>
      <w:r>
        <w:t xml:space="preserve"> </w:t>
      </w:r>
      <w:r>
        <w:t xml:space="preserve">(Barr et al. 2013; Matuschek et al. 2017)</w:t>
      </w:r>
      <w:r>
        <w:t xml:space="preserve">, are</w:t>
      </w:r>
      <w:r>
        <w:t xml:space="preserve"> </w:t>
      </w:r>
      <w:r>
        <w:t xml:space="preserve">set out in</w:t>
      </w:r>
      <w:r>
        <w:t xml:space="preserve"> </w:t>
      </w:r>
      <w:r>
        <w:t xml:space="preserve">(</w:t>
      </w:r>
      <w:r>
        <w:rPr>
          <w:b/>
          <w:bCs/>
        </w:rPr>
        <w:t xml:space="preserve">apx-analytic-decisions-in-detail?</w:t>
      </w:r>
      <w:r>
        <w:t xml:space="preserve">)</w:t>
      </w:r>
      <w:r>
        <w:t xml:space="preserve">. The Results report the whole grid refitted without that slope, so</w:t>
      </w:r>
      <w:r>
        <w:t xml:space="preserve"> </w:t>
      </w:r>
      <w:r>
        <w:t xml:space="preserve">a reader can see which conclusions depend on it. The accuracy models omit a by-item</w:t>
      </w:r>
      <w:r>
        <w:t xml:space="preserve"> </w:t>
      </w:r>
      <w:r>
        <w:t xml:space="preserve">effect by design. The judgement sentences are generated combinatorially. In Session 4, the 11,541 judgement trials of 52 participants presented 1,720 distinct sentences, each on average 6.7 times across the sample. Item variance is therefore thinly</w:t>
      </w:r>
      <w:r>
        <w:t xml:space="preserve"> </w:t>
      </w:r>
      <w:r>
        <w:t xml:space="preserve">sampled per sentence, and no by-item term is carried. Its variance is absorbed into the</w:t>
      </w:r>
      <w:r>
        <w:t xml:space="preserve"> </w:t>
      </w:r>
      <w:r>
        <w:t xml:space="preserve">residual, which leaves the accuracy estimates slightly less precise and is noted under</w:t>
      </w:r>
      <w:r>
        <w:t xml:space="preserve"> </w:t>
      </w:r>
      <w:r>
        <w:rPr>
          <w:i/>
          <w:iCs/>
        </w:rPr>
        <w:t xml:space="preserve">Limitations</w:t>
      </w:r>
      <w:r>
        <w:t xml:space="preserve"> </w:t>
      </w:r>
      <w:r>
        <w:t xml:space="preserve">(Barr et al. 2013)</w:t>
      </w:r>
      <w:r>
        <w:t xml:space="preserve">.</w:t>
      </w:r>
    </w:p>
    <w:bookmarkEnd w:id="39"/>
    <w:bookmarkStart w:id="44" w:name="priors"/>
    <w:p>
      <w:pPr>
        <w:pStyle w:val="Heading3"/>
      </w:pPr>
      <w:r>
        <w:t xml:space="preserve">Priors</w:t>
      </w:r>
    </w:p>
    <w:p>
      <w:pPr>
        <w:pStyle w:val="FirstParagraph"/>
      </w:pPr>
      <w:r>
        <w:t xml:space="preserve">We placed informative priors derived from the</w:t>
      </w:r>
      <w:r>
        <w:t xml:space="preserve"> </w:t>
      </w:r>
      <w:r>
        <w:t xml:space="preserve">morphosyntactic-ERP and behavioural literature, in place of the common</w:t>
      </w:r>
      <w:r>
        <w:t xml:space="preserve"> </w:t>
      </w:r>
      <w:r>
        <w:t xml:space="preserve">weakly informative default, following a selective, sign-informed and</w:t>
      </w:r>
      <w:r>
        <w:t xml:space="preserve"> </w:t>
      </w:r>
      <w:r>
        <w:t xml:space="preserve">magnitude-regularising strategy</w:t>
      </w:r>
      <w:r>
        <w:t xml:space="preserve"> </w:t>
      </w:r>
      <w:r>
        <w:t xml:space="preserve">(Schad et al. 2021)</w:t>
      </w:r>
      <w:r>
        <w:t xml:space="preserve">. Because the response and all predictors</w:t>
      </w:r>
      <w:r>
        <w:t xml:space="preserve"> </w:t>
      </w:r>
      <w:r>
        <w:t xml:space="preserve">are standardised, each coefficient is expressed in standard-deviation units (within</w:t>
      </w:r>
      <w:r>
        <w:t xml:space="preserve"> </w:t>
      </w:r>
      <w:r>
        <w:t xml:space="preserve">participant, for the ERP models). A prior</w:t>
      </w:r>
      <w:r>
        <w:t xml:space="preserve"> </w:t>
      </w:r>
      <w:r>
        <w:rPr>
          <w:i/>
          <w:iCs/>
        </w:rPr>
        <w:t xml:space="preserve">mean</w:t>
      </w:r>
      <w:r>
        <w:t xml:space="preserve"> </w:t>
      </w:r>
      <w:r>
        <w:t xml:space="preserve">can therefore encode the direction of a</w:t>
      </w:r>
      <w:r>
        <w:t xml:space="preserve"> </w:t>
      </w:r>
      <w:r>
        <w:t xml:space="preserve">well-established effect, while its</w:t>
      </w:r>
      <w:r>
        <w:t xml:space="preserve"> </w:t>
      </w:r>
      <w:r>
        <w:rPr>
          <w:i/>
          <w:iCs/>
        </w:rPr>
        <w:t xml:space="preserve">standard deviation</w:t>
      </w:r>
      <w:r>
        <w:t xml:space="preserve"> </w:t>
      </w:r>
      <w:r>
        <w:t xml:space="preserve">stays wide enough to let the data</w:t>
      </w:r>
      <w:r>
        <w:t xml:space="preserve"> </w:t>
      </w:r>
      <w:r>
        <w:t xml:space="preserve">dominate any well-identified effect</w:t>
      </w:r>
      <w:r>
        <w:t xml:space="preserve"> </w:t>
      </w:r>
      <w:r>
        <w:t xml:space="preserve">(Gelman et al. 2008)</w:t>
      </w:r>
      <w:r>
        <w:t xml:space="preserve">.</w:t>
      </w:r>
    </w:p>
    <w:p>
      <w:pPr>
        <w:pStyle w:val="BodyText"/>
      </w:pPr>
      <w:r>
        <w:t xml:space="preserve">The one firmly established directional effect is the P600: words that violate the</w:t>
      </w:r>
      <w:r>
        <w:t xml:space="preserve"> </w:t>
      </w:r>
      <w:r>
        <w:t xml:space="preserve">syntactic structure of a sentence elicit a late positivity, larger for ungrammatical than</w:t>
      </w:r>
      <w:r>
        <w:t xml:space="preserve"> </w:t>
      </w:r>
      <w:r>
        <w:t xml:space="preserve">for grammatical sentences</w:t>
      </w:r>
      <w:r>
        <w:t xml:space="preserve"> </w:t>
      </w:r>
      <w:r>
        <w:t xml:space="preserve">(Osterhout and Holcomb 1992)</w:t>
      </w:r>
      <w:r>
        <w:t xml:space="preserve">. For morphosyntactic violations specifically,</w:t>
      </w:r>
      <w:r>
        <w:t xml:space="preserve"> </w:t>
      </w:r>
      <w:r>
        <w:t xml:space="preserve">that positivity is posterior and centroparietal, and it is obtained in native speakers</w:t>
      </w:r>
      <w:r>
        <w:t xml:space="preserve"> </w:t>
      </w:r>
      <w:r>
        <w:t xml:space="preserve">(Mueller et al. 2005, 2007; Chen et al. 2007)</w:t>
      </w:r>
      <w:r>
        <w:t xml:space="preserve"> </w:t>
      </w:r>
      <w:r>
        <w:t xml:space="preserve">and, once some proficiency has been reached, in</w:t>
      </w:r>
      <w:r>
        <w:t xml:space="preserve"> </w:t>
      </w:r>
      <w:r>
        <w:t xml:space="preserve">artificial-language learners</w:t>
      </w:r>
      <w:r>
        <w:t xml:space="preserve"> </w:t>
      </w:r>
      <w:r>
        <w:t xml:space="preserve">(Morgan-Short et al. 2010; Morgan-Short, Steinhauer, et al. 2012)</w:t>
      </w:r>
      <w:r>
        <w:t xml:space="preserve">. A P600 also</w:t>
      </w:r>
      <w:r>
        <w:t xml:space="preserve"> </w:t>
      </w:r>
      <w:r>
        <w:t xml:space="preserve">arises to structural violations in implicit artificial-grammar learning, where the</w:t>
      </w:r>
      <w:r>
        <w:t xml:space="preserve"> </w:t>
      </w:r>
      <w:r>
        <w:t xml:space="preserve">sequences carry no morphology at all</w:t>
      </w:r>
      <w:r>
        <w:t xml:space="preserve"> </w:t>
      </w:r>
      <w:r>
        <w:t xml:space="preserve">(Silva et al. 2017)</w:t>
      </w:r>
      <w:r>
        <w:t xml:space="preserve">. Because</w:t>
      </w:r>
      <w:r>
        <w:t xml:space="preserve"> </w:t>
      </w:r>
      <w:r>
        <w:t xml:space="preserve">grammaticality is coded grammatical</w:t>
      </w:r>
      <w:r>
        <w:t xml:space="preserve"> </w:t>
      </w:r>
      <m:oMath>
        <m:r>
          <m:rPr>
            <m:sty m:val="p"/>
          </m:rPr>
          <m:t>=</m:t>
        </m:r>
        <m:r>
          <m:rPr>
            <m:sty m:val="p"/>
          </m:rPr>
          <m:t>+</m:t>
        </m:r>
        <m:r>
          <m:t>0.5</m:t>
        </m:r>
      </m:oMath>
      <w:r>
        <w:t xml:space="preserve">, this implies a</w:t>
      </w:r>
      <w:r>
        <w:t xml:space="preserve"> </w:t>
      </w:r>
      <w:r>
        <w:rPr>
          <w:i/>
          <w:iCs/>
        </w:rPr>
        <w:t xml:space="preserve">negative</w:t>
      </w:r>
      <w:r>
        <w:t xml:space="preserve"> </w:t>
      </w:r>
      <w:r>
        <w:t xml:space="preserve">prior mean on the</w:t>
      </w:r>
      <w:r>
        <w:t xml:space="preserve"> </w:t>
      </w:r>
      <w:r>
        <w:t xml:space="preserve">grammaticality slope in the P600 window, carried more mildly into the 300–600 ms window</w:t>
      </w:r>
      <w:r>
        <w:t xml:space="preserve"> </w:t>
      </w:r>
      <w:r>
        <w:t xml:space="preserve">for the two agreement properties, whose late signature is a positivity rather than an N400.</w:t>
      </w:r>
      <w:r>
        <w:t xml:space="preserve"> </w:t>
      </w:r>
      <w:r>
        <w:t xml:space="preserve">For differential object marking, the specification differs in both windows, being widened</w:t>
      </w:r>
      <w:r>
        <w:t xml:space="preserve"> </w:t>
      </w:r>
      <w:r>
        <w:t xml:space="preserve">in the later window and left zero-centred in the earlier one, because case-marking</w:t>
      </w:r>
      <w:r>
        <w:t xml:space="preserve"> </w:t>
      </w:r>
      <w:r>
        <w:t xml:space="preserve">violations are configuration-dependent and elicit a P600, an N400 or a biphasic response</w:t>
      </w:r>
      <w:r>
        <w:t xml:space="preserve"> </w:t>
      </w:r>
      <w:r>
        <w:t xml:space="preserve">according to animacy and markedness</w:t>
      </w:r>
      <w:r>
        <w:t xml:space="preserve"> </w:t>
      </w:r>
      <w:r>
        <w:t xml:space="preserve">(Nieuwland et al. 2013; Frisch and Schlesewsky 2001; Mueller et al. 2007)</w:t>
      </w:r>
      <w:r>
        <w:t xml:space="preserve">. As the P600 is</w:t>
      </w:r>
      <w:r>
        <w:t xml:space="preserve"> </w:t>
      </w:r>
      <w:r>
        <w:t xml:space="preserve">posterior-maximal</w:t>
      </w:r>
      <w:r>
        <w:t xml:space="preserve"> </w:t>
      </w:r>
      <w:r>
        <w:t xml:space="preserve">(Mueller et al. 2007)</w:t>
      </w:r>
      <w:r>
        <w:t xml:space="preserve">, the grammaticality</w:t>
      </w:r>
      <w:r>
        <w:t xml:space="preserve"> </w:t>
      </w:r>
      <m:oMath>
        <m:r>
          <m:rPr>
            <m:sty m:val="p"/>
          </m:rPr>
          <m:t>×</m:t>
        </m:r>
      </m:oMath>
      <w:r>
        <w:t xml:space="preserve"> </w:t>
      </w:r>
      <w:r>
        <w:t xml:space="preserve">caudality interaction</w:t>
      </w:r>
      <w:r>
        <w:t xml:space="preserve"> </w:t>
      </w:r>
      <w:r>
        <w:t xml:space="preserve">received a positive prior mean in each window in which the grammaticality prior carried a</w:t>
      </w:r>
      <w:r>
        <w:t xml:space="preserve"> </w:t>
      </w:r>
      <w:r>
        <w:t xml:space="preserve">sign. The early (200–500 ms) anterior-negativity window and the hemisphere interaction</w:t>
      </w:r>
      <w:r>
        <w:t xml:space="preserve"> </w:t>
      </w:r>
      <w:r>
        <w:t xml:space="preserve">were left zero-centred, because the LAN is small and present in only roughly half of</w:t>
      </w:r>
      <w:r>
        <w:t xml:space="preserve"> </w:t>
      </w:r>
      <w:r>
        <w:t xml:space="preserve">participants and items, so its sign is not safely predictable</w:t>
      </w:r>
      <w:r>
        <w:t xml:space="preserve"> </w:t>
      </w:r>
      <w:r>
        <w:t xml:space="preserve">(Caffarra et al. 2019)</w:t>
      </w:r>
      <w:r>
        <w:t xml:space="preserv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transfer interaction, the hypothesis under test, was</w:t>
      </w:r>
      <w:r>
        <w:t xml:space="preserve"> </w:t>
      </w:r>
      <w:r>
        <w:t xml:space="preserve">kept zero-centred, because the second-language signature of these effects is qualitatively</w:t>
      </w:r>
      <w:r>
        <w:t xml:space="preserve"> </w:t>
      </w:r>
      <w:r>
        <w:t xml:space="preserve">contested</w:t>
      </w:r>
      <w:r>
        <w:t xml:space="preserve"> </w:t>
      </w:r>
      <w:r>
        <w:t xml:space="preserve">(Chen et al. 2007; Mueller et al. 2009)</w:t>
      </w:r>
      <w:r>
        <w:t xml:space="preserve"> </w:t>
      </w:r>
      <w:r>
        <w:t xml:space="preserve">and proficiency-dependent</w:t>
      </w:r>
      <w:r>
        <w:t xml:space="preserve"> </w:t>
      </w:r>
      <w:r>
        <w:t xml:space="preserve">(Caffarra et al. 2015)</w:t>
      </w:r>
      <w:r>
        <w:t xml:space="preserve">. The priors</w:t>
      </w:r>
      <w:r>
        <w:t xml:space="preserve"> </w:t>
      </w:r>
      <w:r>
        <w:t xml:space="preserve">thus inform the model where the evidence is strong without biasing the effects we set out</w:t>
      </w:r>
      <w:r>
        <w:t xml:space="preserve"> </w:t>
      </w:r>
      <w:r>
        <w:t xml:space="preserve">to estimate.</w:t>
      </w:r>
    </w:p>
    <w:p>
      <w:pPr>
        <w:pStyle w:val="BodyText"/>
      </w:pPr>
      <w:r>
        <w:t xml:space="preserve">For the accuracy models, artificial-language learners judge grammaticality well above</w:t>
      </w:r>
      <w:r>
        <w:t xml:space="preserve"> </w:t>
      </w:r>
      <w:r>
        <w:t xml:space="preserve">chance and improve across successive test blocks even under mere exposure, without</w:t>
      </w:r>
      <w:r>
        <w:t xml:space="preserve"> </w:t>
      </w:r>
      <w:r>
        <w:t xml:space="preserve">explicit instruction or feedback</w:t>
      </w:r>
      <w:r>
        <w:t xml:space="preserve"> </w:t>
      </w:r>
      <w:r>
        <w:t xml:space="preserve">(Mueller et al. 2009)</w:t>
      </w:r>
      <w:r>
        <w:t xml:space="preserve">, motivating a positive intercept and a</w:t>
      </w:r>
      <w:r>
        <w:t xml:space="preserve"> </w:t>
      </w:r>
      <w:r>
        <w:t xml:space="preserve">positive session slope. Random-effect standard deviations, and the residual standard</w:t>
      </w:r>
      <w:r>
        <w:t xml:space="preserve"> </w:t>
      </w:r>
      <w:r>
        <w:t xml:space="preserve">deviation of the ERP models, received a generous half–Student-</w:t>
      </w:r>
      <m:oMath>
        <m:r>
          <m:t>t</m:t>
        </m:r>
      </m:oMath>
      <w:r>
        <w:t xml:space="preserve"> </w:t>
      </w:r>
      <w:r>
        <w:t xml:space="preserve">prior, a weakly</w:t>
      </w:r>
      <w:r>
        <w:t xml:space="preserve"> </w:t>
      </w:r>
      <w:r>
        <w:t xml:space="preserve">informative default for variance parameters in hierarchical models</w:t>
      </w:r>
      <w:r>
        <w:t xml:space="preserve"> </w:t>
      </w:r>
      <w:r>
        <w:t xml:space="preserve">(Gelman 2006)</w:t>
      </w:r>
      <w:r>
        <w:t xml:space="preserve">.</w:t>
      </w:r>
      <w:r>
        <w:t xml:space="preserve"> </w:t>
      </w:r>
      <w:hyperlink w:anchor="tbl-priors">
        <w:r>
          <w:rPr>
            <w:rStyle w:val="Hyperlink"/>
          </w:rPr>
          <w:t xml:space="preserve">Table 4</w:t>
        </w:r>
      </w:hyperlink>
      <w:r>
        <w:t xml:space="preserve"> </w:t>
      </w:r>
      <w:r>
        <w:t xml:space="preserve">in</w:t>
      </w:r>
      <w:r>
        <w:t xml:space="preserve"> </w:t>
      </w:r>
      <w:r>
        <w:t xml:space="preserve">(</w:t>
      </w:r>
      <w:r>
        <w:rPr>
          <w:b/>
          <w:bCs/>
        </w:rPr>
        <w:t xml:space="preserve">apx-prior-specifications?</w:t>
      </w:r>
      <w:r>
        <w:t xml:space="preserve">)</w:t>
      </w:r>
      <w:r>
        <w:t xml:space="preserve"> </w:t>
      </w:r>
      <w:r>
        <w:t xml:space="preserve">gives the distribution placed on every parameter. A generous prior is warranted here because between-participant variation in</w:t>
      </w:r>
      <w:r>
        <w:t xml:space="preserve"> </w:t>
      </w:r>
      <w:r>
        <w:t xml:space="preserve">the morphosyntactic ERP response is not incidental noise.</w:t>
      </w:r>
      <w:r>
        <w:t xml:space="preserve"> </w:t>
      </w:r>
      <w:r>
        <w:t xml:space="preserve">Tanner and Van Hell (2014)</w:t>
      </w:r>
      <w:r>
        <w:t xml:space="preserve"> </w:t>
      </w:r>
      <w:r>
        <w:t xml:space="preserve">found that although</w:t>
      </w:r>
      <w:r>
        <w:t xml:space="preserve"> </w:t>
      </w:r>
      <w:r>
        <w:t xml:space="preserve">the grand mean showed the usual biphasic LAN–P600 pattern, individual responses varied</w:t>
      </w:r>
      <w:r>
        <w:t xml:space="preserve"> </w:t>
      </w:r>
      <w:r>
        <w:t xml:space="preserve">systematically along a continuum between negativity-dominant and positivity-dominant, so</w:t>
      </w:r>
      <w:r>
        <w:t xml:space="preserve"> </w:t>
      </w:r>
      <w:r>
        <w:t xml:space="preserve">participants differ in the form of the response and not only in its size. Modelling that</w:t>
      </w:r>
      <w:r>
        <w:t xml:space="preserve"> </w:t>
      </w:r>
      <w:r>
        <w:t xml:space="preserve">variation as a random effect over single trials, instead of averaging across it, is the</w:t>
      </w:r>
      <w:r>
        <w:t xml:space="preserve"> </w:t>
      </w:r>
      <w:r>
        <w:t xml:space="preserve">approach</w:t>
      </w:r>
      <w:r>
        <w:t xml:space="preserve"> </w:t>
      </w:r>
      <w:r>
        <w:t xml:space="preserve">Volpert-Esmond et al. (2021)</w:t>
      </w:r>
      <w:r>
        <w:t xml:space="preserve"> </w:t>
      </w:r>
      <w:r>
        <w:t xml:space="preserve">set out for ERP data. Random-effect correlation</w:t>
      </w:r>
      <w:r>
        <w:t xml:space="preserve"> </w:t>
      </w:r>
      <w:r>
        <w:t xml:space="preserve">matrices received an</w:t>
      </w:r>
      <w:r>
        <w:t xml:space="preserve"> </w:t>
      </w:r>
      <m:oMath>
        <m:r>
          <m:rPr>
            <m:sty m:val="p"/>
          </m:rPr>
          <m:t>L</m:t>
        </m:r>
        <m:r>
          <m:rPr>
            <m:sty m:val="p"/>
          </m:rPr>
          <m:t>K</m:t>
        </m:r>
        <m:r>
          <m:rPr>
            <m:sty m:val="p"/>
          </m:rPr>
          <m:t>J</m:t>
        </m:r>
        <m:r>
          <m:rPr>
            <m:sty m:val="p"/>
          </m:rPr>
          <m:t>(</m:t>
        </m:r>
        <m:r>
          <m:t>2</m:t>
        </m:r>
        <m:r>
          <m:rPr>
            <m:sty m:val="p"/>
          </m:rPr>
          <m:t>)</m:t>
        </m:r>
      </m:oMath>
      <w:r>
        <w:t xml:space="preserve"> </w:t>
      </w:r>
      <w:r>
        <w:t xml:space="preserve">prior</w:t>
      </w:r>
      <w:r>
        <w:t xml:space="preserve"> </w:t>
      </w:r>
      <w:r>
        <w:t xml:space="preserve">(Lewandowski et al. 2009)</w:t>
      </w:r>
      <w:r>
        <w:t xml:space="preserve">. The literature does not</w:t>
      </w:r>
      <w:r>
        <w:t xml:space="preserve"> </w:t>
      </w:r>
      <w:r>
        <w:t xml:space="preserve">supply a defensible microvolt effect size for these components (even systematic resampling</w:t>
      </w:r>
      <w:r>
        <w:t xml:space="preserve"> </w:t>
      </w:r>
      <w:r>
        <w:t xml:space="preserve">finds the magnitude of the P600 to vary widely across samples,</w:t>
      </w:r>
      <w:r>
        <w:t xml:space="preserve"> </w:t>
      </w:r>
      <w:r>
        <w:t xml:space="preserve">Kim et al. (2024)</w:t>
      </w:r>
      <w:r>
        <w:t xml:space="preserve">).</w:t>
      </w:r>
      <w:r>
        <w:t xml:space="preserve"> </w:t>
      </w:r>
      <w:r>
        <w:t xml:space="preserve">Prior means therefore encode only sign and a regularised magnitude, and their influence is</w:t>
      </w:r>
      <w:r>
        <w:t xml:space="preserve"> </w:t>
      </w:r>
      <w:r>
        <w:t xml:space="preserve">bounded by deliberately wide standard deviations. Prior</w:t>
      </w:r>
      <w:r>
        <w:t xml:space="preserve"> </w:t>
      </w:r>
      <w:r>
        <w:t xml:space="preserve">predictive simulation confirmed that the priors imply amplitude and accuracy distributions</w:t>
      </w:r>
      <w:r>
        <w:t xml:space="preserve"> </w:t>
      </w:r>
      <w:r>
        <w:t xml:space="preserve">that encompass the observed data (</w:t>
      </w:r>
      <w:hyperlink w:anchor="fig-priorpc">
        <w:r>
          <w:rPr>
            <w:rStyle w:val="Hyperlink"/>
          </w:rPr>
          <w:t xml:space="preserve">Figure 6</w:t>
        </w:r>
      </w:hyperlink>
      <w:r>
        <w:t xml:space="preserve">). Every model in the grid, under both</w:t>
      </w:r>
      <w:r>
        <w:t xml:space="preserve"> </w:t>
      </w:r>
      <w:r>
        <w:t xml:space="preserve">random-effect structures, and every accuracy model was also refitted on the same data,</w:t>
      </w:r>
      <w:r>
        <w:t xml:space="preserve"> </w:t>
      </w:r>
      <w:r>
        <w:t xml:space="preserve">as a sensitivity analysis, under the former weakly informative priors of</w:t>
      </w:r>
      <w:r>
        <w:t xml:space="preserve"> </w:t>
      </w:r>
      <m:oMath>
        <m:r>
          <m:rPr>
            <m:scr m:val="script"/>
            <m:sty m:val="p"/>
          </m:rPr>
          <m:t>N</m:t>
        </m:r>
        <m:r>
          <m:rPr>
            <m:sty m:val="p"/>
          </m:rPr>
          <m:t>(</m:t>
        </m:r>
        <m:r>
          <m:t>0</m:t>
        </m:r>
        <m:r>
          <m:rPr>
            <m:sty m:val="p"/>
          </m:rPr>
          <m:t>,</m:t>
        </m:r>
        <m:r>
          <m:t>1</m:t>
        </m:r>
        <m:r>
          <m:rPr>
            <m:sty m:val="p"/>
          </m:rPr>
          <m:t>)</m:t>
        </m:r>
      </m:oMath>
      <w:r>
        <w:t xml:space="preserve"> </w:t>
      </w:r>
      <w:r>
        <w:t xml:space="preserve">and</w:t>
      </w:r>
      <w:r>
        <w:t xml:space="preserve"> </w:t>
      </w:r>
      <m:oMath>
        <m:r>
          <m:rPr>
            <m:scr m:val="script"/>
            <m:sty m:val="p"/>
          </m:rPr>
          <m:t>N</m:t>
        </m:r>
        <m:r>
          <m:rPr>
            <m:sty m:val="p"/>
          </m:rPr>
          <m:t>(</m:t>
        </m:r>
        <m:r>
          <m:t>0</m:t>
        </m:r>
        <m:r>
          <m:rPr>
            <m:sty m:val="p"/>
          </m:rPr>
          <m:t>,</m:t>
        </m:r>
        <m:r>
          <m:t>1.5</m:t>
        </m:r>
        <m:r>
          <m:rPr>
            <m:sty m:val="p"/>
          </m:rPr>
          <m:t>)</m:t>
        </m:r>
      </m:oMath>
      <w:r>
        <w:t xml:space="preserve">, and the estimates were essentially</w:t>
      </w:r>
      <w:r>
        <w:t xml:space="preserve"> </w:t>
      </w:r>
      <w:r>
        <w:t xml:space="preserve">unchanged. The retention-free refits were fitted under the informative priors only. The largest</w:t>
      </w:r>
      <w:r>
        <w:t xml:space="preserve"> </w:t>
      </w:r>
      <w:r>
        <w:t xml:space="preserve">shift in any grammaticality term was 0.0008 on the within-participant</w:t>
      </w:r>
      <w:r>
        <w:t xml:space="preserve"> </w:t>
      </w:r>
      <w:r>
        <w:t xml:space="preserve">standardised scale for the ERP models and 0.049 in</w:t>
      </w:r>
      <w:r>
        <w:t xml:space="preserve"> </w:t>
      </w:r>
      <w:r>
        <w:t xml:space="preserve">log-odds for the accuracy models. No grammaticality term’s credible interval changed</w:t>
      </w:r>
      <w:r>
        <w:t xml:space="preserve"> </w:t>
      </w:r>
      <w:r>
        <w:t xml:space="preserve">width by more than 2.6% in the ERP models or</w:t>
      </w:r>
      <w:r>
        <w:t xml:space="preserve"> </w:t>
      </w:r>
      <w:r>
        <w:t xml:space="preserve">2.8% in the accuracy models. Taken over every</w:t>
      </w:r>
      <w:r>
        <w:t xml:space="preserve"> </w:t>
      </w:r>
      <w:r>
        <w:t xml:space="preserve">reported parameter, the largest width change</w:t>
      </w:r>
      <w:r>
        <w:t xml:space="preserve"> </w:t>
      </w:r>
      <w:r>
        <w:t xml:space="preserve">was 7.3%. The informative priors therefore regularise without driving the</w:t>
      </w:r>
      <w:r>
        <w:t xml:space="preserve"> </w:t>
      </w:r>
      <w:r>
        <w:t xml:space="preserve">conclusions</w:t>
      </w:r>
      <w:r>
        <w:t xml:space="preserve"> </w:t>
      </w:r>
      <w:r>
        <w:t xml:space="preserve">(Schad et al. 2021;</w:t>
      </w:r>
      <w:r>
        <w:t xml:space="preserve"> </w:t>
      </w:r>
      <w:r>
        <w:t xml:space="preserve">Depaoli and van de Schoot</w:t>
      </w:r>
      <w:r>
        <w:t xml:space="preserve"> </w:t>
      </w:r>
      <w:r>
        <w:t xml:space="preserve">2017;</w:t>
      </w:r>
      <w:r>
        <w:t xml:space="preserve"> </w:t>
      </w:r>
      <w:r>
        <w:t xml:space="preserve">van de Schoot et al.</w:t>
      </w:r>
      <w:r>
        <w:t xml:space="preserve"> </w:t>
      </w:r>
      <w:r>
        <w:t xml:space="preserve">2021)</w:t>
      </w:r>
      <w:r>
        <w:t xml:space="preserve">. The smallest of the credible</w:t>
      </w:r>
      <w:r>
        <w:t xml:space="preserve"> </w:t>
      </w:r>
      <w:r>
        <w:t xml:space="preserve">transfer effects (differential object marking, late lateral window) is unchanged under the</w:t>
      </w:r>
      <w:r>
        <w:t xml:space="preserve"> </w:t>
      </w:r>
      <w:r>
        <w:t xml:space="preserve">weak priors</w:t>
      </w:r>
      <w:r>
        <w:t xml:space="preserve"> </w:t>
      </w:r>
      <w:r>
        <w:t xml:space="preserve">(</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so its credibility does not depend on them.</w:t>
      </w:r>
    </w:p>
    <w:tbl>
      <w:tblPr>
        <w:tblStyle w:val="Table"/>
        <w:tblW w:type="pct" w:w="5000"/>
        <w:tblLayout w:type="fixed"/>
        <w:tblLook w:firstRow="0" w:lastRow="0" w:firstColumn="0" w:lastColumn="0" w:noHBand="0" w:noVBand="0" w:val="0000"/>
      </w:tblPr>
      <w:tblGrid>
        <w:gridCol w:w="7920"/>
      </w:tblGrid>
      <w:tr>
        <w:tc>
          <w:tcPr/>
          <w:bookmarkStart w:id="43" w:name="fig-priorpc"/>
          <w:p>
            <w:pPr>
              <w:pStyle w:val="Compact"/>
              <w:jc w:val="center"/>
            </w:pPr>
            <w:r>
              <w:drawing>
                <wp:inline>
                  <wp:extent cx="3840480" cy="2560320"/>
                  <wp:effectExtent b="0" l="0" r="0" t="0"/>
                  <wp:docPr descr="" title="" id="41" name="Picture"/>
                  <a:graphic>
                    <a:graphicData uri="http://schemas.openxmlformats.org/drawingml/2006/picture">
                      <pic:pic>
                        <pic:nvPicPr>
                          <pic:cNvPr descr="figures/prior_predictive_check.png" id="42" name="Picture"/>
                          <pic:cNvPicPr>
                            <a:picLocks noChangeArrowheads="1" noChangeAspect="1"/>
                          </pic:cNvPicPr>
                        </pic:nvPicPr>
                        <pic:blipFill>
                          <a:blip r:embed="rId40"/>
                          <a:stretch>
                            <a:fillRect/>
                          </a:stretch>
                        </pic:blipFill>
                        <pic:spPr bwMode="auto">
                          <a:xfrm>
                            <a:off x="0" y="0"/>
                            <a:ext cx="3840480" cy="2560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Prior Predictive Check for a Representative Model</w:t>
            </w:r>
          </w:p>
          <w:bookmarkEnd w:id="43"/>
        </w:tc>
      </w:tr>
    </w:tbl>
    <w:bookmarkEnd w:id="44"/>
    <w:bookmarkStart w:id="45" w:name="sampler-settings-and-convergence"/>
    <w:p>
      <w:pPr>
        <w:pStyle w:val="Heading3"/>
      </w:pPr>
      <w:r>
        <w:t xml:space="preserve">Sampler settings and convergence</w:t>
      </w:r>
    </w:p>
    <w:p>
      <w:pPr>
        <w:pStyle w:val="FirstParagraph"/>
      </w:pPr>
      <w:r>
        <w:t xml:space="preserve">Each model was run with four chains of 10,000 iterations, the first 2,000 of each</w:t>
      </w:r>
      <w:r>
        <w:t xml:space="preserve"> </w:t>
      </w:r>
      <w:r>
        <w:t xml:space="preserve">discarded as warm-up, with</w:t>
      </w:r>
      <w:r>
        <w:t xml:space="preserve"> </w:t>
      </w:r>
      <w:r>
        <w:rPr>
          <w:rStyle w:val="VerbatimChar"/>
        </w:rPr>
        <w:t xml:space="preserve">adapt_delta = 0.95</w:t>
      </w:r>
      <w:r>
        <w:t xml:space="preserve"> </w:t>
      </w:r>
      <w:r>
        <w:t xml:space="preserve">and</w:t>
      </w:r>
      <w:r>
        <w:t xml:space="preserve"> </w:t>
      </w:r>
      <w:r>
        <w:rPr>
          <w:rStyle w:val="VerbatimChar"/>
        </w:rPr>
        <w:t xml:space="preserve">max_treedepth = 12</w:t>
      </w:r>
      <w:r>
        <w:t xml:space="preserve"> </w:t>
      </w:r>
      <w:r>
        <w:t xml:space="preserve">to accommodate the</w:t>
      </w:r>
      <w:r>
        <w:t xml:space="preserve"> </w:t>
      </w:r>
      <w:r>
        <w:t xml:space="preserve">challenging geometry of maximal multilevel posteriors. Convergence was assessed</w:t>
      </w:r>
      <w:r>
        <w:t xml:space="preserve"> </w:t>
      </w:r>
      <w:r>
        <w:t xml:space="preserve">with the rank-normalised split-</w:t>
      </w:r>
      <m:oMath>
        <m:acc>
          <m:accPr>
            <m:chr m:val="̂"/>
          </m:accPr>
          <m:e>
            <m:r>
              <m:t>R</m:t>
            </m:r>
          </m:e>
        </m:acc>
      </m:oMath>
      <w:r>
        <w:t xml:space="preserve"> </w:t>
      </w:r>
      <w:r>
        <w:t xml:space="preserve">and bulk/tail effective sample sizes</w:t>
      </w:r>
      <w:r>
        <w:t xml:space="preserve"> </w:t>
      </w:r>
      <w:r>
        <w:t xml:space="preserve">(Vehtari et al. 2021)</w:t>
      </w:r>
      <w:r>
        <w:t xml:space="preserve">, requiring</w:t>
      </w:r>
      <w:r>
        <w:t xml:space="preserve"> </w:t>
      </w:r>
      <m:oMath>
        <m:acc>
          <m:accPr>
            <m:chr m:val="̂"/>
          </m:accPr>
          <m:e>
            <m:r>
              <m:t>R</m:t>
            </m:r>
          </m:e>
        </m:acc>
        <m:r>
          <m:rPr>
            <m:sty m:val="p"/>
          </m:rPr>
          <m:t>&lt;</m:t>
        </m:r>
        <m:r>
          <m:t>1.01</m:t>
        </m:r>
      </m:oMath>
      <w:r>
        <w:t xml:space="preserve">, bulk- and tail-ESS</w:t>
      </w:r>
      <w:r>
        <w:t xml:space="preserve"> </w:t>
      </w:r>
      <m:oMath>
        <m:r>
          <m:rPr>
            <m:sty m:val="p"/>
          </m:rPr>
          <m:t>&gt;</m:t>
        </m:r>
        <m:r>
          <m:t>400</m:t>
        </m:r>
      </m:oMath>
      <w:r>
        <w:t xml:space="preserve">, and</w:t>
      </w:r>
      <w:r>
        <w:t xml:space="preserve"> </w:t>
      </w:r>
      <w:r>
        <w:t xml:space="preserve">no divergent transitions. Model fit was checked with posterior predictive checks</w:t>
      </w:r>
      <w:r>
        <w:t xml:space="preserve"> </w:t>
      </w:r>
      <w:r>
        <w:t xml:space="preserve">(Gabry et al. 2019)</w:t>
      </w:r>
      <w:r>
        <w:t xml:space="preserve">. These two thresholds do different jobs. An</w:t>
      </w:r>
      <w:r>
        <w:t xml:space="preserve"> </w:t>
      </w:r>
      <w:r>
        <w:t xml:space="preserve">effective sample size of 400 (at least 100 per chain) is the point at which the</w:t>
      </w:r>
      <w:r>
        <w:t xml:space="preserve"> </w:t>
      </w:r>
      <m:oMath>
        <m:acc>
          <m:accPr>
            <m:chr m:val="̂"/>
          </m:accPr>
          <m:e>
            <m:r>
              <m:t>R</m:t>
            </m:r>
          </m:e>
        </m:acc>
      </m:oMath>
      <w:r>
        <w:t xml:space="preserve"> </w:t>
      </w:r>
      <w:r>
        <w:t xml:space="preserve">and ESS diagnostics are themselves reliable</w:t>
      </w:r>
      <w:r>
        <w:t xml:space="preserve"> </w:t>
      </w:r>
      <w:r>
        <w:t xml:space="preserve">(Vehtari et al. 2021)</w:t>
      </w:r>
      <w:r>
        <w:t xml:space="preserve">. The stability of a</w:t>
      </w:r>
      <w:r>
        <w:t xml:space="preserve"> </w:t>
      </w:r>
      <w:r>
        <w:t xml:space="preserve">95% interval limit is a more demanding requirement, because extreme quantiles are estimated</w:t>
      </w:r>
      <w:r>
        <w:t xml:space="preserve"> </w:t>
      </w:r>
      <w:r>
        <w:t xml:space="preserve">far less efficiently than a posterior mean</w:t>
      </w:r>
      <w:r>
        <w:t xml:space="preserve"> </w:t>
      </w:r>
      <w:r>
        <w:t xml:space="preserve">(Kruschke 2021)</w:t>
      </w:r>
      <w:r>
        <w:t xml:space="preserve">. The realised sampling is</w:t>
      </w:r>
      <w:r>
        <w:t xml:space="preserve"> </w:t>
      </w:r>
      <w:r>
        <w:t xml:space="preserve">substantially above these thresholds (the lowest bulk- and tail-ESS over all parameters of</w:t>
      </w:r>
      <w:r>
        <w:t xml:space="preserve"> </w:t>
      </w:r>
      <w:r>
        <w:t xml:space="preserve">all models are reported in</w:t>
      </w:r>
      <w:r>
        <w:t xml:space="preserve"> </w:t>
      </w:r>
      <w:hyperlink w:anchor="tbl-convergence-appendix">
        <w:r>
          <w:rPr>
            <w:rStyle w:val="Hyperlink"/>
          </w:rPr>
          <w:t xml:space="preserve">Table 5</w:t>
        </w:r>
      </w:hyperlink>
      <w:r>
        <w:t xml:space="preserve"> </w:t>
      </w:r>
      <w:r>
        <w:t xml:space="preserve">in</w:t>
      </w:r>
      <w:r>
        <w:t xml:space="preserve"> </w:t>
      </w:r>
      <w:r>
        <w:t xml:space="preserve">(</w:t>
      </w:r>
      <w:r>
        <w:rPr>
          <w:b/>
          <w:bCs/>
        </w:rPr>
        <w:t xml:space="preserve">apx-convergence-diagnostics?</w:t>
      </w:r>
      <w:r>
        <w:t xml:space="preserve">)</w:t>
      </w:r>
      <w:r>
        <w:t xml:space="preserve">).</w:t>
      </w:r>
      <w:r>
        <w:t xml:space="preserve"> </w:t>
      </w:r>
      <w:r>
        <w:t xml:space="preserve">Coefficients whose intervals lie close to zero should nonetheless be treated as</w:t>
      </w:r>
      <w:r>
        <w:t xml:space="preserve"> </w:t>
      </w:r>
      <w:r>
        <w:t xml:space="preserve">borderline.</w:t>
      </w:r>
    </w:p>
    <w:bookmarkEnd w:id="45"/>
    <w:bookmarkStart w:id="46" w:name="inference"/>
    <w:p>
      <w:pPr>
        <w:pStyle w:val="Heading3"/>
      </w:pPr>
      <w:r>
        <w:t xml:space="preserve">Inference</w:t>
      </w:r>
    </w:p>
    <w:p>
      <w:pPr>
        <w:pStyle w:val="FirstParagraph"/>
      </w:pPr>
      <w:r>
        <w:t xml:space="preserve">We summarise each effect by its posterior median, 95% credible interval (CrI) and</w:t>
      </w:r>
      <w:r>
        <w:t xml:space="preserve"> </w:t>
      </w:r>
      <w:r>
        <w:t xml:space="preserve">probability of direction (</w:t>
      </w:r>
      <m:oMath>
        <m:sSub>
          <m:e>
            <m:r>
              <m:t>p</m:t>
            </m:r>
          </m:e>
          <m:sub>
            <m:r>
              <m:t>d</m:t>
            </m:r>
          </m:sub>
        </m:sSub>
      </m:oMath>
      <w:r>
        <w:t xml:space="preserve">, the posterior probability that the effect has its</w:t>
      </w:r>
      <w:r>
        <w:t xml:space="preserve"> </w:t>
      </w:r>
      <w:r>
        <w:t xml:space="preserve">median’s sign), an estimation-first approach that avoids dichotomous</w:t>
      </w:r>
      <w:r>
        <w:t xml:space="preserve"> </w:t>
      </w:r>
      <w:r>
        <w:t xml:space="preserve">null-hypothesis testing</w:t>
      </w:r>
      <w:r>
        <w:t xml:space="preserve"> </w:t>
      </w:r>
      <w:r>
        <w:t xml:space="preserve">(Makowski et al. 2019)</w:t>
      </w:r>
      <w:r>
        <w:t xml:space="preserve">. We describe an effect as</w:t>
      </w:r>
      <w:r>
        <w:t xml:space="preserve"> </w:t>
      </w:r>
      <w:r>
        <w:rPr>
          <w:i/>
          <w:iCs/>
        </w:rPr>
        <w:t xml:space="preserve">credible</w:t>
      </w:r>
      <w:r>
        <w:t xml:space="preserve"> </w:t>
      </w:r>
      <w:r>
        <w:t xml:space="preserve">when its 95%</w:t>
      </w:r>
      <w:r>
        <w:t xml:space="preserve"> </w:t>
      </w:r>
      <w:r>
        <w:t xml:space="preserve">credible interval excludes zero, and otherwise read</w:t>
      </w:r>
      <w:r>
        <w:t xml:space="preserve"> </w:t>
      </w:r>
      <m:oMath>
        <m:sSub>
          <m:e>
            <m:r>
              <m:t>p</m:t>
            </m:r>
          </m:e>
          <m:sub>
            <m:r>
              <m:t>d</m:t>
            </m:r>
          </m:sub>
        </m:sSub>
      </m:oMath>
      <w:r>
        <w:t xml:space="preserve"> </w:t>
      </w:r>
      <w:r>
        <w:t xml:space="preserve">as a continuous index of</w:t>
      </w:r>
      <w:r>
        <w:t xml:space="preserve"> </w:t>
      </w:r>
      <w:r>
        <w:t xml:space="preserve">directional certainty</w:t>
      </w:r>
      <w:r>
        <w:t xml:space="preserve"> </w:t>
      </w:r>
      <w:r>
        <w:t xml:space="preserve">(Kruschke and Liddell 2018)</w:t>
      </w:r>
      <w:r>
        <w:t xml:space="preserve">. All</w:t>
      </w:r>
      <w:r>
        <w:t xml:space="preserve"> </w:t>
      </w:r>
      <w:r>
        <w:t xml:space="preserve">credible intervals are equal-tailed quantile intervals bounded by the 2.5th and 97.5th</w:t>
      </w:r>
      <w:r>
        <w:t xml:space="preserve"> </w:t>
      </w:r>
      <w:r>
        <w:t xml:space="preserve">percentiles of the posterior draws. For a skewed</w:t>
      </w:r>
      <w:r>
        <w:t xml:space="preserve"> </w:t>
      </w:r>
      <w:r>
        <w:t xml:space="preserve">posterior, an equal-tailed and a highest-density interval can differ in whether they</w:t>
      </w:r>
      <w:r>
        <w:t xml:space="preserve"> </w:t>
      </w:r>
      <w:r>
        <w:t xml:space="preserve">contain zero, so the choice is stated</w:t>
      </w:r>
      <w:r>
        <w:t xml:space="preserve"> </w:t>
      </w:r>
      <w:r>
        <w:t xml:space="preserve">(Kruschke 2021)</w:t>
      </w:r>
      <w:r>
        <w:t xml:space="preserve">. Within each model, hierarchical shrinkage</w:t>
      </w:r>
      <w:r>
        <w:t xml:space="preserve"> </w:t>
      </w:r>
      <w:r>
        <w:t xml:space="preserve">across participants and items already regularises the coefficient estimates</w:t>
      </w:r>
      <w:r>
        <w:t xml:space="preserve"> </w:t>
      </w:r>
      <w:r>
        <w:t xml:space="preserve">(Kruschke and Liddell 2018; Gelman et al. 2012)</w:t>
      </w:r>
      <w:r>
        <w:t xml:space="preserve">. The eighteen cells are fitted separately and are</w:t>
      </w:r>
      <w:r>
        <w:t xml:space="preserve"> </w:t>
      </w:r>
      <w:r>
        <w:t xml:space="preserve">not pooled towards one another, so that shrinkage is not itself an argument about the grid. The grid (3</w:t>
      </w:r>
      <w:r>
        <w:t xml:space="preserve"> </w:t>
      </w:r>
      <w:r>
        <w:t xml:space="preserve">properties</w:t>
      </w:r>
      <w:r>
        <w:t xml:space="preserve"> </w:t>
      </w:r>
      <m:oMath>
        <m:r>
          <m:rPr>
            <m:sty m:val="p"/>
          </m:rPr>
          <m:t>×</m:t>
        </m:r>
      </m:oMath>
      <w:r>
        <w:t xml:space="preserve"> </w:t>
      </w:r>
      <w:r>
        <w:t xml:space="preserve">3 a priori windows</w:t>
      </w:r>
      <w:r>
        <w:t xml:space="preserve"> </w:t>
      </w:r>
      <m:oMath>
        <m:r>
          <m:rPr>
            <m:sty m:val="p"/>
          </m:rPr>
          <m:t>×</m:t>
        </m:r>
      </m:oMath>
      <w:r>
        <w:t xml:space="preserve"> </w:t>
      </w:r>
      <w:r>
        <w:t xml:space="preserve">2 macroregions) is fixed before</w:t>
      </w:r>
      <w:r>
        <w:t xml:space="preserve"> </w:t>
      </w:r>
      <w:r>
        <w:t xml:space="preserve">fitting, and every cell is reported without selection (</w:t>
      </w:r>
      <w:hyperlink w:anchor="fig-erp-forest">
        <w:r>
          <w:rPr>
            <w:rStyle w:val="Hyperlink"/>
          </w:rPr>
          <w:t xml:space="preserve">Figure 7</w:t>
        </w:r>
      </w:hyperlink>
      <w:r>
        <w:t xml:space="preserve"> </w:t>
      </w:r>
      <w:r>
        <w:t xml:space="preserve">reports all 18</w:t>
      </w:r>
      <w:r>
        <w:t xml:space="preserve"> </w:t>
      </w:r>
      <w:r>
        <w:t xml:space="preserve">cells for the key terms, and</w:t>
      </w:r>
      <w:r>
        <w:t xml:space="preserve"> </w:t>
      </w:r>
      <w:hyperlink w:anchor="tbl-retention">
        <w:r>
          <w:rPr>
            <w:rStyle w:val="Hyperlink"/>
          </w:rPr>
          <w:t xml:space="preserve">Table 2</w:t>
        </w:r>
      </w:hyperlink>
      <w:r>
        <w:t xml:space="preserve"> </w:t>
      </w:r>
      <w:r>
        <w:t xml:space="preserve">the derived retention contrasts). No</w:t>
      </w:r>
      <w:r>
        <w:t xml:space="preserve"> </w:t>
      </w:r>
      <w:r>
        <w:t xml:space="preserve">correction across cells is applied, and no cell is screened for significance before</w:t>
      </w:r>
      <w:r>
        <w:t xml:space="preserve"> </w:t>
      </w:r>
      <w:r>
        <w:t xml:space="preserve">being reported. Where a</w:t>
      </w:r>
      <w:r>
        <w:t xml:space="preserve"> </w:t>
      </w:r>
      <w:r>
        <w:t xml:space="preserve">conclusion does rest on particular cells crossing the credibility threshold (the</w:t>
      </w:r>
      <w:r>
        <w:t xml:space="preserve"> </w:t>
      </w:r>
      <w:r>
        <w:t xml:space="preserve">transfer interactions are credible in</w:t>
      </w:r>
      <w:r>
        <w:t xml:space="preserve"> </w:t>
      </w:r>
      <w:r>
        <w:t xml:space="preserve">3 of 18</w:t>
      </w:r>
      <w:r>
        <w:t xml:space="preserve"> </w:t>
      </w:r>
      <w:r>
        <w:t xml:space="preserve">cells), we treat it as provisional on that basis (see</w:t>
      </w:r>
      <w:r>
        <w:t xml:space="preserve"> </w:t>
      </w:r>
      <w:r>
        <w:rPr>
          <w:i/>
          <w:iCs/>
        </w:rPr>
        <w:t xml:space="preserve">Strength of evidence</w:t>
      </w:r>
      <w:r>
        <w:t xml:space="preserve"> </w:t>
      </w:r>
      <w:r>
        <w:t xml:space="preserve">in the</w:t>
      </w:r>
      <w:r>
        <w:t xml:space="preserve"> </w:t>
      </w:r>
      <w:r>
        <w:t xml:space="preserve">Discussion). We do not claim the grid is immune to selection effects</w:t>
      </w:r>
      <w:r>
        <w:t xml:space="preserve"> </w:t>
      </w:r>
      <w:r>
        <w:t xml:space="preserve">(Rubin 2021)</w:t>
      </w:r>
      <w:r>
        <w:t xml:space="preserve">.</w:t>
      </w:r>
      <w:r>
        <w:t xml:space="preserve"> </w:t>
      </w:r>
      <w:r>
        <w:t xml:space="preserve">The derived retention effect (Session 4</w:t>
      </w:r>
      <w:r>
        <w:t xml:space="preserve"> </w:t>
      </w:r>
      <m:oMath>
        <m:r>
          <m:rPr>
            <m:sty m:val="p"/>
          </m:rPr>
          <m:t>→</m:t>
        </m:r>
      </m:oMath>
      <w:r>
        <w:t xml:space="preserve"> </w:t>
      </w:r>
      <w:r>
        <w:t xml:space="preserve">Session 6) and its language-scoped contrasts are posterior quantities computed from</w:t>
      </w:r>
      <w:r>
        <w:t xml:space="preserve"> </w:t>
      </w:r>
      <w:r>
        <w:t xml:space="preserve">the same models, summarised and disclosed in full the same way (</w:t>
      </w:r>
      <w:hyperlink w:anchor="tbl-retention">
        <w:r>
          <w:rPr>
            <w:rStyle w:val="Hyperlink"/>
          </w:rPr>
          <w:t xml:space="preserve">Table 2</w:t>
        </w:r>
      </w:hyperlink>
      <w:r>
        <w:t xml:space="preserve">). For</w:t>
      </w:r>
      <w:r>
        <w:t xml:space="preserve"> </w:t>
      </w:r>
      <w:r>
        <w:t xml:space="preserve">gender agreement and differential object marking, they are also re-estimated in refits that</w:t>
      </w:r>
      <w:r>
        <w:t xml:space="preserve"> </w:t>
      </w:r>
      <w:r>
        <w:t xml:space="preserve">free the Session-6 step from the training trend, described under</w:t>
      </w:r>
      <w:r>
        <w:t xml:space="preserve"> </w:t>
      </w:r>
      <w:r>
        <w:rPr>
          <w:i/>
          <w:iCs/>
        </w:rPr>
        <w:t xml:space="preserve">Model structure</w:t>
      </w:r>
      <w:r>
        <w:t xml:space="preserve"> </w:t>
      </w:r>
      <w:r>
        <w:t xml:space="preserve">(</w:t>
      </w:r>
      <w:hyperlink w:anchor="tbl-retention-free">
        <w:r>
          <w:rPr>
            <w:rStyle w:val="Hyperlink"/>
          </w:rPr>
          <w:t xml:space="preserve">Table 3</w:t>
        </w:r>
      </w:hyperlink>
      <w:r>
        <w:t xml:space="preserve">).</w:t>
      </w:r>
    </w:p>
    <w:bookmarkEnd w:id="46"/>
    <w:bookmarkStart w:id="47" w:name="multivariate-decoding-of-grammaticality"/>
    <w:p>
      <w:pPr>
        <w:pStyle w:val="Heading3"/>
      </w:pPr>
      <w:r>
        <w:t xml:space="preserve">Multivariate decoding of grammaticality</w:t>
      </w:r>
    </w:p>
    <w:p>
      <w:pPr>
        <w:pStyle w:val="FirstParagraph"/>
      </w:pPr>
      <w:r>
        <w:t xml:space="preserve">The Bayesian models above summarise each electrode cluster’s mean amplitude</w:t>
      </w:r>
      <w:r>
        <w:t xml:space="preserve"> </w:t>
      </w:r>
      <w:r>
        <w:t xml:space="preserve">separately, which could miss a grammaticality signal that is distributed across the</w:t>
      </w:r>
      <w:r>
        <w:t xml:space="preserve"> </w:t>
      </w:r>
      <w:r>
        <w:t xml:space="preserve">scalp too weakly to move any single cluster’s mean but is nonetheless jointly</w:t>
      </w:r>
      <w:r>
        <w:t xml:space="preserve"> </w:t>
      </w:r>
      <w:r>
        <w:t xml:space="preserve">decodable from the whole-scalp pattern</w:t>
      </w:r>
      <w:r>
        <w:t xml:space="preserve"> </w:t>
      </w:r>
      <w:r>
        <w:t xml:space="preserve">(Haxby et al. 2001)</w:t>
      </w:r>
      <w:r>
        <w:t xml:space="preserve">. As a complementary,</w:t>
      </w:r>
      <w:r>
        <w:t xml:space="preserve"> </w:t>
      </w:r>
      <w:r>
        <w:t xml:space="preserve">classical (non-Bayesian) analysis, we decoded Grammatical from</w:t>
      </w:r>
      <w:r>
        <w:t xml:space="preserve"> </w:t>
      </w:r>
      <w:r>
        <w:t xml:space="preserve">Ungrammatical trials directly from the single-trial amplitude pattern across all</w:t>
      </w:r>
      <w:r>
        <w:t xml:space="preserve"> </w:t>
      </w:r>
      <w:r>
        <w:t xml:space="preserve">EEG sensors at every time sample (baseline-corrected, downsampled to a 4 ms grid).</w:t>
      </w:r>
      <w:r>
        <w:t xml:space="preserve"> </w:t>
      </w:r>
      <w:r>
        <w:t xml:space="preserve">The classifier was a</w:t>
      </w:r>
      <w:r>
        <w:t xml:space="preserve"> </w:t>
      </w:r>
      <w:r>
        <w:t xml:space="preserve">regularised linear discriminant analysis under leave-one-participant-out</w:t>
      </w:r>
      <w:r>
        <w:t xml:space="preserve"> </w:t>
      </w:r>
      <w:r>
        <w:t xml:space="preserve">cross-validation, a time-resolved multivariate pattern analysis (MVPA)</w:t>
      </w:r>
      <w:r>
        <w:t xml:space="preserve"> </w:t>
      </w:r>
      <w:r>
        <w:t xml:space="preserve">approach for EEG/MEG</w:t>
      </w:r>
      <w:r>
        <w:t xml:space="preserve"> </w:t>
      </w:r>
      <w:r>
        <w:t xml:space="preserve">(Grootswagers et al. 2017)</w:t>
      </w:r>
      <w:r>
        <w:t xml:space="preserve">. Leave-one-participant-out is the</w:t>
      </w:r>
      <w:r>
        <w:t xml:space="preserve"> </w:t>
      </w:r>
      <w:r>
        <w:t xml:space="preserve">generalisation test this question calls for, since what is at stake is whether the</w:t>
      </w:r>
      <w:r>
        <w:t xml:space="preserve"> </w:t>
      </w:r>
      <w:r>
        <w:t xml:space="preserve">pattern transfers to an unseen learner.</w:t>
      </w:r>
      <w:r>
        <w:t xml:space="preserve"> </w:t>
      </w:r>
      <w:r>
        <w:t xml:space="preserve">Varoquaux et al. (2017)</w:t>
      </w:r>
      <w:r>
        <w:t xml:space="preserve"> </w:t>
      </w:r>
      <w:r>
        <w:t xml:space="preserve">show that leave-one-out</w:t>
      </w:r>
      <w:r>
        <w:t xml:space="preserve"> </w:t>
      </w:r>
      <w:r>
        <w:t xml:space="preserve">schemes give more variable accuracy estimates than repeated random splits, so we read</w:t>
      </w:r>
      <w:r>
        <w:t xml:space="preserve"> </w:t>
      </w:r>
      <w:r>
        <w:t xml:space="preserve">the AUC time-course below as a profile whose individual point estimates carry limited</w:t>
      </w:r>
      <w:r>
        <w:t xml:space="preserve"> </w:t>
      </w:r>
      <w:r>
        <w:t xml:space="preserve">precision. Decoding performance is</w:t>
      </w:r>
      <w:r>
        <w:t xml:space="preserve"> </w:t>
      </w:r>
      <w:r>
        <w:t xml:space="preserve">summarised as the area under the ROC curve (AUC) at each time point. Chance-level</w:t>
      </w:r>
      <w:r>
        <w:t xml:space="preserve"> </w:t>
      </w:r>
      <w:r>
        <w:t xml:space="preserve">calibration was established with a permutation test that shuffles the</w:t>
      </w:r>
      <w:r>
        <w:t xml:space="preserve"> </w:t>
      </w:r>
      <w:r>
        <w:t xml:space="preserve">grammaticality labels once per permutation, holding the shuffle constant across the</w:t>
      </w:r>
      <w:r>
        <w:t xml:space="preserve"> </w:t>
      </w:r>
      <w:r>
        <w:t xml:space="preserve">whole time-course so that the null preserves each trial’s temporal autocorrelation.</w:t>
      </w:r>
      <w:r>
        <w:t xml:space="preserve"> </w:t>
      </w:r>
      <w:r>
        <w:t xml:space="preserve">Multiple comparisons across time points were corrected with cluster-based</w:t>
      </w:r>
      <w:r>
        <w:t xml:space="preserve"> </w:t>
      </w:r>
      <w:r>
        <w:t xml:space="preserve">permutation inference</w:t>
      </w:r>
      <w:r>
        <w:t xml:space="preserve"> </w:t>
      </w:r>
      <w:r>
        <w:t xml:space="preserve">(Maris and Oostenveld 2007)</w:t>
      </w:r>
      <w:r>
        <w:t xml:space="preserve">. Clusters were formed from temporally contiguous</w:t>
      </w:r>
      <w:r>
        <w:t xml:space="preserve"> </w:t>
      </w:r>
      <w:r>
        <w:t xml:space="preserve">samples whose AUC exceeded the 95th percentile of the pooled permutation null, the</w:t>
      </w:r>
      <w:r>
        <w:t xml:space="preserve"> </w:t>
      </w:r>
      <w:r>
        <w:t xml:space="preserve">cluster statistic was the summed excess of AUC over that threshold, and each cluster</w:t>
      </w:r>
      <w:r>
        <w:t xml:space="preserve"> </w:t>
      </w:r>
      <w:r>
        <w:t xml:space="preserve">was assessed against the distribution of the largest cluster statistic across</w:t>
      </w:r>
      <w:r>
        <w:t xml:space="preserve"> </w:t>
      </w:r>
      <w:r>
        <w:t xml:space="preserve">permutations. A second correction layer controls the false-discovery</w:t>
      </w:r>
      <w:r>
        <w:t xml:space="preserve"> </w:t>
      </w:r>
      <w:r>
        <w:t xml:space="preserve">rate (FDR) across clusters, with the family defined per property. Benjamini–Hochberg</w:t>
      </w:r>
      <w:r>
        <w:t xml:space="preserve"> </w:t>
      </w:r>
      <w:r>
        <w:t xml:space="preserve">correction (</w:t>
      </w:r>
      <m:oMath>
        <m:r>
          <m:t>q</m:t>
        </m:r>
        <m:r>
          <m:rPr>
            <m:sty m:val="p"/>
          </m:rPr>
          <m:t>&lt;</m:t>
        </m:r>
        <m:r>
          <m:t>.05</m:t>
        </m:r>
      </m:oMath>
      <w:r>
        <w:t xml:space="preserve">) is applied across the clusters of a</w:t>
      </w:r>
      <w:r>
        <w:t xml:space="preserve"> </w:t>
      </w:r>
      <w:r>
        <w:t xml:space="preserve">property’s pooled overall time-course, and each property’s family is corrected</w:t>
      </w:r>
      <w:r>
        <w:t xml:space="preserve"> </w:t>
      </w:r>
      <w:r>
        <w:t xml:space="preserve">separately. The session-resolved and session-by-language breakdowns carry only their own</w:t>
      </w:r>
      <w:r>
        <w:t xml:space="preserve"> </w:t>
      </w:r>
      <w:r>
        <w:t xml:space="preserve">cluster-level</w:t>
      </w:r>
      <w:r>
        <w:t xml:space="preserve"> </w:t>
      </w:r>
      <m:oMath>
        <m:r>
          <m:t>p</m:t>
        </m:r>
      </m:oMath>
      <w:r>
        <w:t xml:space="preserve"> </w:t>
      </w:r>
      <w:r>
        <w:t xml:space="preserve">values.</w:t>
      </w:r>
      <w:r>
        <w:t xml:space="preserve"> </w:t>
      </w:r>
      <w:r>
        <w:t xml:space="preserve">(</w:t>
      </w:r>
      <w:r>
        <w:rPr>
          <w:b/>
          <w:bCs/>
        </w:rPr>
        <w:t xml:space="preserve">apx-analytic-decisions-in-detail?</w:t>
      </w:r>
      <w:r>
        <w:t xml:space="preserve">)</w:t>
      </w:r>
      <w:r>
        <w:t xml:space="preserve"> </w:t>
      </w:r>
      <w:r>
        <w:t xml:space="preserve">sets out why the family is defined this way.</w:t>
      </w:r>
      <w:r>
        <w:t xml:space="preserve"> </w:t>
      </w:r>
      <w:r>
        <w:t xml:space="preserve">Grammatical and ungrammatical trial counts differ</w:t>
      </w:r>
      <w:r>
        <w:t xml:space="preserve"> </w:t>
      </w:r>
      <w:r>
        <w:t xml:space="preserve">across participants and decline across sessions, so we balanced the classes by</w:t>
      </w:r>
      <w:r>
        <w:t xml:space="preserve"> </w:t>
      </w:r>
      <w:r>
        <w:t xml:space="preserve">undersampling the majority class within each participant of the training fold. The</w:t>
      </w:r>
      <w:r>
        <w:t xml:space="preserve"> </w:t>
      </w:r>
      <w:r>
        <w:t xml:space="preserve">discriminant’s pooled within-class covariance was ridged by one thousandth of its mean</w:t>
      </w:r>
      <w:r>
        <w:t xml:space="preserve"> </w:t>
      </w:r>
      <w:r>
        <w:t xml:space="preserve">diagonal for numerical stability. The AUC is in any case insensitive to class</w:t>
      </w:r>
      <w:r>
        <w:t xml:space="preserve"> </w:t>
      </w:r>
      <w:r>
        <w:t xml:space="preserve">prevalence, so neither the classifier nor the metric can exploit a prevalence</w:t>
      </w:r>
      <w:r>
        <w:t xml:space="preserve"> </w:t>
      </w:r>
      <w:r>
        <w:t xml:space="preserve">shortcut, and chance was set by the empirical within-participant permutation null</w:t>
      </w:r>
      <w:r>
        <w:t xml:space="preserve"> </w:t>
      </w:r>
      <w:r>
        <w:t xml:space="preserve">(Combrisson and Jerbi 2015)</w:t>
      </w:r>
      <w:r>
        <w:t xml:space="preserve">. The</w:t>
      </w:r>
      <w:r>
        <w:t xml:space="preserve"> </w:t>
      </w:r>
      <w:r>
        <w:t xml:space="preserve">permutation null comprised 1,000 shufflings, so the smallest attainable cluster</w:t>
      </w:r>
      <w:r>
        <w:t xml:space="preserve"> </w:t>
      </w:r>
      <m:oMath>
        <m:r>
          <m:t>p</m:t>
        </m:r>
      </m:oMath>
      <w:r>
        <w:t xml:space="preserve"> </w:t>
      </w:r>
      <w:r>
        <w:t xml:space="preserve">is .0010. This bounds the resolution of near-threshold cluster</w:t>
      </w:r>
      <w:r>
        <w:t xml:space="preserve"> </w:t>
      </w:r>
      <m:oMath>
        <m:r>
          <m:t>p</m:t>
        </m:r>
      </m:oMath>
      <w:r>
        <w:t xml:space="preserve">-values,</w:t>
      </w:r>
      <w:r>
        <w:t xml:space="preserve"> </w:t>
      </w:r>
      <w:r>
        <w:t xml:space="preserve">and the surviving clusters are reported with that granularity in mind</w:t>
      </w:r>
      <w:r>
        <w:t xml:space="preserve"> </w:t>
      </w:r>
      <w:r>
        <w:t xml:space="preserve">(Nichols and Holmes 2002; Phipson and Smyth 2010)</w:t>
      </w:r>
      <w:r>
        <w:t xml:space="preserve">. One qualification belongs with that description. The confirmatory time-courses reported here were corrected under exactly the family just defined, and at the full permutation null. The exploratory breakdowns for gender agreement, which enter no family, are still those of an earlier run at 200 shufflings, so their cluster-level</w:t>
      </w:r>
      <w:r>
        <w:t xml:space="preserve"> </w:t>
      </w:r>
      <m:oMath>
        <m:r>
          <m:t>p</m:t>
        </m:r>
      </m:oMath>
      <w:r>
        <w:t xml:space="preserve"> </w:t>
      </w:r>
      <w:r>
        <w:t xml:space="preserve">values resolve less finely than the confirmatory ones. A rerun that brings them to the same null is under way, and by construction it cannot alter a confirmatory decision. The</w:t>
      </w:r>
      <w:r>
        <w:t xml:space="preserve"> </w:t>
      </w:r>
      <w:r>
        <w:t xml:space="preserve">decoder is given the EEG sensors alone. The amplifier’s built-in accelerometer</w:t>
      </w:r>
      <w:r>
        <w:t xml:space="preserve"> </w:t>
      </w:r>
      <w:r>
        <w:t xml:space="preserve">channels are excluded, as is any channel not exported for every session a property</w:t>
      </w:r>
      <w:r>
        <w:t xml:space="preserve"> </w:t>
      </w:r>
      <w:r>
        <w:t xml:space="preserve">was recorded in, so that each property’s pattern is brain-derived and no sensor is</w:t>
      </w:r>
      <w:r>
        <w:t xml:space="preserve"> </w:t>
      </w:r>
      <w:r>
        <w:t xml:space="preserve">present for one session’s trials but structurally absent for another’s. Beyond the overall time-course, five further analyses were run. Decoding separately</w:t>
      </w:r>
      <w:r>
        <w:t xml:space="preserve"> </w:t>
      </w:r>
      <w:r>
        <w:t xml:space="preserve">by session, and by session</w:t>
      </w:r>
      <w:r>
        <w:t xml:space="preserve"> </w:t>
      </w:r>
      <m:oMath>
        <m:r>
          <m:rPr>
            <m:sty m:val="p"/>
          </m:rPr>
          <m:t>×</m:t>
        </m:r>
      </m:oMath>
      <w:r>
        <w:t xml:space="preserve"> </w:t>
      </w:r>
      <w:r>
        <w:t xml:space="preserve">mini-language, gives a multivariate analogue of</w:t>
      </w:r>
      <w:r>
        <w:t xml:space="preserve"> </w:t>
      </w:r>
      <w:r>
        <w:t xml:space="preserve">the ERP models’ grammaticality</w:t>
      </w:r>
      <w:r>
        <w:t xml:space="preserve"> </w:t>
      </w:r>
      <m:oMath>
        <m:r>
          <m:rPr>
            <m:sty m:val="p"/>
          </m:rPr>
          <m:t>×</m:t>
        </m:r>
      </m:oMath>
      <w:r>
        <w:t xml:space="preserve"> </w:t>
      </w:r>
      <w:r>
        <w:t xml:space="preserve">session and</w:t>
      </w:r>
      <w:r>
        <w:t xml:space="preserve"> </w:t>
      </w:r>
      <m:oMath>
        <m:r>
          <m:rPr>
            <m:sty m:val="p"/>
          </m:rPr>
          <m:t>×</m:t>
        </m:r>
      </m:oMath>
      <w:r>
        <w:t xml:space="preserve"> </w:t>
      </w:r>
      <w:r>
        <w:t xml:space="preserve">language terms. A</w:t>
      </w:r>
      <w:r>
        <w:t xml:space="preserve"> </w:t>
      </w:r>
      <w:r>
        <w:t xml:space="preserve">cross-language generalisation analysis trains the decoder on one mini-language and</w:t>
      </w:r>
      <w:r>
        <w:t xml:space="preserve"> </w:t>
      </w:r>
      <w:r>
        <w:t xml:space="preserve">tests it on the other. A cross-property generalisation analysis trains on one grammatical</w:t>
      </w:r>
      <w:r>
        <w:t xml:space="preserve"> </w:t>
      </w:r>
      <w:r>
        <w:t xml:space="preserve">property’s Grammatical/Ungrammatical contrast and tests on another. Finally, temporal generalisation trains a decoder at every time</w:t>
      </w:r>
      <w:r>
        <w:t xml:space="preserve"> </w:t>
      </w:r>
      <w:r>
        <w:t xml:space="preserve">point and tests it at every other, on a grid coarsened by a factor of two on both axes to</w:t>
      </w:r>
      <w:r>
        <w:t xml:space="preserve"> </w:t>
      </w:r>
      <w:r>
        <w:t xml:space="preserve">keep the computation tractable. It characterises whether the same neural code is</w:t>
      </w:r>
      <w:r>
        <w:t xml:space="preserve"> </w:t>
      </w:r>
      <w:r>
        <w:t xml:space="preserve">stable across the epoch or evolves</w:t>
      </w:r>
      <w:r>
        <w:t xml:space="preserve"> </w:t>
      </w:r>
      <w:r>
        <w:t xml:space="preserve">(King and Dehaene 2014)</w:t>
      </w:r>
      <w:r>
        <w:t xml:space="preserve">. The two generalisation analyses carry no</w:t>
      </w:r>
      <w:r>
        <w:t xml:space="preserve"> </w:t>
      </w:r>
      <w:r>
        <w:t xml:space="preserve">permutation null and are reported as descriptive comparisons. Cross-validating strictly</w:t>
      </w:r>
      <w:r>
        <w:t xml:space="preserve"> </w:t>
      </w:r>
      <w:r>
        <w:t xml:space="preserve">out-of-participant throughout guards against the circular, non-independent analysis</w:t>
      </w:r>
      <w:r>
        <w:t xml:space="preserve"> </w:t>
      </w:r>
      <w:r>
        <w:t xml:space="preserve">that would otherwise inflate apparent decoding accuracy</w:t>
      </w:r>
      <w:r>
        <w:t xml:space="preserve"> </w:t>
      </w:r>
      <w:r>
        <w:t xml:space="preserve">(Kriegeskorte et al. 2009)</w:t>
      </w:r>
      <w:r>
        <w:t xml:space="preserve">.</w:t>
      </w:r>
    </w:p>
    <w:bookmarkEnd w:id="47"/>
    <w:bookmarkEnd w:id="48"/>
    <w:bookmarkStart w:id="50" w:name="Xa1aa7648d5ac5e7d9e5b3f8be809fb2fcb7ad16"/>
    <w:p>
      <w:pPr>
        <w:pStyle w:val="Heading2"/>
      </w:pPr>
      <w:r>
        <w:t xml:space="preserve">Transparency, preregistration and analysis status</w:t>
      </w:r>
    </w:p>
    <w:p>
      <w:pPr>
        <w:pStyle w:val="FirstParagraph"/>
      </w:pPr>
      <w:r>
        <w:t xml:space="preserve">The study design, artificial-language materials and session protocol were</w:t>
      </w:r>
      <w:r>
        <w:t xml:space="preserve"> </w:t>
      </w:r>
      <w:r>
        <w:t xml:space="preserve">preregistered before data collection (</w:t>
      </w:r>
      <w:hyperlink r:id="rId49">
        <w:r>
          <w:rPr>
            <w:rStyle w:val="Hyperlink"/>
          </w:rPr>
          <w:t xml:space="preserve">https://osf.io/tjr54</w:t>
        </w:r>
      </w:hyperlink>
      <w:r>
        <w:t xml:space="preserve">). The preregistration</w:t>
      </w:r>
      <w:r>
        <w:t xml:space="preserve"> </w:t>
      </w:r>
      <w:r>
        <w:t xml:space="preserve">specified the design, the miniature-language materials, the six-session schedule and</w:t>
      </w:r>
      <w:r>
        <w:t xml:space="preserve"> </w:t>
      </w:r>
      <w:r>
        <w:t xml:space="preserve">the EEG acquisition, but it did not commit to a statistical analysis plan. The</w:t>
      </w:r>
      <w:r>
        <w:t xml:space="preserve"> </w:t>
      </w:r>
      <w:r>
        <w:t xml:space="preserve">Bayesian multilevel models, the literature-derived informative priors, the latency</w:t>
      </w:r>
      <w:r>
        <w:t xml:space="preserve"> </w:t>
      </w:r>
      <w:r>
        <w:t xml:space="preserve">windows and macroregions, the Session 4</w:t>
      </w:r>
      <w:r>
        <w:t xml:space="preserve"> </w:t>
      </w:r>
      <m:oMath>
        <m:r>
          <m:rPr>
            <m:sty m:val="p"/>
          </m:rPr>
          <m:t>→</m:t>
        </m:r>
      </m:oMath>
      <w:r>
        <w:t xml:space="preserve"> </w:t>
      </w:r>
      <w:r>
        <w:t xml:space="preserve">6 retention contrasts and the</w:t>
      </w:r>
      <w:r>
        <w:t xml:space="preserve"> </w:t>
      </w:r>
      <w:r>
        <w:t xml:space="preserve">multivariate decoding analyses reported here were therefore specified after the data</w:t>
      </w:r>
      <w:r>
        <w:t xml:space="preserve"> </w:t>
      </w:r>
      <w:r>
        <w:t xml:space="preserve">were collected. None was preregistered, so all are exploratory in the registered</w:t>
      </w:r>
      <w:r>
        <w:t xml:space="preserve"> </w:t>
      </w:r>
      <w:r>
        <w:t xml:space="preserve">sense, and we report them as estimation-oriented analyses, since none tests a</w:t>
      </w:r>
      <w:r>
        <w:t xml:space="preserve"> </w:t>
      </w:r>
      <w:r>
        <w:t xml:space="preserve">preregistered hypothesis</w:t>
      </w:r>
      <w:r>
        <w:t xml:space="preserve"> </w:t>
      </w:r>
      <w:r>
        <w:t xml:space="preserve">(Nosek et al. 2018;</w:t>
      </w:r>
      <w:r>
        <w:t xml:space="preserve"> </w:t>
      </w:r>
      <w:r>
        <w:t xml:space="preserve">Wagenmakers et al.</w:t>
      </w:r>
      <w:r>
        <w:t xml:space="preserve"> </w:t>
      </w:r>
      <w:r>
        <w:t xml:space="preserve">2012)</w:t>
      </w:r>
      <w:r>
        <w:t xml:space="preserve">. Within that frame,</w:t>
      </w:r>
      <w:r>
        <w:t xml:space="preserve"> </w:t>
      </w:r>
      <w:r>
        <w:t xml:space="preserve">we distinguish</w:t>
      </w:r>
      <w:r>
        <w:t xml:space="preserve"> </w:t>
      </w:r>
      <w:r>
        <w:rPr>
          <w:i/>
          <w:iCs/>
        </w:rPr>
        <w:t xml:space="preserve">primary</w:t>
      </w:r>
      <w:r>
        <w:t xml:space="preserve"> </w:t>
      </w:r>
      <w:r>
        <w:t xml:space="preserve">from</w:t>
      </w:r>
      <w:r>
        <w:t xml:space="preserve"> </w:t>
      </w:r>
      <w:r>
        <w:rPr>
          <w:i/>
          <w:iCs/>
        </w:rPr>
        <w:t xml:space="preserve">secondary</w:t>
      </w:r>
      <w:r>
        <w:t xml:space="preserve"> </w:t>
      </w:r>
      <w:r>
        <w:t xml:space="preserve">analyses. The primary analyses, fixed</w:t>
      </w:r>
      <w:r>
        <w:t xml:space="preserve"> </w:t>
      </w:r>
      <w:r>
        <w:t xml:space="preserve">before any model was fitted, comprise the ERP grid of properties, windows,</w:t>
      </w:r>
      <w:r>
        <w:t xml:space="preserve"> </w:t>
      </w:r>
      <w:r>
        <w:t xml:space="preserve">macroregions and priors together with the pooled, all-sessions decoding time-course</w:t>
      </w:r>
      <w:r>
        <w:t xml:space="preserve"> </w:t>
      </w:r>
      <w:r>
        <w:t xml:space="preserve">for each property. The secondary analyses are the session-resolved and</w:t>
      </w:r>
      <w:r>
        <w:t xml:space="preserve"> </w:t>
      </w:r>
      <w:r>
        <w:t xml:space="preserve">session-by-language decoding breakdowns, the cross-language and cross-property</w:t>
      </w:r>
      <w:r>
        <w:t xml:space="preserve"> </w:t>
      </w:r>
      <w:r>
        <w:t xml:space="preserve">generalisation analyses, and the temporal-generalisation matrix. What the</w:t>
      </w:r>
      <w:r>
        <w:t xml:space="preserve"> </w:t>
      </w:r>
      <w:r>
        <w:t xml:space="preserve">paper reports of them varies, and we say which is which. The cross-language and</w:t>
      </w:r>
      <w:r>
        <w:t xml:space="preserve"> </w:t>
      </w:r>
      <w:r>
        <w:t xml:space="preserve">cross-property peaks are quoted in the Results. The session-resolved and</w:t>
      </w:r>
      <w:r>
        <w:t xml:space="preserve"> </w:t>
      </w:r>
      <w:r>
        <w:t xml:space="preserve">session-by-language breakdowns and the temporal-generalisation matrices are not summarised</w:t>
      </w:r>
      <w:r>
        <w:t xml:space="preserve"> </w:t>
      </w:r>
      <w:r>
        <w:t xml:space="preserve">numerically here and are available in the deposited decoding artefacts. Where a secondary</w:t>
      </w:r>
      <w:r>
        <w:t xml:space="preserve"> </w:t>
      </w:r>
      <w:r>
        <w:t xml:space="preserve">analysis carries a cluster-level</w:t>
      </w:r>
      <w:r>
        <w:t xml:space="preserve"> </w:t>
      </w:r>
      <m:oMath>
        <m:r>
          <m:t>p</m:t>
        </m:r>
      </m:oMath>
      <w:r>
        <w:t xml:space="preserve"> </w:t>
      </w:r>
      <w:r>
        <w:t xml:space="preserve">value, that value is family-wise-error-controlled over</w:t>
      </w:r>
      <w:r>
        <w:t xml:space="preserve"> </w:t>
      </w:r>
      <w:r>
        <w:t xml:space="preserve">time in the usual way, but none of them is treated as a test of the paper’s claims. Where the decoding analyses</w:t>
      </w:r>
      <w:r>
        <w:t xml:space="preserve"> </w:t>
      </w:r>
      <w:r>
        <w:t xml:space="preserve">speak of a</w:t>
      </w:r>
      <w:r>
        <w:t xml:space="preserve"> </w:t>
      </w:r>
      <w:r>
        <w:t xml:space="preserve">“confirmatory family”</w:t>
      </w:r>
      <w:r>
        <w:t xml:space="preserve">, the term names the false-discovery-rate correction</w:t>
      </w:r>
      <w:r>
        <w:t xml:space="preserve"> </w:t>
      </w:r>
      <w:r>
        <w:t xml:space="preserve">family (the clusters of each property’s pooled overall time-course), not</w:t>
      </w:r>
      <w:r>
        <w:t xml:space="preserve"> </w:t>
      </w:r>
      <w:r>
        <w:t xml:space="preserve">preregistered confirmation. On a minor point of adherence, a third, ancillary violation</w:t>
      </w:r>
      <w:r>
        <w:t xml:space="preserve"> </w:t>
      </w:r>
      <w:r>
        <w:t xml:space="preserve">type was recorded per property but, as noted above, is not analysed here.</w:t>
      </w:r>
    </w:p>
    <w:p>
      <w:pPr>
        <w:pStyle w:val="BodyText"/>
      </w:pPr>
      <w:r>
        <w:t xml:space="preserve">Two decisions were made after inspecting results, and we label them as such. First, peak</w:t>
      </w:r>
      <w:r>
        <w:t xml:space="preserve"> </w:t>
      </w:r>
      <w:r>
        <w:t xml:space="preserve">decoding accuracies are quoted on the post-stimulus axis, a restriction adopted once the</w:t>
      </w:r>
      <w:r>
        <w:t xml:space="preserve"> </w:t>
      </w:r>
      <w:r>
        <w:t xml:space="preserve">pre-stimulus interval was found not to be at chance for differential object marking. The</w:t>
      </w:r>
      <w:r>
        <w:t xml:space="preserve"> </w:t>
      </w:r>
      <w:r>
        <w:t xml:space="preserve">pre-stimulus interval is retained and reported alongside as a negative control.</w:t>
      </w:r>
      <w:r>
        <w:t xml:space="preserve"> </w:t>
      </w:r>
      <w:r>
        <w:t xml:space="preserve">Second, the temporal-generalisation and cross-property analyses were reclassified as</w:t>
      </w:r>
      <w:r>
        <w:t xml:space="preserve"> </w:t>
      </w:r>
      <w:r>
        <w:t xml:space="preserve">descriptive after it became clear that no null distribution had been computed for them.</w:t>
      </w:r>
      <w:r>
        <w:t xml:space="preserve"> </w:t>
      </w:r>
      <w:r>
        <w:t xml:space="preserve">Neither decision creates a new test, and both move the reported result in the</w:t>
      </w:r>
      <w:r>
        <w:t xml:space="preserve"> </w:t>
      </w:r>
      <w:r>
        <w:t xml:space="preserve">conservative direction. One analysis is not yet uniform, and we flag it here as well as where it isreported. The confirmatory decoding time-courses are final: they are corrected under the family the Method describes and rest on the full permutation null. The session-resolved breakdowns for gender agreement are still those of an earlier, coarser run, and a rerun that brings them to the same null is in progress. Because those breakdowns enter no correction family, the rerun cannot alter a confirmatory decision, in either direction.</w:t>
      </w:r>
    </w:p>
    <w:p>
      <w:pPr>
        <w:pStyle w:val="BodyText"/>
      </w:pPr>
      <w:r>
        <w:t xml:space="preserve">The preregistration planned data collection at two sites, in Norway and Spain. The</w:t>
      </w:r>
      <w:r>
        <w:t xml:space="preserve"> </w:t>
      </w:r>
      <w:r>
        <w:t xml:space="preserve">present analyses concern only the Norwegian cohort (first-language Norwegian,</w:t>
      </w:r>
      <w:r>
        <w:t xml:space="preserve"> </w:t>
      </w:r>
      <w:r>
        <w:t xml:space="preserve">second-language English learners of Mini-English or Mini-Norwegian). The Spanish-site</w:t>
      </w:r>
      <w:r>
        <w:t xml:space="preserve"> </w:t>
      </w:r>
      <w:r>
        <w:t xml:space="preserve">data are not analysed here. The findings therefore speak to</w:t>
      </w:r>
      <w:r>
        <w:t xml:space="preserve"> </w:t>
      </w:r>
      <w:r>
        <w:t xml:space="preserve">first-language-Norwegian learners, and generalisation to the other registered</w:t>
      </w:r>
      <w:r>
        <w:t xml:space="preserve"> </w:t>
      </w:r>
      <w:r>
        <w:t xml:space="preserve">populations is an open question.</w:t>
      </w:r>
    </w:p>
    <w:p>
      <w:pPr>
        <w:pStyle w:val="BodyText"/>
      </w:pPr>
      <w:r>
        <w:t xml:space="preserve">The preregistered protocol required participants to score above 80% on the post-training</w:t>
      </w:r>
      <w:r>
        <w:t xml:space="preserve"> </w:t>
      </w:r>
      <w:r>
        <w:t xml:space="preserve">behavioural test in each grammar session before proceeding to the EEG experiment. After</w:t>
      </w:r>
      <w:r>
        <w:t xml:space="preserve"> </w:t>
      </w:r>
      <w:r>
        <w:t xml:space="preserve">a few participants had been tested, we recognised that this criterion was too strict and</w:t>
      </w:r>
      <w:r>
        <w:t xml:space="preserve"> </w:t>
      </w:r>
      <w:r>
        <w:t xml:space="preserve">modified the procedure: when the first test score was below 80%, pretraining, training</w:t>
      </w:r>
      <w:r>
        <w:t xml:space="preserve"> </w:t>
      </w:r>
      <w:r>
        <w:t xml:space="preserve">and the test were repeated; after the second attempt, participants proceeded to the</w:t>
      </w:r>
      <w:r>
        <w:t xml:space="preserve"> </w:t>
      </w:r>
      <w:r>
        <w:t xml:space="preserve">experiment regardless of their score. Participants were shown their percentage correct</w:t>
      </w:r>
      <w:r>
        <w:t xml:space="preserve"> </w:t>
      </w:r>
      <w:r>
        <w:t xml:space="preserve">at the end of each test attempt. The 80% threshold therefore describes the first-attempt</w:t>
      </w:r>
      <w:r>
        <w:t xml:space="preserve"> </w:t>
      </w:r>
      <w:r>
        <w:t xml:space="preserve">gate, not a requirement imposed on the second attempt. This performance threshold is</w:t>
      </w:r>
      <w:r>
        <w:t xml:space="preserve"> </w:t>
      </w:r>
      <w:r>
        <w:t xml:space="preserve">both an inclusion criterion and a performance-conditional missingness mechanism, since</w:t>
      </w:r>
      <w:r>
        <w:t xml:space="preserve"> </w:t>
      </w:r>
      <w:r>
        <w:t xml:space="preserve">it conditions which participant-sessions contribute EEG and behaviour. Its effect is</w:t>
      </w:r>
      <w:r>
        <w:t xml:space="preserve"> </w:t>
      </w:r>
      <w:r>
        <w:t xml:space="preserve">therefore folded into the attendance counts in</w:t>
      </w:r>
      <w:r>
        <w:t xml:space="preserve"> </w:t>
      </w:r>
      <w:hyperlink w:anchor="fig-flow">
        <w:r>
          <w:rPr>
            <w:rStyle w:val="Hyperlink"/>
          </w:rPr>
          <w:t xml:space="preserve">Figure 3</w:t>
        </w:r>
      </w:hyperlink>
      <w:r>
        <w:t xml:space="preserve">, which record who contributed</w:t>
      </w:r>
      <w:r>
        <w:t xml:space="preserve"> </w:t>
      </w:r>
      <w:r>
        <w:t xml:space="preserve">data at each stage but not why. Per-session gate outcomes are not reported. They can only</w:t>
      </w:r>
      <w:r>
        <w:t xml:space="preserve"> </w:t>
      </w:r>
      <w:r>
        <w:t xml:space="preserve">be reconstructed from the terminal pass flag in the training logs, and that reconstruction</w:t>
      </w:r>
      <w:r>
        <w:t xml:space="preserve"> </w:t>
      </w:r>
      <w:r>
        <w:t xml:space="preserve">does not reconcile with the attendance counts at Session 4, so we do not quote numbers</w:t>
      </w:r>
      <w:r>
        <w:t xml:space="preserve"> </w:t>
      </w:r>
      <w:r>
        <w:t xml:space="preserve">from it.</w:t>
      </w:r>
    </w:p>
    <w:bookmarkEnd w:id="50"/>
    <w:bookmarkEnd w:id="51"/>
    <w:bookmarkStart w:id="77" w:name="results"/>
    <w:p>
      <w:pPr>
        <w:pStyle w:val="Heading1"/>
      </w:pPr>
      <w:r>
        <w:t xml:space="preserve">Results</w:t>
      </w:r>
    </w:p>
    <w:p>
      <w:pPr>
        <w:pStyle w:val="FirstParagraph"/>
      </w:pPr>
      <w:r>
        <w:t xml:space="preserve">All 102 fitted models met the convergence criteria. Taken over every parameter of every model, the largest rank-normalised</w:t>
      </w:r>
      <w:r>
        <w:t xml:space="preserve"> </w:t>
      </w:r>
      <m:oMath>
        <m:acc>
          <m:accPr>
            <m:chr m:val="̂"/>
          </m:accPr>
          <m:e>
            <m:r>
              <m:t>R</m:t>
            </m:r>
          </m:e>
        </m:acc>
      </m:oMath>
      <w:r>
        <w:t xml:space="preserve"> </w:t>
      </w:r>
      <w:r>
        <w:t xml:space="preserve">was 1.007, the smallest bulk and tail effective sample sizes were 593 and 1,128, and no model produced a divergent transition. Per-model values are given in</w:t>
      </w:r>
      <w:r>
        <w:t xml:space="preserve"> </w:t>
      </w:r>
      <w:hyperlink w:anchor="tbl-convergence-appendix">
        <w:r>
          <w:rPr>
            <w:rStyle w:val="Hyperlink"/>
          </w:rPr>
          <w:t xml:space="preserve">Table 5</w:t>
        </w:r>
      </w:hyperlink>
      <w:r>
        <w:t xml:space="preserve">.</w:t>
      </w:r>
    </w:p>
    <w:bookmarkStart w:id="69" w:name="Xf4fae0881c607eb6863bf9a1bc4ed423905f27f"/>
    <w:p>
      <w:pPr>
        <w:pStyle w:val="Heading2"/>
      </w:pPr>
      <w:r>
        <w:t xml:space="preserve">ERP signatures of grammatical processing and their development</w:t>
      </w:r>
    </w:p>
    <w:p>
      <w:pPr>
        <w:pStyle w:val="FirstParagraph"/>
      </w:pPr>
      <w:r>
        <w:t xml:space="preserve">We assess, for each property, whether it elicited a grammaticality effect, whether that</w:t>
      </w:r>
      <w:r>
        <w:t xml:space="preserve"> </w:t>
      </w:r>
      <w:r>
        <w:t xml:space="preserve">effect sharpened across sessions (the grammaticality</w:t>
      </w:r>
      <w:r>
        <w:t xml:space="preserve"> </w:t>
      </w:r>
      <m:oMath>
        <m:r>
          <m:rPr>
            <m:sty m:val="p"/>
          </m:rPr>
          <m:t>×</m:t>
        </m:r>
      </m:oMath>
      <w:r>
        <w:t xml:space="preserve"> </w:t>
      </w:r>
      <w:r>
        <w:t xml:space="preserve">session interaction), and</w:t>
      </w:r>
      <w:r>
        <w:t xml:space="preserve"> </w:t>
      </w:r>
      <w:r>
        <w:t xml:space="preserve">whether that development was modulated by language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The overall pattern is property-specific, with gender</w:t>
      </w:r>
      <w:r>
        <w:t xml:space="preserve"> </w:t>
      </w:r>
      <w:r>
        <w:t xml:space="preserve">agreement showing the clearest and most broadly distributed learning effect, credible in</w:t>
      </w:r>
      <w:r>
        <w:t xml:space="preserve"> </w:t>
      </w:r>
      <w:r>
        <w:t xml:space="preserve">5 of 6 cells;</w:t>
      </w:r>
      <w:r>
        <w:t xml:space="preserve"> </w:t>
      </w:r>
      <w:r>
        <w:t xml:space="preserve">verb–object number agreement a late, language-conditioned effect; and differential object</w:t>
      </w:r>
      <w:r>
        <w:t xml:space="preserve"> </w:t>
      </w:r>
      <w:r>
        <w:t xml:space="preserve">marking a transient early grammaticality effect with a late, language-conditioned</w:t>
      </w:r>
      <w:r>
        <w:t xml:space="preserve"> </w:t>
      </w:r>
      <w:r>
        <w:t xml:space="preserve">modulation (</w:t>
      </w:r>
      <w:hyperlink w:anchor="fig-erp-forest">
        <w:r>
          <w:rPr>
            <w:rStyle w:val="Hyperlink"/>
          </w:rPr>
          <w:t xml:space="preserve">Figure 7</w:t>
        </w:r>
      </w:hyperlink>
      <w:r>
        <w:t xml:space="preserve">). The underlying condition averages are shown as</w:t>
      </w:r>
      <w:r>
        <w:t xml:space="preserve"> </w:t>
      </w:r>
      <w:r>
        <w:t xml:space="preserve">grand-average waveforms in</w:t>
      </w:r>
      <w:r>
        <w:t xml:space="preserve"> </w:t>
      </w:r>
      <w:hyperlink w:anchor="fig-erp-waveforms">
        <w:r>
          <w:rPr>
            <w:rStyle w:val="Hyperlink"/>
          </w:rPr>
          <w:t xml:space="preserve">Figure 8</w:t>
        </w:r>
      </w:hyperlink>
      <w:r>
        <w:t xml:space="preserve">. Because those overlaid waveforms are</w:t>
      </w:r>
      <w:r>
        <w:t xml:space="preserve"> </w:t>
      </w:r>
      <w:r>
        <w:t xml:space="preserve">dominated by the shared evoked response, the difference waves that isolate the</w:t>
      </w:r>
      <w:r>
        <w:t xml:space="preserve"> </w:t>
      </w:r>
      <w:r>
        <w:t xml:space="preserve">grammaticality effect are given in</w:t>
      </w:r>
      <w:r>
        <w:t xml:space="preserve"> </w:t>
      </w:r>
      <w:r>
        <w:t xml:space="preserve">(</w:t>
      </w:r>
      <w:r>
        <w:rPr>
          <w:b/>
          <w:bCs/>
        </w:rPr>
        <w:t xml:space="preserve">apx-difference-waves?</w:t>
      </w:r>
      <w:r>
        <w:t xml:space="preserve">)</w:t>
      </w:r>
      <w:r>
        <w:t xml:space="preserve"> </w:t>
      </w:r>
      <w:r>
        <w:t xml:space="preserve">(</w:t>
      </w:r>
      <w:hyperlink w:anchor="fig-erp-difference">
        <w:r>
          <w:rPr>
            <w:rStyle w:val="Hyperlink"/>
          </w:rPr>
          <w:t xml:space="preserve">Figure 11</w:t>
        </w:r>
      </w:hyperlink>
      <w:r>
        <w:t xml:space="preserve">).</w:t>
      </w:r>
    </w:p>
    <w:p>
      <w:pPr>
        <w:pStyle w:val="BodyText"/>
      </w:pPr>
      <w:r>
        <w:t xml:space="preserve">One coding fact governs how every coefficient below should be read. A positive</w:t>
      </w:r>
      <w:r>
        <w:t xml:space="preserve"> </w:t>
      </w:r>
      <w:r>
        <w:t xml:space="preserve">grammaticality coefficient means that grammatical trials were more positive than</w:t>
      </w:r>
      <w:r>
        <w:t xml:space="preserve"> </w:t>
      </w:r>
      <w:r>
        <w:t xml:space="preserve">ungrammatical ones, because grammaticality is coded grammatical</w:t>
      </w:r>
      <w:r>
        <w:t xml:space="preserve"> </w:t>
      </w:r>
      <m:oMath>
        <m:r>
          <m:rPr>
            <m:sty m:val="p"/>
          </m:rPr>
          <m:t>=</m:t>
        </m:r>
        <m:r>
          <m:rPr>
            <m:sty m:val="p"/>
          </m:rPr>
          <m:t>+</m:t>
        </m:r>
        <m:r>
          <m:t>0.5</m:t>
        </m:r>
      </m:oMath>
      <w:r>
        <w:t xml:space="preserve">. Violations</w:t>
      </w:r>
      <w:r>
        <w:t xml:space="preserve"> </w:t>
      </w:r>
      <w:r>
        <w:t xml:space="preserve">therefore appear as a relative negativity. The canonical P600 would produce a negative</w:t>
      </w:r>
      <w:r>
        <w:t xml:space="preserve"> </w:t>
      </w:r>
      <w:r>
        <w:t xml:space="preserve">coefficient. Every credible grammaticality effect below is positive, so the dominant</w:t>
      </w:r>
      <w:r>
        <w:t xml:space="preserve"> </w:t>
      </w:r>
      <w:r>
        <w:t xml:space="preserve">signature in these learners is a violation-related negativity where our priors</w:t>
      </w:r>
      <w:r>
        <w:t xml:space="preserve"> </w:t>
      </w:r>
      <w:r>
        <w:t xml:space="preserve">anticipated a late positivity, a point we return to in the Discussion. Results are</w:t>
      </w:r>
      <w:r>
        <w:t xml:space="preserve"> </w:t>
      </w:r>
      <w:r>
        <w:t xml:space="preserve">organised by property.</w:t>
      </w:r>
    </w:p>
    <w:tbl>
      <w:tblPr>
        <w:tblStyle w:val="Table"/>
        <w:tblW w:type="pct" w:w="5000"/>
        <w:tblLayout w:type="fixed"/>
        <w:tblLook w:firstRow="0" w:lastRow="0" w:firstColumn="0" w:lastColumn="0" w:noHBand="0" w:noVBand="0" w:val="0000"/>
      </w:tblPr>
      <w:tblGrid>
        <w:gridCol w:w="7920"/>
      </w:tblGrid>
      <w:tr>
        <w:tc>
          <w:tcPr/>
          <w:bookmarkStart w:id="55" w:name="fig-erp-forest"/>
          <w:p>
            <w:pPr>
              <w:pStyle w:val="Compact"/>
              <w:jc w:val="center"/>
            </w:pPr>
            <w:r>
              <w:drawing>
                <wp:inline>
                  <wp:extent cx="5334000" cy="5744307"/>
                  <wp:effectExtent b="0" l="0" r="0" t="0"/>
                  <wp:docPr descr="" title="" id="53" name="Picture"/>
                  <a:graphic>
                    <a:graphicData uri="http://schemas.openxmlformats.org/drawingml/2006/picture">
                      <pic:pic>
                        <pic:nvPicPr>
                          <pic:cNvPr descr="paper_1_morphosyntax_files/figure-docx/fig-erp-forest-1.png" id="54" name="Picture"/>
                          <pic:cNvPicPr>
                            <a:picLocks noChangeArrowheads="1" noChangeAspect="1"/>
                          </pic:cNvPicPr>
                        </pic:nvPicPr>
                        <pic:blipFill>
                          <a:blip r:embed="rId52"/>
                          <a:stretch>
                            <a:fillRect/>
                          </a:stretch>
                        </pic:blipFill>
                        <pic:spPr bwMode="auto">
                          <a:xfrm>
                            <a:off x="0" y="0"/>
                            <a:ext cx="5334000" cy="5744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Posterior Medians and 95% Credible Intervals for the Key Standardised Effects Across ERP Cells</w:t>
            </w:r>
          </w:p>
          <w:bookmarkEnd w:id="55"/>
        </w:tc>
      </w:tr>
    </w:tbl>
    <w:tbl>
      <w:tblPr>
        <w:tblStyle w:val="Table"/>
        <w:tblW w:type="pct" w:w="5000"/>
        <w:tblLayout w:type="fixed"/>
        <w:tblLook w:firstRow="0" w:lastRow="0" w:firstColumn="0" w:lastColumn="0" w:noHBand="0" w:noVBand="0" w:val="0000"/>
      </w:tblPr>
      <w:tblGrid>
        <w:gridCol w:w="7920"/>
      </w:tblGrid>
      <w:tr>
        <w:tc>
          <w:tcPr/>
          <w:bookmarkStart w:id="59" w:name="fig-erp-waveforms"/>
          <w:p>
            <w:pPr>
              <w:pStyle w:val="Compact"/>
              <w:jc w:val="center"/>
            </w:pPr>
            <w:r>
              <w:drawing>
                <wp:inline>
                  <wp:extent cx="5334000" cy="4103076"/>
                  <wp:effectExtent b="0" l="0" r="0" t="0"/>
                  <wp:docPr descr="" title="" id="57" name="Picture"/>
                  <a:graphic>
                    <a:graphicData uri="http://schemas.openxmlformats.org/drawingml/2006/picture">
                      <pic:pic>
                        <pic:nvPicPr>
                          <pic:cNvPr descr="paper_1_morphosyntax_files/figure-docx/fig-erp-waveforms-1.png" id="58" name="Picture"/>
                          <pic:cNvPicPr>
                            <a:picLocks noChangeArrowheads="1" noChangeAspect="1"/>
                          </pic:cNvPicPr>
                        </pic:nvPicPr>
                        <pic:blipFill>
                          <a:blip r:embed="rId56"/>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Grand-Average ERPs per Property at Two Representative Sites</w:t>
            </w:r>
          </w:p>
          <w:bookmarkEnd w:id="59"/>
        </w:tc>
      </w:tr>
    </w:tbl>
    <w:bookmarkStart w:id="60" w:name="subjectverb-gender-agreement"/>
    <w:p>
      <w:pPr>
        <w:pStyle w:val="Heading3"/>
      </w:pPr>
      <w:r>
        <w:t xml:space="preserve">Subject–verb gender agreement</w:t>
      </w:r>
    </w:p>
    <w:p>
      <w:pPr>
        <w:pStyle w:val="FirstParagraph"/>
      </w:pPr>
      <w:r>
        <w:t xml:space="preserve">Gender agreement showed the clearest profile. The grammaticality effect was positive in</w:t>
      </w:r>
      <w:r>
        <w:t xml:space="preserve"> </w:t>
      </w:r>
      <w:r>
        <w:t xml:space="preserve">direction in every window and macroregion (</w:t>
      </w:r>
      <m:oMath>
        <m:sSub>
          <m:e>
            <m:r>
              <m:t>p</m:t>
            </m:r>
          </m:e>
          <m:sub>
            <m:r>
              <m:t>d</m:t>
            </m:r>
          </m:sub>
        </m:sSub>
      </m:oMath>
      <w:r>
        <w:t xml:space="preserve"> </w:t>
      </w:r>
      <w:r>
        <w:t xml:space="preserve">from</w:t>
      </w:r>
      <w:r>
        <w:t xml:space="preserve"> </w:t>
      </w:r>
      <w:r>
        <w:t xml:space="preserve">.93 to .997;</w:t>
      </w:r>
      <w:r>
        <w:t xml:space="preserve"> </w:t>
      </w:r>
      <w:hyperlink w:anchor="fig-erp-forest">
        <w:r>
          <w:rPr>
            <w:rStyle w:val="Hyperlink"/>
          </w:rPr>
          <w:t xml:space="preserve">Figure 7</w:t>
        </w:r>
      </w:hyperlink>
      <w:r>
        <w:t xml:space="preserve">) and credible in</w:t>
      </w:r>
      <w:r>
        <w:t xml:space="preserve"> </w:t>
      </w:r>
      <w:r>
        <w:t xml:space="preserve">2 of 6 cells, both of them on the</w:t>
      </w:r>
      <w:r>
        <w:t xml:space="preserve"> </w:t>
      </w:r>
      <w:r>
        <w:t xml:space="preserve">midline.</w:t>
      </w:r>
      <w:r>
        <w:t xml:space="preserve"> </w:t>
      </w:r>
      <w:r>
        <w:t xml:space="preserve">Laterally, the intervals include zero throughout. The effect also sharpened across</w:t>
      </w:r>
      <w:r>
        <w:t xml:space="preserve"> </w:t>
      </w:r>
      <w:r>
        <w:t xml:space="preserve">sessions, and that development is the better supported of the two. The</w:t>
      </w:r>
      <w:r>
        <w:t xml:space="preserve"> </w:t>
      </w:r>
      <w:r>
        <w:t xml:space="preserve">grammaticality</w:t>
      </w:r>
      <w:r>
        <w:t xml:space="preserve"> </w:t>
      </w:r>
      <m:oMath>
        <m:r>
          <m:rPr>
            <m:sty m:val="p"/>
          </m:rPr>
          <m:t>×</m:t>
        </m:r>
      </m:oMath>
      <w:r>
        <w:t xml:space="preserve"> </w:t>
      </w:r>
      <w:r>
        <w:t xml:space="preserve">session interaction was credible from the early window (lateral</w:t>
      </w:r>
      <w:r>
        <w:t xml:space="preserve"> </w:t>
      </w:r>
      <w:r>
        <w:t xml:space="preserve">200–500 ms,</w:t>
      </w:r>
      <w:r>
        <w:t xml:space="preserve"> </w:t>
      </w:r>
      <m:oMath>
        <m:r>
          <m:t>b</m:t>
        </m:r>
        <m:r>
          <m:rPr>
            <m:sty m:val="p"/>
          </m:rPr>
          <m:t>=</m:t>
        </m:r>
        <m:r>
          <m:t>0.012</m:t>
        </m:r>
      </m:oMath>
      <w:r>
        <w:t xml:space="preserve">, 95% CrI</w:t>
      </w:r>
      <w:r>
        <w:t xml:space="preserve"> </w:t>
      </w:r>
      <m:oMath>
        <m:r>
          <m:rPr>
            <m:sty m:val="p"/>
          </m:rPr>
          <m:t>[</m:t>
        </m:r>
        <m:r>
          <m:t>0.006</m:t>
        </m:r>
        <m:r>
          <m:rPr>
            <m:sty m:val="p"/>
          </m:rPr>
          <m:t>,</m:t>
        </m:r>
        <m:r>
          <m:t>0.019</m:t>
        </m:r>
        <m:r>
          <m:rPr>
            <m:sty m:val="p"/>
          </m:rPr>
          <m:t>]</m:t>
        </m:r>
      </m:oMath>
      <w:r>
        <w:t xml:space="preserve">,</w:t>
      </w:r>
      <w:r>
        <w:t xml:space="preserve"> </w:t>
      </w:r>
      <m:oMath>
        <m:sSub>
          <m:e>
            <m:r>
              <m:t>p</m:t>
            </m:r>
          </m:e>
          <m:sub>
            <m:r>
              <m:t>d</m:t>
            </m:r>
          </m:sub>
        </m:sSub>
        <m:r>
          <m:rPr>
            <m:sty m:val="p"/>
          </m:rPr>
          <m:t>&gt;</m:t>
        </m:r>
        <m:r>
          <m:t>.999</m:t>
        </m:r>
      </m:oMath>
      <w:r>
        <w:t xml:space="preserve">; midline 300–600 ms,</w:t>
      </w:r>
      <w:r>
        <w:t xml:space="preserve"> </w:t>
      </w:r>
      <m:oMath>
        <m:r>
          <m:t>b</m:t>
        </m:r>
        <m:r>
          <m:rPr>
            <m:sty m:val="p"/>
          </m:rPr>
          <m:t>=</m:t>
        </m:r>
        <m:r>
          <m:t>0.011</m:t>
        </m:r>
      </m:oMath>
      <w:r>
        <w:t xml:space="preserve">, 95% CrI</w:t>
      </w:r>
      <w:r>
        <w:t xml:space="preserve"> </w:t>
      </w:r>
      <m:oMath>
        <m:r>
          <m:rPr>
            <m:sty m:val="p"/>
          </m:rPr>
          <m:t>[</m:t>
        </m:r>
        <m:r>
          <m:t>0.002</m:t>
        </m:r>
        <m:r>
          <m:rPr>
            <m:sty m:val="p"/>
          </m:rPr>
          <m:t>,</m:t>
        </m:r>
        <m:r>
          <m:t>0.020</m:t>
        </m:r>
        <m:r>
          <m:rPr>
            <m:sty m:val="p"/>
          </m:rPr>
          <m:t>]</m:t>
        </m:r>
      </m:oMath>
      <w:r>
        <w:t xml:space="preserve">,</w:t>
      </w:r>
      <w:r>
        <w:t xml:space="preserve"> </w:t>
      </w:r>
      <m:oMath>
        <m:sSub>
          <m:e>
            <m:r>
              <m:t>p</m:t>
            </m:r>
          </m:e>
          <m:sub>
            <m:r>
              <m:t>d</m:t>
            </m:r>
          </m:sub>
        </m:sSub>
        <m:r>
          <m:rPr>
            <m:sty m:val="p"/>
          </m:rPr>
          <m:t>=</m:t>
        </m:r>
        <m:r>
          <m:t>.99</m:t>
        </m:r>
      </m:oMath>
      <w:r>
        <w:t xml:space="preserve">) through the late window (midline 400–900 ms,</w:t>
      </w:r>
      <w:r>
        <w:t xml:space="preserve"> </w:t>
      </w:r>
      <m:oMath>
        <m:r>
          <m:t>b</m:t>
        </m:r>
        <m:r>
          <m:rPr>
            <m:sty m:val="p"/>
          </m:rPr>
          <m:t>=</m:t>
        </m:r>
        <m:r>
          <m:t>0.021</m:t>
        </m:r>
      </m:oMath>
      <w:r>
        <w:t xml:space="preserve">, 95% CrI</w:t>
      </w:r>
      <w:r>
        <w:t xml:space="preserve"> </w:t>
      </w:r>
      <m:oMath>
        <m:r>
          <m:rPr>
            <m:sty m:val="p"/>
          </m:rPr>
          <m:t>[</m:t>
        </m:r>
        <m:r>
          <m:t>0.011</m:t>
        </m:r>
        <m:r>
          <m:rPr>
            <m:sty m:val="p"/>
          </m:rPr>
          <m:t>,</m:t>
        </m:r>
        <m:r>
          <m:t>0.030</m:t>
        </m:r>
        <m:r>
          <m:rPr>
            <m:sty m:val="p"/>
          </m:rPr>
          <m:t>]</m:t>
        </m:r>
      </m:oMath>
      <w:r>
        <w:t xml:space="preserve">,</w:t>
      </w:r>
      <w:r>
        <w:t xml:space="preserve"> </w:t>
      </w:r>
      <m:oMath>
        <m:sSub>
          <m:e>
            <m:r>
              <m:t>p</m:t>
            </m:r>
          </m:e>
          <m:sub>
            <m:r>
              <m:t>d</m:t>
            </m:r>
          </m:sub>
        </m:sSub>
        <m:r>
          <m:rPr>
            <m:sty m:val="p"/>
          </m:rPr>
          <m:t>&gt;</m:t>
        </m:r>
        <m:r>
          <m:t>.999</m:t>
        </m:r>
      </m:oMath>
      <w:r>
        <w:t xml:space="preserve">). Source-language transfer in the ERP signal was</w:t>
      </w:r>
      <w:r>
        <w:t xml:space="preserve"> </w:t>
      </w:r>
      <w:r>
        <w:t xml:space="preserve">not credible, however.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interaction sat</w:t>
      </w:r>
      <w:r>
        <w:t xml:space="preserve"> </w:t>
      </w:r>
      <w:r>
        <w:t xml:space="preserve">near zero in the late window (</w:t>
      </w:r>
      <m:oMath>
        <m:r>
          <m:t>b</m:t>
        </m:r>
        <m:r>
          <m:rPr>
            <m:sty m:val="p"/>
          </m:rPr>
          <m:t>=</m:t>
        </m:r>
        <m:r>
          <m:rPr>
            <m:sty m:val="p"/>
          </m:rPr>
          <m:t>−</m:t>
        </m:r>
        <m:r>
          <m:t>0.0001</m:t>
        </m:r>
      </m:oMath>
      <w:r>
        <w:t xml:space="preserve">, 95% CrI</w:t>
      </w:r>
      <w:r>
        <w:t xml:space="preserve"> </w:t>
      </w:r>
      <m:oMath>
        <m:r>
          <m:rPr>
            <m:sty m:val="p"/>
          </m:rPr>
          <m:t>[</m:t>
        </m:r>
        <m:r>
          <m:rPr>
            <m:sty m:val="p"/>
          </m:rPr>
          <m:t>−</m:t>
        </m:r>
        <m:r>
          <m:t>0.0099</m:t>
        </m:r>
        <m:r>
          <m:rPr>
            <m:sty m:val="p"/>
          </m:rPr>
          <m:t>,</m:t>
        </m:r>
        <m:r>
          <m:t>0.0097</m:t>
        </m:r>
        <m:r>
          <m:rPr>
            <m:sty m:val="p"/>
          </m:rPr>
          <m:t>]</m:t>
        </m:r>
      </m:oMath>
      <w:r>
        <w:t xml:space="preserve">,</w:t>
      </w:r>
      <w:r>
        <w:t xml:space="preserve"> </w:t>
      </w:r>
      <m:oMath>
        <m:sSub>
          <m:e>
            <m:r>
              <m:t>p</m:t>
            </m:r>
          </m:e>
          <m:sub>
            <m:r>
              <m:t>d</m:t>
            </m:r>
          </m:sub>
        </m:sSub>
        <m:r>
          <m:rPr>
            <m:sty m:val="p"/>
          </m:rPr>
          <m:t>=</m:t>
        </m:r>
        <m:r>
          <m:t>.51</m:t>
        </m:r>
      </m:oMath>
      <w:r>
        <w:t xml:space="preserve">), with only an</w:t>
      </w:r>
      <w:r>
        <w:t xml:space="preserve"> </w:t>
      </w:r>
      <w:r>
        <w:t xml:space="preserve">early-window hint (midline 200–500 ms,</w:t>
      </w:r>
      <w:r>
        <w:t xml:space="preserve"> </w:t>
      </w:r>
      <m:oMath>
        <m:r>
          <m:t>b</m:t>
        </m:r>
        <m:r>
          <m:rPr>
            <m:sty m:val="p"/>
          </m:rPr>
          <m:t>=</m:t>
        </m:r>
        <m:r>
          <m:t>0.007</m:t>
        </m:r>
      </m:oMath>
      <w:r>
        <w:t xml:space="preserve">, 95% CrI</w:t>
      </w:r>
      <w:r>
        <w:t xml:space="preserve"> </w:t>
      </w:r>
      <m:oMath>
        <m:r>
          <m:rPr>
            <m:sty m:val="p"/>
          </m:rPr>
          <m:t>[</m:t>
        </m:r>
        <m:r>
          <m:rPr>
            <m:sty m:val="p"/>
          </m:rPr>
          <m:t>−</m:t>
        </m:r>
        <m:r>
          <m:t>0.002</m:t>
        </m:r>
        <m:r>
          <m:rPr>
            <m:sty m:val="p"/>
          </m:rPr>
          <m:t>,</m:t>
        </m:r>
        <m:r>
          <m:t>0.016</m:t>
        </m:r>
        <m:r>
          <m:rPr>
            <m:sty m:val="p"/>
          </m:rPr>
          <m:t>]</m:t>
        </m:r>
      </m:oMath>
      <w:r>
        <w:t xml:space="preserve">,</w:t>
      </w:r>
      <w:r>
        <w:t xml:space="preserve"> </w:t>
      </w:r>
      <m:oMath>
        <m:sSub>
          <m:e>
            <m:r>
              <m:t>p</m:t>
            </m:r>
          </m:e>
          <m:sub>
            <m:r>
              <m:t>d</m:t>
            </m:r>
          </m:sub>
        </m:sSub>
        <m:r>
          <m:rPr>
            <m:sty m:val="p"/>
          </m:rPr>
          <m:t>=</m:t>
        </m:r>
        <m:r>
          <m:t>.93</m:t>
        </m:r>
      </m:oMath>
      <w:r>
        <w:t xml:space="preserve">).</w:t>
      </w:r>
    </w:p>
    <w:bookmarkEnd w:id="60"/>
    <w:bookmarkStart w:id="61" w:name="differential-object-marking"/>
    <w:p>
      <w:pPr>
        <w:pStyle w:val="Heading3"/>
      </w:pPr>
      <w:r>
        <w:t xml:space="preserve">Differential object marking</w:t>
      </w:r>
    </w:p>
    <w:p>
      <w:pPr>
        <w:pStyle w:val="FirstParagraph"/>
      </w:pPr>
      <w:r>
        <w:t xml:space="preserve">Differential object marking showed an early, transient grammaticality effect (grammatical</w:t>
      </w:r>
      <w:r>
        <w:t xml:space="preserve"> </w:t>
      </w:r>
      <w:r>
        <w:t xml:space="preserve">trials more positive, a relative violation negativity), and no developing late</w:t>
      </w:r>
      <w:r>
        <w:t xml:space="preserve"> </w:t>
      </w:r>
      <w:r>
        <w:t xml:space="preserve">effect. The effect was credible in the early midline window alone</w:t>
      </w:r>
      <w:r>
        <w:t xml:space="preserve"> </w:t>
      </w:r>
      <w:r>
        <w:t xml:space="preserve">(</w:t>
      </w:r>
      <w:hyperlink w:anchor="fig-erp-forest">
        <w:r>
          <w:rPr>
            <w:rStyle w:val="Hyperlink"/>
          </w:rPr>
          <w:t xml:space="preserve">Figure 7</w:t>
        </w:r>
      </w:hyperlink>
      <w:r>
        <w:t xml:space="preserve">; 200–500 ms,</w:t>
      </w:r>
      <w:r>
        <w:t xml:space="preserve"> </w:t>
      </w:r>
      <m:oMath>
        <m:r>
          <m:t>b</m:t>
        </m:r>
        <m:r>
          <m:rPr>
            <m:sty m:val="p"/>
          </m:rPr>
          <m:t>=</m:t>
        </m:r>
        <m:r>
          <m:t>0.0311</m:t>
        </m:r>
      </m:oMath>
      <w:r>
        <w:t xml:space="preserve">, 95% CrI</w:t>
      </w:r>
      <w:r>
        <w:t xml:space="preserve"> </w:t>
      </w:r>
      <m:oMath>
        <m:r>
          <m:rPr>
            <m:sty m:val="p"/>
          </m:rPr>
          <m:t>[</m:t>
        </m:r>
        <m:r>
          <m:t>0.0002</m:t>
        </m:r>
        <m:r>
          <m:rPr>
            <m:sty m:val="p"/>
          </m:rPr>
          <m:t>,</m:t>
        </m:r>
        <m:r>
          <m:t>0.0621</m:t>
        </m:r>
        <m:r>
          <m:rPr>
            <m:sty m:val="p"/>
          </m:rPr>
          <m:t>]</m:t>
        </m:r>
      </m:oMath>
      <w:r>
        <w:t xml:space="preserve">,</w:t>
      </w:r>
      <w:r>
        <w:t xml:space="preserve"> </w:t>
      </w:r>
      <m:oMath>
        <m:sSub>
          <m:e>
            <m:r>
              <m:t>p</m:t>
            </m:r>
          </m:e>
          <m:sub>
            <m:r>
              <m:t>d</m:t>
            </m:r>
          </m:sub>
        </m:sSub>
        <m:r>
          <m:rPr>
            <m:sty m:val="p"/>
          </m:rPr>
          <m:t>=</m:t>
        </m:r>
        <m:r>
          <m:t>.98</m:t>
        </m:r>
      </m:oMath>
      <w:r>
        <w:t xml:space="preserve">), with its</w:t>
      </w:r>
      <w:r>
        <w:t xml:space="preserve"> </w:t>
      </w:r>
      <w:r>
        <w:t xml:space="preserve">lateral counterpart positive but not credible</w:t>
      </w:r>
      <w:r>
        <w:t xml:space="preserve"> </w:t>
      </w:r>
      <w:r>
        <w:t xml:space="preserve">(</w:t>
      </w:r>
      <m:oMath>
        <m:r>
          <m:t>b</m:t>
        </m:r>
        <m:r>
          <m:rPr>
            <m:sty m:val="p"/>
          </m:rPr>
          <m:t>=</m:t>
        </m:r>
        <m:r>
          <m:t>0.024</m:t>
        </m:r>
      </m:oMath>
      <w:r>
        <w:t xml:space="preserve">, 95% CrI</w:t>
      </w:r>
      <w:r>
        <w:t xml:space="preserve"> </w:t>
      </w:r>
      <m:oMath>
        <m:r>
          <m:rPr>
            <m:sty m:val="p"/>
          </m:rPr>
          <m:t>[</m:t>
        </m:r>
        <m:r>
          <m:rPr>
            <m:sty m:val="p"/>
          </m:rPr>
          <m:t>−</m:t>
        </m:r>
        <m:r>
          <m:t>0.003</m:t>
        </m:r>
        <m:r>
          <m:rPr>
            <m:sty m:val="p"/>
          </m:rPr>
          <m:t>,</m:t>
        </m:r>
        <m:r>
          <m:t>0.050</m:t>
        </m:r>
        <m:r>
          <m:rPr>
            <m:sty m:val="p"/>
          </m:rPr>
          <m:t>]</m:t>
        </m:r>
      </m:oMath>
      <w:r>
        <w:t xml:space="preserve">,</w:t>
      </w:r>
      <w:r>
        <w:t xml:space="preserve"> </w:t>
      </w:r>
      <m:oMath>
        <m:sSub>
          <m:e>
            <m:r>
              <m:t>p</m:t>
            </m:r>
          </m:e>
          <m:sub>
            <m:r>
              <m:t>d</m:t>
            </m:r>
          </m:sub>
        </m:sSub>
        <m:r>
          <m:rPr>
            <m:sty m:val="p"/>
          </m:rPr>
          <m:t>=</m:t>
        </m:r>
        <m:r>
          <m:t>.96</m:t>
        </m:r>
      </m:oMath>
      <w:r>
        <w:t xml:space="preserve">), and was, if anything, slightly negative by the late window</w:t>
      </w:r>
      <w:r>
        <w:t xml:space="preserve"> </w:t>
      </w:r>
      <w:r>
        <w:t xml:space="preserve">(midline 400–900 ms,</w:t>
      </w:r>
      <w:r>
        <w:t xml:space="preserve"> </w:t>
      </w:r>
      <m:oMath>
        <m:r>
          <m:t>b</m:t>
        </m:r>
        <m:r>
          <m:rPr>
            <m:sty m:val="p"/>
          </m:rPr>
          <m:t>=</m:t>
        </m:r>
        <m:r>
          <m:rPr>
            <m:sty m:val="p"/>
          </m:rPr>
          <m:t>−</m:t>
        </m:r>
        <m:r>
          <m:t>0.021</m:t>
        </m:r>
      </m:oMath>
      <w:r>
        <w:t xml:space="preserve">, 95% CrI</w:t>
      </w:r>
      <w:r>
        <w:t xml:space="preserve"> </w:t>
      </w:r>
      <m:oMath>
        <m:r>
          <m:rPr>
            <m:sty m:val="p"/>
          </m:rPr>
          <m:t>[</m:t>
        </m:r>
        <m:r>
          <m:rPr>
            <m:sty m:val="p"/>
          </m:rPr>
          <m:t>−</m:t>
        </m:r>
        <m:r>
          <m:t>0.051</m:t>
        </m:r>
        <m:r>
          <m:rPr>
            <m:sty m:val="p"/>
          </m:rPr>
          <m:t>,</m:t>
        </m:r>
        <m:r>
          <m:t>0.011</m:t>
        </m:r>
        <m:r>
          <m:rPr>
            <m:sty m:val="p"/>
          </m:rPr>
          <m:t>]</m:t>
        </m:r>
      </m:oMath>
      <w:r>
        <w:t xml:space="preserve">,</w:t>
      </w:r>
      <w:r>
        <w:t xml:space="preserve"> </w:t>
      </w:r>
      <m:oMath>
        <m:sSub>
          <m:e>
            <m:r>
              <m:t>p</m:t>
            </m:r>
          </m:e>
          <m:sub>
            <m:r>
              <m:t>d</m:t>
            </m:r>
          </m:sub>
        </m:sSub>
        <m:r>
          <m:rPr>
            <m:sty m:val="p"/>
          </m:rPr>
          <m:t>=</m:t>
        </m:r>
        <m:r>
          <m:t>.91</m:t>
        </m:r>
      </m:oMath>
      <w:r>
        <w:t xml:space="preserve">). One caveat</w:t>
      </w:r>
      <w:r>
        <w:t xml:space="preserve"> </w:t>
      </w:r>
      <w:r>
        <w:t xml:space="preserve">attaches to this early effect specifically. Because the violation omits the particle</w:t>
      </w:r>
      <w:r>
        <w:t xml:space="preserve"> </w:t>
      </w:r>
      <w:r>
        <w:rPr>
          <w:i/>
          <w:iCs/>
        </w:rPr>
        <w:t xml:space="preserve">fi</w:t>
      </w:r>
      <w:r>
        <w:t xml:space="preserve">, the two conditions differ physically in the region preceding the critical word. At</w:t>
      </w:r>
      <w:r>
        <w:t xml:space="preserve"> </w:t>
      </w:r>
      <w:r>
        <w:t xml:space="preserve">the roughly 505 ms word-onset asynchrony, the response to that region overlaps the</w:t>
      </w:r>
      <w:r>
        <w:t xml:space="preserve"> </w:t>
      </w:r>
      <w:r>
        <w:t xml:space="preserve">200–500 ms window of the critical epoch. The same low-level difference that renders the</w:t>
      </w:r>
      <w:r>
        <w:t xml:space="preserve"> </w:t>
      </w:r>
      <w:r>
        <w:t xml:space="preserve">pre-stimulus decoding baseline non-chance (see below) could therefore contribute here, so</w:t>
      </w:r>
      <w:r>
        <w:t xml:space="preserve"> </w:t>
      </w:r>
      <w:r>
        <w:t xml:space="preserve">we read the early effect as a violation-related response with a possible stimulus-driven</w:t>
      </w:r>
      <w:r>
        <w:t xml:space="preserve"> </w:t>
      </w:r>
      <w:r>
        <w:t xml:space="preserve">component. Its development was not credible</w:t>
      </w:r>
      <w:r>
        <w:t xml:space="preserve"> </w:t>
      </w:r>
      <w:r>
        <w:t xml:space="preserve">(</w:t>
      </w:r>
      <m:oMath>
        <m:r>
          <m:t>b</m:t>
        </m:r>
        <m:r>
          <m:rPr>
            <m:sty m:val="p"/>
          </m:rPr>
          <m:t>=</m:t>
        </m:r>
        <m:r>
          <m:rPr>
            <m:sty m:val="p"/>
          </m:rPr>
          <m:t>−</m:t>
        </m:r>
        <m:r>
          <m:t>0.002</m:t>
        </m:r>
      </m:oMath>
      <w:r>
        <w:t xml:space="preserve">, 95% CrI</w:t>
      </w:r>
      <w:r>
        <w:t xml:space="preserve"> </w:t>
      </w:r>
      <m:oMath>
        <m:r>
          <m:rPr>
            <m:sty m:val="p"/>
          </m:rPr>
          <m:t>[</m:t>
        </m:r>
        <m:r>
          <m:rPr>
            <m:sty m:val="p"/>
          </m:rPr>
          <m:t>−</m:t>
        </m:r>
        <m:r>
          <m:t>0.013</m:t>
        </m:r>
        <m:r>
          <m:rPr>
            <m:sty m:val="p"/>
          </m:rPr>
          <m:t>,</m:t>
        </m:r>
        <m:r>
          <m:t>0.010</m:t>
        </m:r>
        <m:r>
          <m:rPr>
            <m:sty m:val="p"/>
          </m:rPr>
          <m:t>]</m:t>
        </m:r>
      </m:oMath>
      <w:r>
        <w:t xml:space="preserve">,</w:t>
      </w:r>
      <w:r>
        <w:t xml:space="preserve"> </w:t>
      </w:r>
      <m:oMath>
        <m:sSub>
          <m:e>
            <m:r>
              <m:t>p</m:t>
            </m:r>
          </m:e>
          <m:sub>
            <m:r>
              <m:t>d</m:t>
            </m:r>
          </m:sub>
        </m:sSub>
        <m:r>
          <m:rPr>
            <m:sty m:val="p"/>
          </m:rPr>
          <m:t>=</m:t>
        </m:r>
        <m:r>
          <m:t>.61</m:t>
        </m:r>
      </m:oMath>
      <w:r>
        <w:t xml:space="preserve">), but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transfer interaction was credible in the two later lateral windows (300–600 ms,</w:t>
      </w:r>
      <w:r>
        <w:t xml:space="preserve"> </w:t>
      </w:r>
      <m:oMath>
        <m:r>
          <m:t>b</m:t>
        </m:r>
        <m:r>
          <m:rPr>
            <m:sty m:val="p"/>
          </m:rPr>
          <m:t>=</m:t>
        </m:r>
        <m:r>
          <m:rPr>
            <m:sty m:val="p"/>
          </m:rPr>
          <m:t>−</m:t>
        </m:r>
        <m:r>
          <m:t>0.009</m:t>
        </m:r>
      </m:oMath>
      <w:r>
        <w:t xml:space="preserve">, 95% CrI</w:t>
      </w:r>
      <w:r>
        <w:t xml:space="preserve"> </w:t>
      </w:r>
      <m:oMath>
        <m:r>
          <m:rPr>
            <m:sty m:val="p"/>
          </m:rPr>
          <m:t>[</m:t>
        </m:r>
        <m:r>
          <m:rPr>
            <m:sty m:val="p"/>
          </m:rPr>
          <m:t>−</m:t>
        </m:r>
        <m:r>
          <m:t>0.017</m:t>
        </m:r>
        <m:r>
          <m:rPr>
            <m:sty m:val="p"/>
          </m:rPr>
          <m:t>,</m:t>
        </m:r>
        <m:r>
          <m:rPr>
            <m:sty m:val="p"/>
          </m:rPr>
          <m:t>−</m:t>
        </m:r>
        <m:r>
          <m:t>0.001</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400–900 ms,</w:t>
      </w:r>
      <w:r>
        <w:t xml:space="preserve"> </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The effect carried the same negative sign (a development smaller for the Mini-Norwegian</w:t>
      </w:r>
      <w:r>
        <w:t xml:space="preserve"> </w:t>
      </w:r>
      <w:r>
        <w:t xml:space="preserve">group, given the coding above) in all six cells and did not reach credibility on</w:t>
      </w:r>
      <w:r>
        <w:t xml:space="preserve"> </w:t>
      </w:r>
      <w:r>
        <w:t xml:space="preserve">the midline (400–900 ms,</w:t>
      </w:r>
      <w:r>
        <w:t xml:space="preserve"> </w:t>
      </w:r>
      <m:oMath>
        <m:r>
          <m:t>b</m:t>
        </m:r>
        <m:r>
          <m:rPr>
            <m:sty m:val="p"/>
          </m:rPr>
          <m:t>=</m:t>
        </m:r>
        <m:r>
          <m:rPr>
            <m:sty m:val="p"/>
          </m:rPr>
          <m:t>−</m:t>
        </m:r>
        <m:r>
          <m:t>0.007</m:t>
        </m:r>
      </m:oMath>
      <w:r>
        <w:t xml:space="preserve">, 95% CrI</w:t>
      </w:r>
      <w:r>
        <w:t xml:space="preserve"> </w:t>
      </w:r>
      <m:oMath>
        <m:r>
          <m:rPr>
            <m:sty m:val="p"/>
          </m:rPr>
          <m:t>[</m:t>
        </m:r>
        <m:r>
          <m:rPr>
            <m:sty m:val="p"/>
          </m:rPr>
          <m:t>−</m:t>
        </m:r>
        <m:r>
          <m:t>0.018</m:t>
        </m:r>
        <m:r>
          <m:rPr>
            <m:sty m:val="p"/>
          </m:rPr>
          <m:t>,</m:t>
        </m:r>
        <m:r>
          <m:t>0.005</m:t>
        </m:r>
        <m:r>
          <m:rPr>
            <m:sty m:val="p"/>
          </m:rPr>
          <m:t>]</m:t>
        </m:r>
      </m:oMath>
      <w:r>
        <w:t xml:space="preserve">,</w:t>
      </w:r>
      <w:r>
        <w:t xml:space="preserve"> </w:t>
      </w:r>
      <m:oMath>
        <m:sSub>
          <m:e>
            <m:r>
              <m:t>p</m:t>
            </m:r>
          </m:e>
          <m:sub>
            <m:r>
              <m:t>d</m:t>
            </m:r>
          </m:sub>
        </m:sSub>
        <m:r>
          <m:rPr>
            <m:sty m:val="p"/>
          </m:rPr>
          <m:t>=</m:t>
        </m:r>
        <m:r>
          <m:t>.86</m:t>
        </m:r>
      </m:oMath>
      <w:r>
        <w:t xml:space="preserve">), so it</w:t>
      </w:r>
      <w:r>
        <w:t xml:space="preserve"> </w:t>
      </w:r>
      <w:r>
        <w:t xml:space="preserve">forms a coherent lateral, late-window pattern that spans several cells. Its sign is</w:t>
      </w:r>
      <w:r>
        <w:t xml:space="preserve"> </w:t>
      </w:r>
      <w:r>
        <w:t xml:space="preserve">opposite to the verb–object transfer effect reported next, so the two properties diverge</w:t>
      </w:r>
      <w:r>
        <w:t xml:space="preserve"> </w:t>
      </w:r>
      <w:r>
        <w:t xml:space="preserve">in direction as well as in magnitude.</w:t>
      </w:r>
    </w:p>
    <w:bookmarkEnd w:id="61"/>
    <w:bookmarkStart w:id="62" w:name="verbobject-number-agreement"/>
    <w:p>
      <w:pPr>
        <w:pStyle w:val="Heading3"/>
      </w:pPr>
      <w:r>
        <w:t xml:space="preserve">Verb–object number agreement</w:t>
      </w:r>
    </w:p>
    <w:p>
      <w:pPr>
        <w:pStyle w:val="FirstParagraph"/>
      </w:pPr>
      <w:r>
        <w:t xml:space="preserve">Verb–object number agreement, the latest-introduced property, developed only in the late</w:t>
      </w:r>
      <w:r>
        <w:t xml:space="preserve"> </w:t>
      </w:r>
      <w:r>
        <w:t xml:space="preserve">window (</w:t>
      </w:r>
      <w:hyperlink w:anchor="fig-erp-forest">
        <w:r>
          <w:rPr>
            <w:rStyle w:val="Hyperlink"/>
          </w:rPr>
          <w:t xml:space="preserve">Figure 7</w:t>
        </w:r>
      </w:hyperlink>
      <w:r>
        <w:t xml:space="preserve">), and there it bore a source-language signal. The grammaticality</w:t>
      </w:r>
      <w:r>
        <w:t xml:space="preserve"> </w:t>
      </w:r>
      <m:oMath>
        <m:r>
          <m:rPr>
            <m:sty m:val="p"/>
          </m:rPr>
          <m:t>×</m:t>
        </m:r>
      </m:oMath>
      <w:r>
        <w:t xml:space="preserve"> </w:t>
      </w:r>
      <w:r>
        <w:t xml:space="preserve">session</w:t>
      </w:r>
      <w:r>
        <w:t xml:space="preserve"> </w:t>
      </w:r>
      <w:r>
        <w:t xml:space="preserve">interaction was credible laterally (400–900 ms,</w:t>
      </w:r>
      <w:r>
        <w:t xml:space="preserve"> </w:t>
      </w:r>
      <m:oMath>
        <m:r>
          <m:t>b</m:t>
        </m:r>
        <m:r>
          <m:rPr>
            <m:sty m:val="p"/>
          </m:rPr>
          <m:t>=</m:t>
        </m:r>
        <m:r>
          <m:t>0.015</m:t>
        </m:r>
      </m:oMath>
      <w:r>
        <w:t xml:space="preserve">, 95% CrI</w:t>
      </w:r>
      <w:r>
        <w:t xml:space="preserve"> </w:t>
      </w:r>
      <m:oMath>
        <m:r>
          <m:rPr>
            <m:sty m:val="p"/>
          </m:rPr>
          <m:t>[</m:t>
        </m:r>
        <m:r>
          <m:t>0.004</m:t>
        </m:r>
        <m:r>
          <m:rPr>
            <m:sty m:val="p"/>
          </m:rPr>
          <m:t>,</m:t>
        </m:r>
        <m:r>
          <m:t>0.026</m:t>
        </m:r>
        <m:r>
          <m:rPr>
            <m:sty m:val="p"/>
          </m:rPr>
          <m:t>]</m:t>
        </m:r>
      </m:oMath>
      <w:r>
        <w:t xml:space="preserve">,</w:t>
      </w:r>
      <w:r>
        <w:t xml:space="preserve"> </w:t>
      </w:r>
      <m:oMath>
        <m:sSub>
          <m:e>
            <m:r>
              <m:t>p</m:t>
            </m:r>
          </m:e>
          <m:sub>
            <m:r>
              <m:t>d</m:t>
            </m:r>
          </m:sub>
        </m:sSub>
        <m:r>
          <m:rPr>
            <m:sty m:val="p"/>
          </m:rPr>
          <m:t>=</m:t>
        </m:r>
        <m:r>
          <m:t>.997</m:t>
        </m:r>
      </m:oMath>
      <w:r>
        <w:t xml:space="preserve">), as was the</w:t>
      </w:r>
      <w:r>
        <w:t xml:space="preserve"> </w:t>
      </w:r>
      <w:r>
        <w:t xml:space="preserve">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 transfer interaction</w:t>
      </w:r>
      <w:r>
        <w:t xml:space="preserve"> </w:t>
      </w:r>
      <w:r>
        <w:t xml:space="preserve">(</w:t>
      </w:r>
      <m:oMath>
        <m:r>
          <m:t>b</m:t>
        </m:r>
        <m:r>
          <m:rPr>
            <m:sty m:val="p"/>
          </m:rPr>
          <m:t>=</m:t>
        </m:r>
        <m:r>
          <m:t>0.012</m:t>
        </m:r>
      </m:oMath>
      <w:r>
        <w:t xml:space="preserve">, 95% CrI</w:t>
      </w:r>
      <w:r>
        <w:t xml:space="preserve"> </w:t>
      </w:r>
      <m:oMath>
        <m:r>
          <m:rPr>
            <m:sty m:val="p"/>
          </m:rPr>
          <m:t>[</m:t>
        </m:r>
        <m:r>
          <m:t>0.002</m:t>
        </m:r>
        <m:r>
          <m:rPr>
            <m:sty m:val="p"/>
          </m:rPr>
          <m:t>,</m:t>
        </m:r>
        <m:r>
          <m:t>0.023</m:t>
        </m:r>
        <m:r>
          <m:rPr>
            <m:sty m:val="p"/>
          </m:rPr>
          <m:t>]</m:t>
        </m:r>
      </m:oMath>
      <w:r>
        <w:t xml:space="preserve">,</w:t>
      </w:r>
      <w:r>
        <w:t xml:space="preserve"> </w:t>
      </w:r>
      <m:oMath>
        <m:sSub>
          <m:e>
            <m:r>
              <m:t>p</m:t>
            </m:r>
          </m:e>
          <m:sub>
            <m:r>
              <m:t>d</m:t>
            </m:r>
          </m:sub>
        </m:sSub>
        <m:r>
          <m:rPr>
            <m:sty m:val="p"/>
          </m:rPr>
          <m:t>=</m:t>
        </m:r>
        <m:r>
          <m:t>.99</m:t>
        </m:r>
      </m:oMath>
      <w:r>
        <w:t xml:space="preserve">). On the midline,</w:t>
      </w:r>
      <w:r>
        <w:t xml:space="preserve"> </w:t>
      </w:r>
      <w:r>
        <w:t xml:space="preserve">the same interaction was not credible</w:t>
      </w:r>
      <w:r>
        <w:t xml:space="preserve"> </w:t>
      </w:r>
      <w:r>
        <w:t xml:space="preserve">(</w:t>
      </w:r>
      <m:oMath>
        <m:r>
          <m:t>b</m:t>
        </m:r>
        <m:r>
          <m:rPr>
            <m:sty m:val="p"/>
          </m:rPr>
          <m:t>=</m:t>
        </m:r>
        <m:r>
          <m:t>0.012</m:t>
        </m:r>
      </m:oMath>
      <w:r>
        <w:t xml:space="preserve">, 95% CrI</w:t>
      </w:r>
      <w:r>
        <w:t xml:space="preserve"> </w:t>
      </w:r>
      <m:oMath>
        <m:r>
          <m:rPr>
            <m:sty m:val="p"/>
          </m:rPr>
          <m:t>[</m:t>
        </m:r>
        <m:r>
          <m:rPr>
            <m:sty m:val="p"/>
          </m:rPr>
          <m:t>−</m:t>
        </m:r>
        <m:r>
          <m:t>0.003</m:t>
        </m:r>
        <m:r>
          <m:rPr>
            <m:sty m:val="p"/>
          </m:rPr>
          <m:t>,</m:t>
        </m:r>
        <m:r>
          <m:t>0.028</m:t>
        </m:r>
        <m:r>
          <m:rPr>
            <m:sty m:val="p"/>
          </m:rPr>
          <m:t>]</m:t>
        </m:r>
      </m:oMath>
      <w:r>
        <w:t xml:space="preserve">,</w:t>
      </w:r>
      <w:r>
        <w:t xml:space="preserve"> </w:t>
      </w:r>
      <m:oMath>
        <m:sSub>
          <m:e>
            <m:r>
              <m:t>p</m:t>
            </m:r>
          </m:e>
          <m:sub>
            <m:r>
              <m:t>d</m:t>
            </m:r>
          </m:sub>
        </m:sSub>
        <m:r>
          <m:rPr>
            <m:sty m:val="p"/>
          </m:rPr>
          <m:t>=</m:t>
        </m:r>
        <m:r>
          <m:t>.95</m:t>
        </m:r>
      </m:oMath>
      <w:r>
        <w:t xml:space="preserve">). The lateral effect</w:t>
      </w:r>
      <w:r>
        <w:t xml:space="preserve"> </w:t>
      </w:r>
      <w:r>
        <w:t xml:space="preserve">is the only positive one among the 3 of 18</w:t>
      </w:r>
      <w:r>
        <w:t xml:space="preserve"> </w:t>
      </w:r>
      <w:r>
        <w:t xml:space="preserve">cells in which a transfer interaction is credible, and every one of those cells is</w:t>
      </w:r>
      <w:r>
        <w:t xml:space="preserve"> </w:t>
      </w:r>
      <w:r>
        <w:t xml:space="preserve">lateral.</w:t>
      </w:r>
      <w:r>
        <w:t xml:space="preserve"> </w:t>
      </w:r>
      <w:r>
        <w:t xml:space="preserve">Midline intervals are wider throughout the grid because the three midline clusters</w:t>
      </w:r>
      <w:r>
        <w:t xml:space="preserve"> </w:t>
      </w:r>
      <w:r>
        <w:t xml:space="preserve">supply half as many observations as the six lateral ones.</w:t>
      </w:r>
    </w:p>
    <w:p>
      <w:pPr>
        <w:pStyle w:val="BodyText"/>
      </w:pPr>
      <w:r>
        <w:t xml:space="preserve">One reading caveat applies to this property alone. Verb–object number agreement is</w:t>
      </w:r>
      <w:r>
        <w:t xml:space="preserve"> </w:t>
      </w:r>
      <w:r>
        <w:t xml:space="preserve">measured at Sessions 4 and 6 only, and the interval between them is the unrehearsed</w:t>
      </w:r>
      <w:r>
        <w:t xml:space="preserve"> </w:t>
      </w:r>
      <w:r>
        <w:t xml:space="preserve">retention gap, so for this property the session term is the change across that gap and</w:t>
      </w:r>
      <w:r>
        <w:t xml:space="preserve"> </w:t>
      </w:r>
      <w:r>
        <w:t xml:space="preserve">contains no further exposure. Its grammaticality</w:t>
      </w:r>
      <w:r>
        <w:t xml:space="preserve"> </w:t>
      </w:r>
      <m:oMath>
        <m:r>
          <m:rPr>
            <m:sty m:val="p"/>
          </m:rPr>
          <m:t>×</m:t>
        </m:r>
      </m:oMath>
      <w:r>
        <w:t xml:space="preserve"> </w:t>
      </w:r>
      <w:r>
        <w:t xml:space="preserve">session and three-way terms are</w:t>
      </w:r>
      <w:r>
        <w:t xml:space="preserve"> </w:t>
      </w:r>
      <w:r>
        <w:t xml:space="preserve">therefore offline-interval changes, and the</w:t>
      </w:r>
      <w:r>
        <w:t xml:space="preserve"> </w:t>
      </w:r>
      <w:r>
        <w:rPr>
          <w:i/>
          <w:iCs/>
        </w:rPr>
        <w:t xml:space="preserve">learning</w:t>
      </w:r>
      <w:r>
        <w:t xml:space="preserve"> </w:t>
      </w:r>
      <w:r>
        <w:t xml:space="preserve">and</w:t>
      </w:r>
      <w:r>
        <w:t xml:space="preserve"> </w:t>
      </w:r>
      <w:r>
        <w:rPr>
          <w:i/>
          <w:iCs/>
        </w:rPr>
        <w:t xml:space="preserve">transfer</w:t>
      </w:r>
      <w:r>
        <w:t xml:space="preserve"> </w:t>
      </w:r>
      <w:r>
        <w:t xml:space="preserve">glosses that the</w:t>
      </w:r>
      <w:r>
        <w:t xml:space="preserve"> </w:t>
      </w:r>
      <w:r>
        <w:t xml:space="preserve">operationalisation gives those terms for the other two properties do not carry over</w:t>
      </w:r>
      <w:r>
        <w:t xml:space="preserve"> </w:t>
      </w:r>
      <w:r>
        <w:t xml:space="preserve">unaltered here. We read them accordingly throughout.</w:t>
      </w:r>
    </w:p>
    <w:bookmarkEnd w:id="62"/>
    <w:bookmarkStart w:id="67" w:name="topography"/>
    <w:p>
      <w:pPr>
        <w:pStyle w:val="Heading3"/>
      </w:pPr>
      <w:r>
        <w:t xml:space="preserve">Topography</w:t>
      </w:r>
    </w:p>
    <w:p>
      <w:pPr>
        <w:pStyle w:val="FirstParagraph"/>
      </w:pPr>
      <w:r>
        <w:t xml:space="preserve">Grammaticality interacted with hemisphere for differential object marking (200–500 ms,</w:t>
      </w:r>
      <w:r>
        <w:t xml:space="preserve"> </w:t>
      </w:r>
      <m:oMath>
        <m:r>
          <m:t>b</m:t>
        </m:r>
        <m:r>
          <m:rPr>
            <m:sty m:val="p"/>
          </m:rPr>
          <m:t>=</m:t>
        </m:r>
        <m:r>
          <m:t>0.019</m:t>
        </m:r>
      </m:oMath>
      <w:r>
        <w:t xml:space="preserve">, 95% CrI</w:t>
      </w:r>
      <w:r>
        <w:t xml:space="preserve"> </w:t>
      </w:r>
      <m:oMath>
        <m:r>
          <m:rPr>
            <m:sty m:val="p"/>
          </m:rPr>
          <m:t>[</m:t>
        </m:r>
        <m:r>
          <m:t>0.012</m:t>
        </m:r>
        <m:r>
          <m:rPr>
            <m:sty m:val="p"/>
          </m:rPr>
          <m:t>,</m:t>
        </m:r>
        <m:r>
          <m:t>0.026</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the effect being larger over the right hemisphere (hemisphere is coded right</w:t>
      </w:r>
      <w:r>
        <w:t xml:space="preserve"> </w:t>
      </w:r>
      <m:oMath>
        <m:r>
          <m:rPr>
            <m:sty m:val="p"/>
          </m:rPr>
          <m:t>=</m:t>
        </m:r>
        <m:r>
          <m:rPr>
            <m:sty m:val="p"/>
          </m:rPr>
          <m:t>+</m:t>
        </m:r>
        <m:r>
          <m:t>0.5</m:t>
        </m:r>
      </m:oMath>
      <w:r>
        <w:t xml:space="preserve">).</w:t>
      </w:r>
      <w:r>
        <w:t xml:space="preserve"> </w:t>
      </w:r>
      <w:r>
        <w:t xml:space="preserve">The priors were neutral on this asymmetry (zero-centred, because the one lateralised</w:t>
      </w:r>
      <w:r>
        <w:t xml:space="preserve"> </w:t>
      </w:r>
      <w:r>
        <w:t xml:space="preserve">component is too heterogeneous to sign a priori), so nothing about it was predicted, and</w:t>
      </w:r>
      <w:r>
        <w:t xml:space="preserve"> </w:t>
      </w:r>
      <w:r>
        <w:t xml:space="preserve">no by-participant slope was estimated for it. The</w:t>
      </w:r>
      <w:r>
        <w:t xml:space="preserve"> </w:t>
      </w:r>
      <w:r>
        <w:t xml:space="preserve">grammaticality</w:t>
      </w:r>
      <w:r>
        <w:t xml:space="preserve"> </w:t>
      </w:r>
      <m:oMath>
        <m:r>
          <m:rPr>
            <m:sty m:val="p"/>
          </m:rPr>
          <m:t>×</m:t>
        </m:r>
      </m:oMath>
      <w:r>
        <w:t xml:space="preserve"> </w:t>
      </w:r>
      <w:r>
        <w:t xml:space="preserve">caudality interaction, by contrast, was not credible in the late</w:t>
      </w:r>
      <w:r>
        <w:t xml:space="preserve"> </w:t>
      </w:r>
      <w:r>
        <w:t xml:space="preserve">window for any property (all</w:t>
      </w:r>
      <w:r>
        <w:t xml:space="preserve"> </w:t>
      </w:r>
      <m:oMath>
        <m:sSub>
          <m:e>
            <m:r>
              <m:t>p</m:t>
            </m:r>
          </m:e>
          <m:sub>
            <m:r>
              <m:t>d</m:t>
            </m:r>
          </m:sub>
        </m:sSub>
      </m:oMath>
      <w:r>
        <w:t xml:space="preserve"> </w:t>
      </w:r>
      <w:r>
        <w:t xml:space="preserve">between</w:t>
      </w:r>
      <w:r>
        <w:t xml:space="preserve"> </w:t>
      </w:r>
      <w:r>
        <w:t xml:space="preserve">.52 and .87). Raw</w:t>
      </w:r>
      <w:r>
        <w:t xml:space="preserve"> </w:t>
      </w:r>
      <w:r>
        <w:t xml:space="preserve">voltage varies with anterior–posterior position, as it does across any scalp</w:t>
      </w:r>
      <w:r>
        <w:t xml:space="preserve"> </w:t>
      </w:r>
      <w:r>
        <w:t xml:space="preserve">recording, but the grammaticality effect itself was no more pronounced posteriorly than</w:t>
      </w:r>
      <w:r>
        <w:t xml:space="preserve"> </w:t>
      </w:r>
      <w:r>
        <w:t xml:space="preserve">anteriorly, so the topography does not confirm a canonical posterior-maximal P600</w:t>
      </w:r>
      <w:r>
        <w:t xml:space="preserve"> </w:t>
      </w:r>
      <w:r>
        <w:t xml:space="preserve">distribution (</w:t>
      </w:r>
      <w:hyperlink w:anchor="fig-erp-topography">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fig-erp-topography"/>
          <w:p>
            <w:pPr>
              <w:pStyle w:val="Compact"/>
              <w:jc w:val="center"/>
            </w:pPr>
            <w:r>
              <w:drawing>
                <wp:inline>
                  <wp:extent cx="5334000" cy="1718163"/>
                  <wp:effectExtent b="0" l="0" r="0" t="0"/>
                  <wp:docPr descr="" title="" id="64" name="Picture"/>
                  <a:graphic>
                    <a:graphicData uri="http://schemas.openxmlformats.org/drawingml/2006/picture">
                      <pic:pic>
                        <pic:nvPicPr>
                          <pic:cNvPr descr="paper_1_morphosyntax_files/figure-docx/fig-erp-topography-1.png" id="65" name="Picture"/>
                          <pic:cNvPicPr>
                            <a:picLocks noChangeArrowheads="1" noChangeAspect="1"/>
                          </pic:cNvPicPr>
                        </pic:nvPicPr>
                        <pic:blipFill>
                          <a:blip r:embed="rId63"/>
                          <a:stretch>
                            <a:fillRect/>
                          </a:stretch>
                        </pic:blipFill>
                        <pic:spPr bwMode="auto">
                          <a:xfrm>
                            <a:off x="0" y="0"/>
                            <a:ext cx="5334000" cy="1718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Scalp Topography of the Grammaticality Effect in the 400–900 ms Window, per Property</w:t>
            </w:r>
          </w:p>
          <w:bookmarkEnd w:id="66"/>
        </w:tc>
      </w:tr>
    </w:tbl>
    <w:bookmarkEnd w:id="67"/>
    <w:bookmarkStart w:id="68" w:name="Xe4d5742d97dcf9f59157263b922c3ef33c8672d"/>
    <w:p>
      <w:pPr>
        <w:pStyle w:val="Heading3"/>
      </w:pPr>
      <w:r>
        <w:t xml:space="preserve">Dependence on the by-item random-effect structure</w:t>
      </w:r>
    </w:p>
    <w:p>
      <w:pPr>
        <w:pStyle w:val="FirstParagraph"/>
      </w:pPr>
      <w:r>
        <w:t xml:space="preserve">Everything above comes from the maximal structure, with crossed by-participant and</w:t>
      </w:r>
      <w:r>
        <w:t xml:space="preserve"> </w:t>
      </w:r>
      <w:r>
        <w:t xml:space="preserve">by-item random effects each carrying a grammaticality slope. Refitting the whole grid</w:t>
      </w:r>
      <w:r>
        <w:t xml:space="preserve"> </w:t>
      </w:r>
      <w:r>
        <w:t xml:space="preserve">without the by-item grammaticality slope leaves every transfer conclusion unchanged</w:t>
      </w:r>
      <w:r>
        <w:t xml:space="preserve"> </w:t>
      </w:r>
      <w:r>
        <w:t xml:space="preserve">(3 of 18</w:t>
      </w:r>
      <w:r>
        <w:t xml:space="preserve"> </w:t>
      </w:r>
      <w:r>
        <w:t xml:space="preserve">credible cells against</w:t>
      </w:r>
      <w:r>
        <w:t xml:space="preserve"> </w:t>
      </w:r>
      <w:r>
        <w:t xml:space="preserve">2 of 18)</w:t>
      </w:r>
      <w:r>
        <w:t xml:space="preserve"> </w:t>
      </w:r>
      <w:r>
        <w:t xml:space="preserve">but narrows the grammaticality main effect’s intervals by about</w:t>
      </w:r>
      <w:r>
        <w:t xml:space="preserve"> </w:t>
      </w:r>
      <w:r>
        <w:t xml:space="preserve">1.13 times, so the breadth of that</w:t>
      </w:r>
      <w:r>
        <w:t xml:space="preserve"> </w:t>
      </w:r>
      <w:r>
        <w:t xml:space="preserve">effect across cells is structure-dependent while its existence and direction hold under</w:t>
      </w:r>
      <w:r>
        <w:t xml:space="preserve"> </w:t>
      </w:r>
      <w:r>
        <w:t xml:space="preserve">both. The comparison is set out in full in</w:t>
      </w:r>
      <w:r>
        <w:t xml:space="preserve"> </w:t>
      </w:r>
      <w:r>
        <w:t xml:space="preserve">(</w:t>
      </w:r>
      <w:r>
        <w:rPr>
          <w:b/>
          <w:bCs/>
        </w:rPr>
        <w:t xml:space="preserve">apx-analytic-decisions-in-detail?</w:t>
      </w:r>
      <w:r>
        <w:t xml:space="preserve">)</w:t>
      </w:r>
      <w:r>
        <w:t xml:space="preserve">.</w:t>
      </w:r>
    </w:p>
    <w:bookmarkEnd w:id="68"/>
    <w:bookmarkEnd w:id="69"/>
    <w:bookmarkStart w:id="70" w:name="retention-session-4-to-session-6"/>
    <w:p>
      <w:pPr>
        <w:pStyle w:val="Heading2"/>
      </w:pPr>
      <w:r>
        <w:t xml:space="preserve">Retention (Session 4 to Session 6)</w:t>
      </w:r>
    </w:p>
    <w:p>
      <w:pPr>
        <w:pStyle w:val="FirstParagraph"/>
      </w:pPr>
      <w:r>
        <w:t xml:space="preserve">The retention contrast quantifies the change in the grammaticality effect between Sessions</w:t>
      </w:r>
      <w:r>
        <w:t xml:space="preserve"> </w:t>
      </w:r>
      <w:r>
        <w:t xml:space="preserve">4 and 6, positive values indicating an effect that strengthened over the interval and</w:t>
      </w:r>
      <w:r>
        <w:t xml:space="preserve"> </w:t>
      </w:r>
      <w:r>
        <w:t xml:space="preserve">values near zero an effect that held steady. Its derivation bounds what it can show. Session</w:t>
      </w:r>
      <w:r>
        <w:t xml:space="preserve"> </w:t>
      </w:r>
      <w:r>
        <w:t xml:space="preserve">enters the models as a single linear predictor, so the contrast is the per-session change</w:t>
      </w:r>
      <w:r>
        <w:t xml:space="preserve"> </w:t>
      </w:r>
      <w:r>
        <w:t xml:space="preserve">in the grammaticality effect rescaled to the width of the retention step. Every session in</w:t>
      </w:r>
      <w:r>
        <w:t xml:space="preserve"> </w:t>
      </w:r>
      <w:r>
        <w:t xml:space="preserve">the series informs that estimate, including those outside the retention interval. For</w:t>
      </w:r>
      <w:r>
        <w:t xml:space="preserve"> </w:t>
      </w:r>
      <w:r>
        <w:t xml:space="preserve">gender agreement, sampled from Session 2, and for differential object marking, sampled</w:t>
      </w:r>
      <w:r>
        <w:t xml:space="preserve"> </w:t>
      </w:r>
      <w:r>
        <w:t xml:space="preserve">from Session 3, the contrast describes the fitted trajectory evaluated over the retention</w:t>
      </w:r>
      <w:r>
        <w:t xml:space="preserve"> </w:t>
      </w:r>
      <w:r>
        <w:t xml:space="preserve">interval. It cannot by itself separate an offline gain specific to that interval</w:t>
      </w:r>
      <w:r>
        <w:t xml:space="preserve"> </w:t>
      </w:r>
      <w:r>
        <w:t xml:space="preserve">from continued improvement at the rate the training sessions established. Verb–object</w:t>
      </w:r>
      <w:r>
        <w:t xml:space="preserve"> </w:t>
      </w:r>
      <w:r>
        <w:t xml:space="preserve">number agreement is the exception, being present at Sessions 4 and 6 only, so for that</w:t>
      </w:r>
      <w:r>
        <w:t xml:space="preserve"> </w:t>
      </w:r>
      <w:r>
        <w:t xml:space="preserve">property the linear session term is precisely the change across those two sessions and the</w:t>
      </w:r>
      <w:r>
        <w:t xml:space="preserve"> </w:t>
      </w:r>
      <w:r>
        <w:t xml:space="preserve">contrast is estimated directly from them.</w:t>
      </w:r>
      <w:r>
        <w:t xml:space="preserve"> </w:t>
      </w:r>
      <w:hyperlink w:anchor="tbl-retention">
        <w:r>
          <w:rPr>
            <w:rStyle w:val="Hyperlink"/>
          </w:rPr>
          <w:t xml:space="preserve">Table 2</w:t>
        </w:r>
      </w:hyperlink>
      <w:r>
        <w:t xml:space="preserve">, in</w:t>
      </w:r>
      <w:r>
        <w:t xml:space="preserve"> </w:t>
      </w:r>
      <w:r>
        <w:t xml:space="preserve">(</w:t>
      </w:r>
      <w:r>
        <w:rPr>
          <w:b/>
          <w:bCs/>
        </w:rPr>
        <w:t xml:space="preserve">apx-retention-tables?</w:t>
      </w:r>
      <w:r>
        <w:t xml:space="preserve">)</w:t>
      </w:r>
      <w:r>
        <w:t xml:space="preserve">,</w:t>
      </w:r>
      <w:r>
        <w:t xml:space="preserve"> </w:t>
      </w:r>
      <w:r>
        <w:t xml:space="preserve">reports every contrast overall, within each language and, where derived, as the</w:t>
      </w:r>
      <w:r>
        <w:t xml:space="preserve"> </w:t>
      </w:r>
      <w:r>
        <w:t xml:space="preserve">between-language difference; the text below reports the ones that carry the argument.</w:t>
      </w:r>
    </w:p>
    <w:p>
      <w:pPr>
        <w:pStyle w:val="BodyText"/>
      </w:pPr>
      <w:r>
        <w:t xml:space="preserve">For gender agreement and differential object marking, that limitation is addressed</w:t>
      </w:r>
      <w:r>
        <w:t xml:space="preserve"> </w:t>
      </w:r>
      <w:r>
        <w:t xml:space="preserve">directly. Both properties were refitted with an indicator for the retention session,</w:t>
      </w:r>
      <w:r>
        <w:t xml:space="preserve"> </w:t>
      </w:r>
      <w:r>
        <w:t xml:space="preserve">interacted with grammaticality and language, so that the linear term carries the training</w:t>
      </w:r>
      <w:r>
        <w:t xml:space="preserve"> </w:t>
      </w:r>
      <w:r>
        <w:t xml:space="preserve">trend and the indicator the deviation at Session 6.</w:t>
      </w:r>
      <w:r>
        <w:t xml:space="preserve"> </w:t>
      </w:r>
      <w:hyperlink w:anchor="tbl-retention-free">
        <w:r>
          <w:rPr>
            <w:rStyle w:val="Hyperlink"/>
          </w:rPr>
          <w:t xml:space="preserve">Table 3</w:t>
        </w:r>
      </w:hyperlink>
      <w:r>
        <w:t xml:space="preserve">, in the same</w:t>
      </w:r>
      <w:r>
        <w:t xml:space="preserve"> </w:t>
      </w:r>
      <w:r>
        <w:t xml:space="preserve">appendix, reports those freed contrasts. They answer a different question from</w:t>
      </w:r>
      <w:r>
        <w:t xml:space="preserve"> </w:t>
      </w:r>
      <w:hyperlink w:anchor="tbl-retention">
        <w:r>
          <w:rPr>
            <w:rStyle w:val="Hyperlink"/>
          </w:rPr>
          <w:t xml:space="preserve">Table 2</w:t>
        </w:r>
      </w:hyperlink>
      <w:r>
        <w:t xml:space="preserve">, and where the two</w:t>
      </w:r>
      <w:r>
        <w:t xml:space="preserve"> </w:t>
      </w:r>
      <w:r>
        <w:t xml:space="preserve">disagree, the freed estimate is the one that bears on consolidation. Verb–object number</w:t>
      </w:r>
      <w:r>
        <w:t xml:space="preserve"> </w:t>
      </w:r>
      <w:r>
        <w:t xml:space="preserve">agreement admits no such refit, for the reason given under</w:t>
      </w:r>
      <w:r>
        <w:t xml:space="preserve"> </w:t>
      </w:r>
      <w:r>
        <w:rPr>
          <w:i/>
          <w:iCs/>
        </w:rPr>
        <w:t xml:space="preserve">Model structure</w:t>
      </w:r>
      <w:r>
        <w:t xml:space="preserve">.</w:t>
      </w:r>
    </w:p>
    <w:p>
      <w:pPr>
        <w:pStyle w:val="BodyText"/>
      </w:pPr>
      <w:r>
        <w:t xml:space="preserve">The retention contrasts reveal a property- and language-specific pattern. The</w:t>
      </w:r>
      <w:r>
        <w:t xml:space="preserve"> </w:t>
      </w:r>
      <w:r>
        <w:t xml:space="preserve">gender-agreement grammaticality effect strengthened across the interval, credibly and in</w:t>
      </w:r>
      <w:r>
        <w:t xml:space="preserve"> </w:t>
      </w:r>
      <w:r>
        <w:t xml:space="preserve">both languages (midline 400–900 ms,</w:t>
      </w:r>
      <w:r>
        <w:t xml:space="preserve"> </w:t>
      </w:r>
      <m:oMath>
        <m:r>
          <m:rPr>
            <m:sty m:val="p"/>
          </m:rPr>
          <m:t>Δ</m:t>
        </m:r>
        <m:r>
          <m:rPr>
            <m:sty m:val="p"/>
          </m:rPr>
          <m:t>=</m:t>
        </m:r>
        <m:r>
          <m:t>0.019</m:t>
        </m:r>
      </m:oMath>
      <w:r>
        <w:t xml:space="preserve">, 95% CrI</w:t>
      </w:r>
      <w:r>
        <w:t xml:space="preserve"> </w:t>
      </w:r>
      <m:oMath>
        <m:r>
          <m:rPr>
            <m:sty m:val="p"/>
          </m:rPr>
          <m:t>[</m:t>
        </m:r>
        <m:r>
          <m:t>0.010</m:t>
        </m:r>
        <m:r>
          <m:rPr>
            <m:sty m:val="p"/>
          </m:rPr>
          <m:t>,</m:t>
        </m:r>
        <m:r>
          <m:t>0.028</m:t>
        </m:r>
        <m:r>
          <m:rPr>
            <m:sty m:val="p"/>
          </m:rPr>
          <m:t>]</m:t>
        </m:r>
      </m:oMath>
      <w:r>
        <w:t xml:space="preserve">,</w:t>
      </w:r>
      <w:r>
        <w:t xml:space="preserve"> </w:t>
      </w:r>
      <m:oMath>
        <m:sSub>
          <m:e>
            <m:r>
              <m:t>p</m:t>
            </m:r>
          </m:e>
          <m:sub>
            <m:r>
              <m:t>d</m:t>
            </m:r>
          </m:sub>
        </m:sSub>
        <m:r>
          <m:rPr>
            <m:sty m:val="p"/>
          </m:rPr>
          <m:t>&gt;</m:t>
        </m:r>
        <m:r>
          <m:t>.999</m:t>
        </m:r>
      </m:oMath>
      <w:r>
        <w:t xml:space="preserve">). Verb–object number agreement</w:t>
      </w:r>
      <w:r>
        <w:t xml:space="preserve"> </w:t>
      </w:r>
      <w:r>
        <w:t xml:space="preserve">strengthened overall (lateral 400–900 ms,</w:t>
      </w:r>
      <w:r>
        <w:t xml:space="preserve"> </w:t>
      </w:r>
      <m:oMath>
        <m:r>
          <m:rPr>
            <m:sty m:val="p"/>
          </m:rPr>
          <m:t>Δ</m:t>
        </m:r>
        <m:r>
          <m:rPr>
            <m:sty m:val="p"/>
          </m:rPr>
          <m:t>=</m:t>
        </m:r>
        <m:r>
          <m:t>0.031</m:t>
        </m:r>
      </m:oMath>
      <w:r>
        <w:t xml:space="preserve">, 95% CrI</w:t>
      </w:r>
      <w:r>
        <w:t xml:space="preserve"> </w:t>
      </w:r>
      <m:oMath>
        <m:r>
          <m:rPr>
            <m:sty m:val="p"/>
          </m:rPr>
          <m:t>[</m:t>
        </m:r>
        <m:r>
          <m:t>0.008</m:t>
        </m:r>
        <m:r>
          <m:rPr>
            <m:sty m:val="p"/>
          </m:rPr>
          <m:t>,</m:t>
        </m:r>
        <m:r>
          <m:t>0.053</m:t>
        </m:r>
        <m:r>
          <m:rPr>
            <m:sty m:val="p"/>
          </m:rPr>
          <m:t>]</m:t>
        </m:r>
      </m:oMath>
      <w:r>
        <w:t xml:space="preserve">,</w:t>
      </w:r>
      <w:r>
        <w:t xml:space="preserve"> </w:t>
      </w:r>
      <m:oMath>
        <m:sSub>
          <m:e>
            <m:r>
              <m:t>p</m:t>
            </m:r>
          </m:e>
          <m:sub>
            <m:r>
              <m:t>d</m:t>
            </m:r>
          </m:sub>
        </m:sSub>
        <m:r>
          <m:rPr>
            <m:sty m:val="p"/>
          </m:rPr>
          <m:t>=</m:t>
        </m:r>
        <m:r>
          <m:t>.997</m:t>
        </m:r>
      </m:oMath>
      <w:r>
        <w:t xml:space="preserve">), but</w:t>
      </w:r>
      <w:r>
        <w:t xml:space="preserve"> </w:t>
      </w:r>
      <w:r>
        <w:t xml:space="preserve">that gain was carried by the Mini-Norwegian group</w:t>
      </w:r>
      <w:r>
        <w:t xml:space="preserve"> </w:t>
      </w:r>
      <w:r>
        <w:t xml:space="preserve">(</w:t>
      </w:r>
      <m:oMath>
        <m:r>
          <m:rPr>
            <m:sty m:val="p"/>
          </m:rPr>
          <m:t>Δ</m:t>
        </m:r>
        <m:r>
          <m:rPr>
            <m:sty m:val="p"/>
          </m:rPr>
          <m:t>=</m:t>
        </m:r>
        <m:r>
          <m:t>0.055</m:t>
        </m:r>
      </m:oMath>
      <w:r>
        <w:t xml:space="preserve">, 95% CrI</w:t>
      </w:r>
      <w:r>
        <w:t xml:space="preserve"> </w:t>
      </w:r>
      <m:oMath>
        <m:r>
          <m:rPr>
            <m:sty m:val="p"/>
          </m:rPr>
          <m:t>[</m:t>
        </m:r>
        <m:r>
          <m:t>0.024</m:t>
        </m:r>
        <m:r>
          <m:rPr>
            <m:sty m:val="p"/>
          </m:rPr>
          <m:t>,</m:t>
        </m:r>
        <m:r>
          <m:t>0.087</m:t>
        </m:r>
        <m:r>
          <m:rPr>
            <m:sty m:val="p"/>
          </m:rPr>
          <m:t>]</m:t>
        </m:r>
      </m:oMath>
      <w:r>
        <w:t xml:space="preserve">,</w:t>
      </w:r>
      <w:r>
        <w:t xml:space="preserve"> </w:t>
      </w:r>
      <m:oMath>
        <m:sSub>
          <m:e>
            <m:r>
              <m:t>p</m:t>
            </m:r>
          </m:e>
          <m:sub>
            <m:r>
              <m:t>d</m:t>
            </m:r>
          </m:sub>
        </m:sSub>
        <m:r>
          <m:rPr>
            <m:sty m:val="p"/>
          </m:rPr>
          <m:t>&gt;</m:t>
        </m:r>
        <m:r>
          <m:t>.999</m:t>
        </m:r>
      </m:oMath>
      <w:r>
        <w:t xml:space="preserve">; Mini-English</w:t>
      </w:r>
      <w:r>
        <w:t xml:space="preserve"> </w:t>
      </w:r>
      <m:oMath>
        <m:r>
          <m:rPr>
            <m:sty m:val="p"/>
          </m:rPr>
          <m:t>Δ</m:t>
        </m:r>
        <m:r>
          <m:rPr>
            <m:sty m:val="p"/>
          </m:rPr>
          <m:t>=</m:t>
        </m:r>
        <m:r>
          <m:t>0.004</m:t>
        </m:r>
      </m:oMath>
      <w:r>
        <w:t xml:space="preserve">, 95% CrI</w:t>
      </w:r>
      <w:r>
        <w:t xml:space="preserve"> </w:t>
      </w:r>
      <m:oMath>
        <m:r>
          <m:rPr>
            <m:sty m:val="p"/>
          </m:rPr>
          <m:t>[</m:t>
        </m:r>
        <m:r>
          <m:rPr>
            <m:sty m:val="p"/>
          </m:rPr>
          <m:t>−</m:t>
        </m:r>
        <m:r>
          <m:t>0.027</m:t>
        </m:r>
        <m:r>
          <m:rPr>
            <m:sty m:val="p"/>
          </m:rPr>
          <m:t>,</m:t>
        </m:r>
        <m:r>
          <m:t>0.036</m:t>
        </m:r>
        <m:r>
          <m:rPr>
            <m:sty m:val="p"/>
          </m:rPr>
          <m:t>]</m:t>
        </m:r>
      </m:oMath>
      <w:r>
        <w:t xml:space="preserve">,</w:t>
      </w:r>
      <w:r>
        <w:t xml:space="preserve"> </w:t>
      </w:r>
      <m:oMath>
        <m:sSub>
          <m:e>
            <m:r>
              <m:t>p</m:t>
            </m:r>
          </m:e>
          <m:sub>
            <m:r>
              <m:t>d</m:t>
            </m:r>
          </m:sub>
        </m:sSub>
        <m:r>
          <m:rPr>
            <m:sty m:val="p"/>
          </m:rPr>
          <m:t>=</m:t>
        </m:r>
        <m:r>
          <m:t>.61</m:t>
        </m:r>
      </m:oMath>
      <w:r>
        <w:t xml:space="preserve">), and the</w:t>
      </w:r>
      <w:r>
        <w:t xml:space="preserve"> </w:t>
      </w:r>
      <w:r>
        <w:t xml:space="preserve">difference between the languages is itself credible</w:t>
      </w:r>
      <w:r>
        <w:t xml:space="preserve"> </w:t>
      </w:r>
      <w:r>
        <w:t xml:space="preserve">(</w:t>
      </w:r>
      <m:oMath>
        <m:r>
          <m:rPr>
            <m:sty m:val="p"/>
          </m:rPr>
          <m:t>Δ</m:t>
        </m:r>
        <m:r>
          <m:rPr>
            <m:sty m:val="p"/>
          </m:rPr>
          <m:t>=</m:t>
        </m:r>
        <m:r>
          <m:t>0.051</m:t>
        </m:r>
      </m:oMath>
      <w:r>
        <w:t xml:space="preserve">, 95% CrI</w:t>
      </w:r>
      <w:r>
        <w:t xml:space="preserve"> </w:t>
      </w:r>
      <m:oMath>
        <m:r>
          <m:rPr>
            <m:sty m:val="p"/>
          </m:rPr>
          <m:t>[</m:t>
        </m:r>
        <m:r>
          <m:t>0.007</m:t>
        </m:r>
        <m:r>
          <m:rPr>
            <m:sty m:val="p"/>
          </m:rPr>
          <m:t>,</m:t>
        </m:r>
        <m:r>
          <m:t>0.095</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Differential object marking showed no credible overall ERP retention in any cell, but its</w:t>
      </w:r>
      <w:r>
        <w:t xml:space="preserve"> </w:t>
      </w:r>
      <w:r>
        <w:t xml:space="preserve">grammaticality effect strengthened within Mini-English in the two later lateral windows</w:t>
      </w:r>
      <w:r>
        <w:t xml:space="preserve"> </w:t>
      </w:r>
      <w:r>
        <w:t xml:space="preserve">(300–600 ms,</w:t>
      </w:r>
      <w:r>
        <w:t xml:space="preserve"> </w:t>
      </w:r>
      <m:oMath>
        <m:r>
          <m:rPr>
            <m:sty m:val="p"/>
          </m:rPr>
          <m:t>Δ</m:t>
        </m:r>
        <m:r>
          <m:rPr>
            <m:sty m:val="p"/>
          </m:rPr>
          <m:t>=</m:t>
        </m:r>
        <m:r>
          <m:t>0.016</m:t>
        </m:r>
      </m:oMath>
      <w:r>
        <w:t xml:space="preserve">, 95% CrI</w:t>
      </w:r>
      <w:r>
        <w:t xml:space="preserve"> </w:t>
      </w:r>
      <m:oMath>
        <m:r>
          <m:rPr>
            <m:sty m:val="p"/>
          </m:rPr>
          <m:t>[</m:t>
        </m:r>
        <m:r>
          <m:t>0.001</m:t>
        </m:r>
        <m:r>
          <m:rPr>
            <m:sty m:val="p"/>
          </m:rPr>
          <m:t>,</m:t>
        </m:r>
        <m:r>
          <m:t>0.030</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400–900 ms,</w:t>
      </w:r>
      <w:r>
        <w:t xml:space="preserve"> </w:t>
      </w:r>
      <m:oMath>
        <m:r>
          <m:rPr>
            <m:sty m:val="p"/>
          </m:rPr>
          <m:t>Δ</m:t>
        </m:r>
        <m:r>
          <m:rPr>
            <m:sty m:val="p"/>
          </m:rPr>
          <m:t>=</m:t>
        </m:r>
        <m:r>
          <m:t>0.021</m:t>
        </m:r>
      </m:oMath>
      <w:r>
        <w:t xml:space="preserve">, 95% CrI</w:t>
      </w:r>
      <w:r>
        <w:t xml:space="preserve"> </w:t>
      </w:r>
      <m:oMath>
        <m:r>
          <m:rPr>
            <m:sty m:val="p"/>
          </m:rPr>
          <m:t>[</m:t>
        </m:r>
        <m:r>
          <m:t>0.007</m:t>
        </m:r>
        <m:r>
          <m:rPr>
            <m:sty m:val="p"/>
          </m:rPr>
          <m:t>,</m:t>
        </m:r>
        <m:r>
          <m:t>0.036</m:t>
        </m:r>
        <m:r>
          <m:rPr>
            <m:sty m:val="p"/>
          </m:rPr>
          <m:t>]</m:t>
        </m:r>
      </m:oMath>
      <w:r>
        <w:t xml:space="preserve">,</w:t>
      </w:r>
      <w:r>
        <w:t xml:space="preserve"> </w:t>
      </w:r>
      <m:oMath>
        <m:sSub>
          <m:e>
            <m:r>
              <m:t>p</m:t>
            </m:r>
          </m:e>
          <m:sub>
            <m:r>
              <m:t>d</m:t>
            </m:r>
          </m:sub>
        </m:sSub>
        <m:r>
          <m:rPr>
            <m:sty m:val="p"/>
          </m:rPr>
          <m:t>=</m:t>
        </m:r>
        <m:r>
          <m:t>.998</m:t>
        </m:r>
      </m:oMath>
      <w:r>
        <w:t xml:space="preserve">),</w:t>
      </w:r>
      <w:r>
        <w:t xml:space="preserve"> </w:t>
      </w:r>
      <w:r>
        <w:t xml:space="preserve">with the Mini-Norwegian contrasts not credible in either.</w:t>
      </w:r>
    </w:p>
    <w:bookmarkEnd w:id="70"/>
    <w:bookmarkStart w:id="71" w:name="judgement-accuracy"/>
    <w:p>
      <w:pPr>
        <w:pStyle w:val="Heading2"/>
      </w:pPr>
      <w:r>
        <w:t xml:space="preserve">Judgement accuracy</w:t>
      </w:r>
    </w:p>
    <w:p>
      <w:pPr>
        <w:pStyle w:val="FirstParagraph"/>
      </w:pPr>
      <w:r>
        <w:t xml:space="preserve">Overall judgement accuracy fell across sessions, credibly and substantially, for every</w:t>
      </w:r>
      <w:r>
        <w:t xml:space="preserve"> </w:t>
      </w:r>
      <w:r>
        <w:t xml:space="preserve">property (gender agreement</w:t>
      </w:r>
      <w:r>
        <w:t xml:space="preserve"> </w:t>
      </w:r>
      <m:oMath>
        <m:r>
          <m:t>b</m:t>
        </m:r>
        <m:r>
          <m:rPr>
            <m:sty m:val="p"/>
          </m:rPr>
          <m:t>=</m:t>
        </m:r>
        <m:r>
          <m:rPr>
            <m:sty m:val="p"/>
          </m:rPr>
          <m:t>−</m:t>
        </m:r>
        <m:r>
          <m:t>0.53</m:t>
        </m:r>
      </m:oMath>
      <w:r>
        <w:t xml:space="preserve">, 95% CrI</w:t>
      </w:r>
      <w:r>
        <w:t xml:space="preserve"> </w:t>
      </w:r>
      <m:oMath>
        <m:r>
          <m:rPr>
            <m:sty m:val="p"/>
          </m:rPr>
          <m:t>[</m:t>
        </m:r>
        <m:r>
          <m:rPr>
            <m:sty m:val="p"/>
          </m:rPr>
          <m:t>−</m:t>
        </m:r>
        <m:r>
          <m:t>0.72</m:t>
        </m:r>
        <m:r>
          <m:rPr>
            <m:sty m:val="p"/>
          </m:rPr>
          <m:t>,</m:t>
        </m:r>
        <m:r>
          <m:rPr>
            <m:sty m:val="p"/>
          </m:rPr>
          <m:t>−</m:t>
        </m:r>
        <m:r>
          <m:t>0.34</m:t>
        </m:r>
        <m:r>
          <m:rPr>
            <m:sty m:val="p"/>
          </m:rPr>
          <m:t>]</m:t>
        </m:r>
      </m:oMath>
      <w:r>
        <w:t xml:space="preserve">,</w:t>
      </w:r>
      <w:r>
        <w:t xml:space="preserve"> </w:t>
      </w:r>
      <m:oMath>
        <m:sSub>
          <m:e>
            <m:r>
              <m:t>p</m:t>
            </m:r>
          </m:e>
          <m:sub>
            <m:r>
              <m:t>d</m:t>
            </m:r>
          </m:sub>
        </m:sSub>
        <m:r>
          <m:rPr>
            <m:sty m:val="p"/>
          </m:rPr>
          <m:t>&gt;</m:t>
        </m:r>
        <m:r>
          <m:t>.999</m:t>
        </m:r>
      </m:oMath>
      <w:r>
        <w:t xml:space="preserve">; differential object marking</w:t>
      </w:r>
      <w:r>
        <w:t xml:space="preserve"> </w:t>
      </w:r>
      <m:oMath>
        <m:r>
          <m:t>b</m:t>
        </m:r>
        <m:r>
          <m:rPr>
            <m:sty m:val="p"/>
          </m:rPr>
          <m:t>=</m:t>
        </m:r>
        <m:r>
          <m:rPr>
            <m:sty m:val="p"/>
          </m:rPr>
          <m:t>−</m:t>
        </m:r>
        <m:r>
          <m:t>1.20</m:t>
        </m:r>
      </m:oMath>
      <w:r>
        <w:t xml:space="preserve">, 95% CrI</w:t>
      </w:r>
      <w:r>
        <w:t xml:space="preserve"> </w:t>
      </w:r>
      <m:oMath>
        <m:r>
          <m:rPr>
            <m:sty m:val="p"/>
          </m:rPr>
          <m:t>[</m:t>
        </m:r>
        <m:r>
          <m:rPr>
            <m:sty m:val="p"/>
          </m:rPr>
          <m:t>−</m:t>
        </m:r>
        <m:r>
          <m:t>1.58</m:t>
        </m:r>
        <m:r>
          <m:rPr>
            <m:sty m:val="p"/>
          </m:rPr>
          <m:t>,</m:t>
        </m:r>
        <m:r>
          <m:rPr>
            <m:sty m:val="p"/>
          </m:rPr>
          <m:t>−</m:t>
        </m:r>
        <m:r>
          <m:t>0.81</m:t>
        </m:r>
        <m:r>
          <m:rPr>
            <m:sty m:val="p"/>
          </m:rPr>
          <m:t>]</m:t>
        </m:r>
      </m:oMath>
      <w:r>
        <w:t xml:space="preserve">,</w:t>
      </w:r>
      <w:r>
        <w:t xml:space="preserve"> </w:t>
      </w:r>
      <m:oMath>
        <m:sSub>
          <m:e>
            <m:r>
              <m:t>p</m:t>
            </m:r>
          </m:e>
          <m:sub>
            <m:r>
              <m:t>d</m:t>
            </m:r>
          </m:sub>
        </m:sSub>
        <m:r>
          <m:rPr>
            <m:sty m:val="p"/>
          </m:rPr>
          <m:t>&gt;</m:t>
        </m:r>
        <m:r>
          <m:t>.999</m:t>
        </m:r>
      </m:oMath>
      <w:r>
        <w:t xml:space="preserve">; verb–object number agreement</w:t>
      </w:r>
      <w:r>
        <w:t xml:space="preserve"> </w:t>
      </w:r>
      <m:oMath>
        <m:r>
          <m:t>b</m:t>
        </m:r>
        <m:r>
          <m:rPr>
            <m:sty m:val="p"/>
          </m:rPr>
          <m:t>=</m:t>
        </m:r>
        <m:r>
          <m:rPr>
            <m:sty m:val="p"/>
          </m:rPr>
          <m:t>−</m:t>
        </m:r>
        <m:r>
          <m:t>0.65</m:t>
        </m:r>
      </m:oMath>
      <w:r>
        <w:t xml:space="preserve">, 95% CrI</w:t>
      </w:r>
      <w:r>
        <w:t xml:space="preserve"> </w:t>
      </w:r>
      <m:oMath>
        <m:r>
          <m:rPr>
            <m:sty m:val="p"/>
          </m:rPr>
          <m:t>[</m:t>
        </m:r>
        <m:r>
          <m:rPr>
            <m:sty m:val="p"/>
          </m:rPr>
          <m:t>−</m:t>
        </m:r>
        <m:r>
          <m:t>0.98</m:t>
        </m:r>
        <m:r>
          <m:rPr>
            <m:sty m:val="p"/>
          </m:rPr>
          <m:t>,</m:t>
        </m:r>
        <m:r>
          <m:rPr>
            <m:sty m:val="p"/>
          </m:rPr>
          <m:t>−</m:t>
        </m:r>
        <m:r>
          <m:t>0.32</m:t>
        </m:r>
        <m:r>
          <m:rPr>
            <m:sty m:val="p"/>
          </m:rPr>
          <m:t>]</m:t>
        </m:r>
      </m:oMath>
      <w:r>
        <w:t xml:space="preserve">,</w:t>
      </w:r>
      <w:r>
        <w:t xml:space="preserve"> </w:t>
      </w:r>
      <m:oMath>
        <m:sSub>
          <m:e>
            <m:r>
              <m:t>p</m:t>
            </m:r>
          </m:e>
          <m:sub>
            <m:r>
              <m:t>d</m:t>
            </m:r>
          </m:sub>
        </m:sSub>
        <m:r>
          <m:rPr>
            <m:sty m:val="p"/>
          </m:rPr>
          <m:t>&gt;</m:t>
        </m:r>
        <m:r>
          <m:t>.999</m:t>
        </m:r>
      </m:oMath>
      <w:r>
        <w:t xml:space="preserve">). This runs against the direction we had</w:t>
      </w:r>
      <w:r>
        <w:t xml:space="preserve"> </w:t>
      </w:r>
      <w:r>
        <w:t xml:space="preserve">assumed in setting a positive prior on that term. What fell was the</w:t>
      </w:r>
      <w:r>
        <w:t xml:space="preserve"> </w:t>
      </w:r>
      <w:r>
        <w:rPr>
          <w:i/>
          <w:iCs/>
        </w:rPr>
        <w:t xml:space="preserve">level</w:t>
      </w:r>
      <w:r>
        <w:t xml:space="preserve"> </w:t>
      </w:r>
      <w:r>
        <w:t xml:space="preserve">of</w:t>
      </w:r>
      <w:r>
        <w:t xml:space="preserve"> </w:t>
      </w:r>
      <w:r>
        <w:t xml:space="preserve">performance, while the ability to discriminate held. The grammaticality</w:t>
      </w:r>
      <w:r>
        <w:t xml:space="preserve"> </w:t>
      </w:r>
      <w:r>
        <w:t xml:space="preserve">effect, which is what indexes knowledge of the property, is credibly positive for</w:t>
      </w:r>
      <w:r>
        <w:t xml:space="preserve"> </w:t>
      </w:r>
      <w:r>
        <w:t xml:space="preserve">differential object marking</w:t>
      </w:r>
      <w:r>
        <w:t xml:space="preserve"> </w:t>
      </w:r>
      <w:r>
        <w:t xml:space="preserve">(</w:t>
      </w:r>
      <m:oMath>
        <m:r>
          <m:t>b</m:t>
        </m:r>
        <m:r>
          <m:rPr>
            <m:sty m:val="p"/>
          </m:rPr>
          <m:t>=</m:t>
        </m:r>
        <m:r>
          <m:t>0.87</m:t>
        </m:r>
      </m:oMath>
      <w:r>
        <w:t xml:space="preserve">, 95% CrI</w:t>
      </w:r>
      <w:r>
        <w:t xml:space="preserve"> </w:t>
      </w:r>
      <m:oMath>
        <m:r>
          <m:rPr>
            <m:sty m:val="p"/>
          </m:rPr>
          <m:t>[</m:t>
        </m:r>
        <m:r>
          <m:t>0.46</m:t>
        </m:r>
        <m:r>
          <m:rPr>
            <m:sty m:val="p"/>
          </m:rPr>
          <m:t>,</m:t>
        </m:r>
        <m:r>
          <m:t>1.29</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and verb–object number agreement</w:t>
      </w:r>
      <w:r>
        <w:t xml:space="preserve"> </w:t>
      </w:r>
      <w:r>
        <w:t xml:space="preserve">(</w:t>
      </w:r>
      <m:oMath>
        <m:r>
          <m:t>b</m:t>
        </m:r>
        <m:r>
          <m:rPr>
            <m:sty m:val="p"/>
          </m:rPr>
          <m:t>=</m:t>
        </m:r>
        <m:r>
          <m:t>0.80</m:t>
        </m:r>
      </m:oMath>
      <w:r>
        <w:t xml:space="preserve">, 95% CrI</w:t>
      </w:r>
      <w:r>
        <w:t xml:space="preserve"> </w:t>
      </w:r>
      <m:oMath>
        <m:r>
          <m:rPr>
            <m:sty m:val="p"/>
          </m:rPr>
          <m:t>[</m:t>
        </m:r>
        <m:r>
          <m:t>0.45</m:t>
        </m:r>
        <m:r>
          <m:rPr>
            <m:sty m:val="p"/>
          </m:rPr>
          <m:t>,</m:t>
        </m:r>
        <m:r>
          <m:t>1.15</m:t>
        </m:r>
        <m:r>
          <m:rPr>
            <m:sty m:val="p"/>
          </m:rPr>
          <m:t>]</m:t>
        </m:r>
      </m:oMath>
      <w:r>
        <w:t xml:space="preserve">,</w:t>
      </w:r>
      <w:r>
        <w:t xml:space="preserve"> </w:t>
      </w:r>
      <m:oMath>
        <m:sSub>
          <m:e>
            <m:r>
              <m:t>p</m:t>
            </m:r>
          </m:e>
          <m:sub>
            <m:r>
              <m:t>d</m:t>
            </m:r>
          </m:sub>
        </m:sSub>
        <m:r>
          <m:rPr>
            <m:sty m:val="p"/>
          </m:rPr>
          <m:t>&gt;</m:t>
        </m:r>
        <m:r>
          <m:t>.999</m:t>
        </m:r>
      </m:oMath>
      <w:r>
        <w:t xml:space="preserve">).</w:t>
      </w:r>
      <w:r>
        <w:t xml:space="preserve"> </w:t>
      </w:r>
      <w:r>
        <w:t xml:space="preserve">For gender agreement, the average effect is small</w:t>
      </w:r>
      <w:r>
        <w:t xml:space="preserve"> </w:t>
      </w:r>
      <w:r>
        <w:t xml:space="preserve">(</w:t>
      </w:r>
      <m:oMath>
        <m:r>
          <m:t>b</m:t>
        </m:r>
        <m:r>
          <m:rPr>
            <m:sty m:val="p"/>
          </m:rPr>
          <m:t>=</m:t>
        </m:r>
        <m:r>
          <m:t>0.11</m:t>
        </m:r>
      </m:oMath>
      <w:r>
        <w:t xml:space="preserve">, 95% CrI</w:t>
      </w:r>
      <w:r>
        <w:t xml:space="preserve"> </w:t>
      </w:r>
      <m:oMath>
        <m:r>
          <m:rPr>
            <m:sty m:val="p"/>
          </m:rPr>
          <m:t>[</m:t>
        </m:r>
        <m:r>
          <m:rPr>
            <m:sty m:val="p"/>
          </m:rPr>
          <m:t>−</m:t>
        </m:r>
        <m:r>
          <m:t>0.18</m:t>
        </m:r>
        <m:r>
          <m:rPr>
            <m:sty m:val="p"/>
          </m:rPr>
          <m:t>,</m:t>
        </m:r>
        <m:r>
          <m:t>0.40</m:t>
        </m:r>
        <m:r>
          <m:rPr>
            <m:sty m:val="p"/>
          </m:rPr>
          <m:t>]</m:t>
        </m:r>
      </m:oMath>
      <w:r>
        <w:t xml:space="preserve">,</w:t>
      </w:r>
      <w:r>
        <w:t xml:space="preserve"> </w:t>
      </w:r>
      <m:oMath>
        <m:sSub>
          <m:e>
            <m:r>
              <m:t>p</m:t>
            </m:r>
          </m:e>
          <m:sub>
            <m:r>
              <m:t>d</m:t>
            </m:r>
          </m:sub>
        </m:sSub>
        <m:r>
          <m:rPr>
            <m:sty m:val="p"/>
          </m:rPr>
          <m:t>=</m:t>
        </m:r>
        <m:r>
          <m:t>.78</m:t>
        </m:r>
      </m:oMath>
      <w:r>
        <w:t xml:space="preserve">), but it grows</w:t>
      </w:r>
      <w:r>
        <w:t xml:space="preserve"> </w:t>
      </w:r>
      <w:r>
        <w:t xml:space="preserve">credibly across sessions (see below). Discrimination is therefore present, and improving,</w:t>
      </w:r>
      <w:r>
        <w:t xml:space="preserve"> </w:t>
      </w:r>
      <w:r>
        <w:t xml:space="preserve">where the level falls. Two features of the design bear on the decline. Properties accumulate</w:t>
      </w:r>
      <w:r>
        <w:t xml:space="preserve"> </w:t>
      </w:r>
      <w:r>
        <w:t xml:space="preserve">across sessions, so a judgement made at Session 4 is made against a grammar with three</w:t>
      </w:r>
      <w:r>
        <w:t xml:space="preserve"> </w:t>
      </w:r>
      <w:r>
        <w:t xml:space="preserve">manipulated properties instead of one. The final session, moreover, follows a months-long</w:t>
      </w:r>
      <w:r>
        <w:t xml:space="preserve"> </w:t>
      </w:r>
      <w:r>
        <w:t xml:space="preserve">interval without exposure, over which some forgetting is expected. We cannot separate these</w:t>
      </w:r>
      <w:r>
        <w:t xml:space="preserve"> </w:t>
      </w:r>
      <w:r>
        <w:t xml:space="preserve">from a general drift in response criterion, because the design has no condition in which</w:t>
      </w:r>
      <w:r>
        <w:t xml:space="preserve"> </w:t>
      </w:r>
      <w:r>
        <w:t xml:space="preserve">task demands are held constant while sessions advance. The decline is therefore treated as background against which the discrimination measures</w:t>
      </w:r>
      <w:r>
        <w:t xml:space="preserve"> </w:t>
      </w:r>
      <w:r>
        <w:t xml:space="preserve">are read, and we draw no conclusion about learning from it.</w:t>
      </w:r>
    </w:p>
    <w:p>
      <w:pPr>
        <w:pStyle w:val="BodyText"/>
      </w:pPr>
      <w:r>
        <w:t xml:space="preserve">Against that background, accuracy converged with the ERP development for gender agreement</w:t>
      </w:r>
      <w:r>
        <w:t xml:space="preserve"> </w:t>
      </w:r>
      <w:r>
        <w:t xml:space="preserve">and diverged for differential object marking. For gender agreement, the learning effect was</w:t>
      </w:r>
      <w:r>
        <w:t xml:space="preserve"> </w:t>
      </w:r>
      <w:r>
        <w:t xml:space="preserve">credible (grammaticality</w:t>
      </w:r>
      <w:r>
        <w:t xml:space="preserve"> </w:t>
      </w:r>
      <m:oMath>
        <m:r>
          <m:rPr>
            <m:sty m:val="p"/>
          </m:rPr>
          <m:t>×</m:t>
        </m:r>
      </m:oMath>
      <w:r>
        <w:t xml:space="preserve"> </w:t>
      </w:r>
      <w:r>
        <w:t xml:space="preserve">session,</w:t>
      </w:r>
      <w:r>
        <w:t xml:space="preserve"> </w:t>
      </w:r>
      <m:oMath>
        <m:r>
          <m:t>b</m:t>
        </m:r>
        <m:r>
          <m:rPr>
            <m:sty m:val="p"/>
          </m:rPr>
          <m:t>=</m:t>
        </m:r>
        <m:r>
          <m:t>0.21</m:t>
        </m:r>
      </m:oMath>
      <w:r>
        <w:t xml:space="preserve">, 95% CrI</w:t>
      </w:r>
      <w:r>
        <w:t xml:space="preserve"> </w:t>
      </w:r>
      <m:oMath>
        <m:r>
          <m:rPr>
            <m:sty m:val="p"/>
          </m:rPr>
          <m:t>[</m:t>
        </m:r>
        <m:r>
          <m:t>0.13</m:t>
        </m:r>
        <m:r>
          <m:rPr>
            <m:sty m:val="p"/>
          </m:rPr>
          <m:t>,</m:t>
        </m:r>
        <m:r>
          <m:t>0.28</m:t>
        </m:r>
        <m:r>
          <m:rPr>
            <m:sty m:val="p"/>
          </m:rPr>
          <m:t>]</m:t>
        </m:r>
      </m:oMath>
      <w:r>
        <w:t xml:space="preserve">,</w:t>
      </w:r>
      <w:r>
        <w:t xml:space="preserve"> </w:t>
      </w:r>
      <m:oMath>
        <m:sSub>
          <m:e>
            <m:r>
              <m:t>p</m:t>
            </m:r>
          </m:e>
          <m:sub>
            <m:r>
              <m:t>d</m:t>
            </m:r>
          </m:sub>
        </m:sSub>
        <m:r>
          <m:rPr>
            <m:sty m:val="p"/>
          </m:rPr>
          <m:t>&gt;</m:t>
        </m:r>
        <m:r>
          <m:t>.999</m:t>
        </m:r>
      </m:oMath>
      <w:r>
        <w:t xml:space="preserve">), as was a</w:t>
      </w:r>
      <w:r>
        <w:t xml:space="preserve"> </w:t>
      </w:r>
      <w:r>
        <w:t xml:space="preserve">language modulation of it (</w:t>
      </w:r>
      <m:oMath>
        <m:r>
          <m:t>b</m:t>
        </m:r>
        <m:r>
          <m:rPr>
            <m:sty m:val="p"/>
          </m:rPr>
          <m:t>=</m:t>
        </m:r>
        <m:r>
          <m:t>0.16</m:t>
        </m:r>
      </m:oMath>
      <w:r>
        <w:t xml:space="preserve">, 95% CrI</w:t>
      </w:r>
      <w:r>
        <w:t xml:space="preserve"> </w:t>
      </w:r>
      <m:oMath>
        <m:r>
          <m:rPr>
            <m:sty m:val="p"/>
          </m:rPr>
          <m:t>[</m:t>
        </m:r>
        <m:r>
          <m:t>0.09</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 advantaging</w:t>
      </w:r>
      <w:r>
        <w:t xml:space="preserve"> </w:t>
      </w:r>
      <w:r>
        <w:t xml:space="preserve">Mini-Norwegian. The gender effect also strengthened at retention, driven by that group</w:t>
      </w:r>
      <w:r>
        <w:t xml:space="preserve"> </w:t>
      </w:r>
      <w:r>
        <w:t xml:space="preserve">(within Mini-Norwegian</w:t>
      </w:r>
      <w:r>
        <w:t xml:space="preserve"> </w:t>
      </w:r>
      <m:oMath>
        <m:r>
          <m:rPr>
            <m:sty m:val="p"/>
          </m:rPr>
          <m:t>Δ</m:t>
        </m:r>
        <m:r>
          <m:rPr>
            <m:sty m:val="p"/>
          </m:rPr>
          <m:t>=</m:t>
        </m:r>
        <m:r>
          <m:t>0.34</m:t>
        </m:r>
      </m:oMath>
      <w:r>
        <w:t xml:space="preserve">, 95% CrI</w:t>
      </w:r>
      <w:r>
        <w:t xml:space="preserve"> </w:t>
      </w:r>
      <m:oMath>
        <m:r>
          <m:rPr>
            <m:sty m:val="p"/>
          </m:rPr>
          <m:t>[</m:t>
        </m:r>
        <m:r>
          <m:t>0.26</m:t>
        </m:r>
        <m:r>
          <m:rPr>
            <m:sty m:val="p"/>
          </m:rPr>
          <m:t>,</m:t>
        </m:r>
        <m:r>
          <m:t>0.43</m:t>
        </m:r>
        <m:r>
          <m:rPr>
            <m:sty m:val="p"/>
          </m:rPr>
          <m:t>]</m:t>
        </m:r>
      </m:oMath>
      <w:r>
        <w:t xml:space="preserve">,</w:t>
      </w:r>
      <w:r>
        <w:t xml:space="preserve"> </w:t>
      </w:r>
      <m:oMath>
        <m:sSub>
          <m:e>
            <m:r>
              <m:t>p</m:t>
            </m:r>
          </m:e>
          <m:sub>
            <m:r>
              <m:t>d</m:t>
            </m:r>
          </m:sub>
        </m:sSub>
        <m:r>
          <m:rPr>
            <m:sty m:val="p"/>
          </m:rPr>
          <m:t>&gt;</m:t>
        </m:r>
        <m:r>
          <m:t>.999</m:t>
        </m:r>
      </m:oMath>
      <w:r>
        <w:t xml:space="preserve">; Mini-English</w:t>
      </w:r>
      <w:r>
        <w:t xml:space="preserve"> </w:t>
      </w:r>
      <m:oMath>
        <m:r>
          <m:rPr>
            <m:sty m:val="p"/>
          </m:rPr>
          <m:t>Δ</m:t>
        </m:r>
        <m:r>
          <m:rPr>
            <m:sty m:val="p"/>
          </m:rPr>
          <m:t>=</m:t>
        </m:r>
        <m:r>
          <m:t>0.04</m:t>
        </m:r>
      </m:oMath>
      <w:r>
        <w:t xml:space="preserve">, 95% CrI</w:t>
      </w:r>
      <w:r>
        <w:t xml:space="preserve"> </w:t>
      </w:r>
      <m:oMath>
        <m:r>
          <m:rPr>
            <m:sty m:val="p"/>
          </m:rPr>
          <m:t>[</m:t>
        </m:r>
        <m:r>
          <m:rPr>
            <m:sty m:val="p"/>
          </m:rPr>
          <m:t>−</m:t>
        </m:r>
        <m:r>
          <m:t>0.07</m:t>
        </m:r>
        <m:r>
          <m:rPr>
            <m:sty m:val="p"/>
          </m:rPr>
          <m:t>,</m:t>
        </m:r>
        <m:r>
          <m:t>0.14</m:t>
        </m:r>
        <m:r>
          <m:rPr>
            <m:sty m:val="p"/>
          </m:rPr>
          <m:t>]</m:t>
        </m:r>
      </m:oMath>
      <w:r>
        <w:t xml:space="preserve">,</w:t>
      </w:r>
      <w:r>
        <w:t xml:space="preserve"> </w:t>
      </w:r>
      <m:oMath>
        <m:sSub>
          <m:e>
            <m:r>
              <m:t>p</m:t>
            </m:r>
          </m:e>
          <m:sub>
            <m:r>
              <m:t>d</m:t>
            </m:r>
          </m:sub>
        </m:sSub>
        <m:r>
          <m:rPr>
            <m:sty m:val="p"/>
          </m:rPr>
          <m:t>=</m:t>
        </m:r>
        <m:r>
          <m:t>.76</m:t>
        </m:r>
      </m:oMath>
      <w:r>
        <w:t xml:space="preserve">). Differential object marking elicited a large grammaticality effect</w:t>
      </w:r>
      <w:r>
        <w:t xml:space="preserve"> </w:t>
      </w:r>
      <w:r>
        <w:t xml:space="preserve">(</w:t>
      </w:r>
      <m:oMath>
        <m:r>
          <m:t>b</m:t>
        </m:r>
        <m:r>
          <m:rPr>
            <m:sty m:val="p"/>
          </m:rPr>
          <m:t>=</m:t>
        </m:r>
        <m:r>
          <m:t>0.87</m:t>
        </m:r>
      </m:oMath>
      <w:r>
        <w:t xml:space="preserve">, 95% CrI</w:t>
      </w:r>
      <w:r>
        <w:t xml:space="preserve"> </w:t>
      </w:r>
      <m:oMath>
        <m:r>
          <m:rPr>
            <m:sty m:val="p"/>
          </m:rPr>
          <m:t>[</m:t>
        </m:r>
        <m:r>
          <m:t>0.46</m:t>
        </m:r>
        <m:r>
          <m:rPr>
            <m:sty m:val="p"/>
          </m:rPr>
          <m:t>,</m:t>
        </m:r>
        <m:r>
          <m:t>1.29</m:t>
        </m:r>
        <m:r>
          <m:rPr>
            <m:sty m:val="p"/>
          </m:rPr>
          <m:t>]</m:t>
        </m:r>
      </m:oMath>
      <w:r>
        <w:t xml:space="preserve">,</w:t>
      </w:r>
      <w:r>
        <w:t xml:space="preserve"> </w:t>
      </w:r>
      <m:oMath>
        <m:sSub>
          <m:e>
            <m:r>
              <m:t>p</m:t>
            </m:r>
          </m:e>
          <m:sub>
            <m:r>
              <m:t>d</m:t>
            </m:r>
          </m:sub>
        </m:sSub>
        <m:r>
          <m:rPr>
            <m:sty m:val="p"/>
          </m:rPr>
          <m:t>&gt;</m:t>
        </m:r>
        <m:r>
          <m:t>.999</m:t>
        </m:r>
      </m:oMath>
      <w:r>
        <w:t xml:space="preserve">) that nonetheless declined across the retention interval in both</w:t>
      </w:r>
      <w:r>
        <w:t xml:space="preserve"> </w:t>
      </w:r>
      <w:r>
        <w:t xml:space="preserve">groups (overall</w:t>
      </w:r>
      <w:r>
        <w:t xml:space="preserve"> </w:t>
      </w:r>
      <m:oMath>
        <m:r>
          <m:rPr>
            <m:sty m:val="p"/>
          </m:rPr>
          <m:t>Δ</m:t>
        </m:r>
        <m:r>
          <m:rPr>
            <m:sty m:val="p"/>
          </m:rPr>
          <m:t>=</m:t>
        </m:r>
        <m:r>
          <m:rPr>
            <m:sty m:val="p"/>
          </m:rPr>
          <m:t>−</m:t>
        </m:r>
        <m:r>
          <m:t>0.31</m:t>
        </m:r>
      </m:oMath>
      <w:r>
        <w:t xml:space="preserve">, 95% CrI</w:t>
      </w:r>
      <w:r>
        <w:t xml:space="preserve"> </w:t>
      </w:r>
      <m:oMath>
        <m:r>
          <m:rPr>
            <m:sty m:val="p"/>
          </m:rPr>
          <m:t>[</m:t>
        </m:r>
        <m:r>
          <m:rPr>
            <m:sty m:val="p"/>
          </m:rPr>
          <m:t>−</m:t>
        </m:r>
        <m:r>
          <m:t>0.41</m:t>
        </m:r>
        <m:r>
          <m:rPr>
            <m:sty m:val="p"/>
          </m:rPr>
          <m:t>,</m:t>
        </m:r>
        <m:r>
          <m:rPr>
            <m:sty m:val="p"/>
          </m:rPr>
          <m:t>−</m:t>
        </m:r>
        <m:r>
          <m:t>0.21</m:t>
        </m:r>
        <m:r>
          <m:rPr>
            <m:sty m:val="p"/>
          </m:rPr>
          <m:t>]</m:t>
        </m:r>
      </m:oMath>
      <w:r>
        <w:t xml:space="preserve">,</w:t>
      </w:r>
      <w:r>
        <w:t xml:space="preserve"> </w:t>
      </w:r>
      <m:oMath>
        <m:sSub>
          <m:e>
            <m:r>
              <m:t>p</m:t>
            </m:r>
          </m:e>
          <m:sub>
            <m:r>
              <m:t>d</m:t>
            </m:r>
          </m:sub>
        </m:sSub>
        <m:r>
          <m:rPr>
            <m:sty m:val="p"/>
          </m:rPr>
          <m:t>&gt;</m:t>
        </m:r>
        <m:r>
          <m:t>.999</m:t>
        </m:r>
      </m:oMath>
      <w:r>
        <w:t xml:space="preserve">). Verb–object number agreement showed a strong</w:t>
      </w:r>
      <w:r>
        <w:t xml:space="preserve"> </w:t>
      </w:r>
      <w:r>
        <w:t xml:space="preserve">grammaticality effect (</w:t>
      </w:r>
      <m:oMath>
        <m:r>
          <m:t>b</m:t>
        </m:r>
        <m:r>
          <m:rPr>
            <m:sty m:val="p"/>
          </m:rPr>
          <m:t>=</m:t>
        </m:r>
        <m:r>
          <m:t>0.80</m:t>
        </m:r>
      </m:oMath>
      <w:r>
        <w:t xml:space="preserve">, 95% CrI</w:t>
      </w:r>
      <w:r>
        <w:t xml:space="preserve"> </w:t>
      </w:r>
      <m:oMath>
        <m:r>
          <m:rPr>
            <m:sty m:val="p"/>
          </m:rPr>
          <m:t>[</m:t>
        </m:r>
        <m:r>
          <m:t>0.45</m:t>
        </m:r>
        <m:r>
          <m:rPr>
            <m:sty m:val="p"/>
          </m:rPr>
          <m:t>,</m:t>
        </m:r>
        <m:r>
          <m:t>1.15</m:t>
        </m:r>
        <m:r>
          <m:rPr>
            <m:sty m:val="p"/>
          </m:rPr>
          <m:t>]</m:t>
        </m:r>
      </m:oMath>
      <w:r>
        <w:t xml:space="preserve">,</w:t>
      </w:r>
      <w:r>
        <w:t xml:space="preserve"> </w:t>
      </w:r>
      <m:oMath>
        <m:sSub>
          <m:e>
            <m:r>
              <m:t>p</m:t>
            </m:r>
          </m:e>
          <m:sub>
            <m:r>
              <m:t>d</m:t>
            </m:r>
          </m:sub>
        </m:sSub>
        <m:r>
          <m:rPr>
            <m:sty m:val="p"/>
          </m:rPr>
          <m:t>&gt;</m:t>
        </m:r>
        <m:r>
          <m:t>.999</m:t>
        </m:r>
      </m:oMath>
      <w:r>
        <w:t xml:space="preserve">) with little net change at retention</w:t>
      </w:r>
      <w:r>
        <w:t xml:space="preserve"> </w:t>
      </w:r>
      <w:r>
        <w:t xml:space="preserve">(</w:t>
      </w:r>
      <m:oMath>
        <m:r>
          <m:rPr>
            <m:sty m:val="p"/>
          </m:rPr>
          <m:t>Δ</m:t>
        </m:r>
        <m:r>
          <m:rPr>
            <m:sty m:val="p"/>
          </m:rPr>
          <m:t>=</m:t>
        </m:r>
        <m:r>
          <m:rPr>
            <m:sty m:val="p"/>
          </m:rPr>
          <m:t>−</m:t>
        </m:r>
        <m:r>
          <m:t>0.11</m:t>
        </m:r>
      </m:oMath>
      <w:r>
        <w:t xml:space="preserve">, 95% CrI</w:t>
      </w:r>
      <w:r>
        <w:t xml:space="preserve"> </w:t>
      </w:r>
      <m:oMath>
        <m:r>
          <m:rPr>
            <m:sty m:val="p"/>
          </m:rPr>
          <m:t>[</m:t>
        </m:r>
        <m:r>
          <m:rPr>
            <m:sty m:val="p"/>
          </m:rPr>
          <m:t>−</m:t>
        </m:r>
        <m:r>
          <m:t>0.27</m:t>
        </m:r>
        <m:r>
          <m:rPr>
            <m:sty m:val="p"/>
          </m:rPr>
          <m:t>,</m:t>
        </m:r>
        <m:r>
          <m:t>0.06</m:t>
        </m:r>
        <m:r>
          <m:rPr>
            <m:sty m:val="p"/>
          </m:rPr>
          <m:t>]</m:t>
        </m:r>
      </m:oMath>
      <w:r>
        <w:t xml:space="preserve">,</w:t>
      </w:r>
      <w:r>
        <w:t xml:space="preserve"> </w:t>
      </w:r>
      <m:oMath>
        <m:sSub>
          <m:e>
            <m:r>
              <m:t>p</m:t>
            </m:r>
          </m:e>
          <m:sub>
            <m:r>
              <m:t>d</m:t>
            </m:r>
          </m:sub>
        </m:sSub>
        <m:r>
          <m:rPr>
            <m:sty m:val="p"/>
          </m:rPr>
          <m:t>=</m:t>
        </m:r>
        <m:r>
          <m:t>.89</m:t>
        </m:r>
      </m:oMath>
      <w:r>
        <w:t xml:space="preserve">).</w:t>
      </w:r>
    </w:p>
    <w:bookmarkEnd w:id="71"/>
    <w:bookmarkStart w:id="76" w:name="X73cfc9f61bbd58eea69c4c192b93eda5b8ec668"/>
    <w:p>
      <w:pPr>
        <w:pStyle w:val="Heading2"/>
      </w:pPr>
      <w:r>
        <w:t xml:space="preserve">Multivariate decoding of grammaticality</w:t>
      </w:r>
    </w:p>
    <w:p>
      <w:pPr>
        <w:pStyle w:val="FirstParagraph"/>
      </w:pPr>
      <w:r>
        <w:t xml:space="preserve">We decoded</w:t>
      </w:r>
      <w:r>
        <w:t xml:space="preserve"> </w:t>
      </w:r>
      <w:r>
        <w:t xml:space="preserve">Grammatical from Ungrammatical trials at each time sample (leave-one-participant-out</w:t>
      </w:r>
      <w:r>
        <w:t xml:space="preserve"> </w:t>
      </w:r>
      <w:r>
        <w:t xml:space="preserve">AUC;</w:t>
      </w:r>
      <w:r>
        <w:t xml:space="preserve"> </w:t>
      </w:r>
      <w:hyperlink w:anchor="fig-decoding">
        <w:r>
          <w:rPr>
            <w:rStyle w:val="Hyperlink"/>
          </w:rPr>
          <w:t xml:space="preserve">Figure 10</w:t>
        </w:r>
      </w:hyperlink>
      <w:r>
        <w:t xml:space="preserve">). Error was controlled across time within each analysis by</w:t>
      </w:r>
      <w:r>
        <w:t xml:space="preserve"> </w:t>
      </w:r>
      <w:r>
        <w:t xml:space="preserve">cluster-based permutation and, within each property, across the clusters of its pooled</w:t>
      </w:r>
      <w:r>
        <w:t xml:space="preserve"> </w:t>
      </w:r>
      <w:r>
        <w:t xml:space="preserve">overall time-course by Benjamini–Hochberg FDR (the confirmatory correction family; see</w:t>
      </w:r>
      <w:r>
        <w:t xml:space="preserve"> </w:t>
      </w:r>
      <w:r>
        <w:rPr>
          <w:i/>
          <w:iCs/>
        </w:rPr>
        <w:t xml:space="preserve">Transparency, preregistration and analysis status</w:t>
      </w:r>
      <w:r>
        <w:t xml:space="preserve">). A significant</w:t>
      </w:r>
      <w:r>
        <w:t xml:space="preserve"> </w:t>
      </w:r>
      <w:r>
        <w:t xml:space="preserve">cluster licenses only that the grammaticality time-course as a whole departs from</w:t>
      </w:r>
      <w:r>
        <w:t xml:space="preserve"> </w:t>
      </w:r>
      <w:r>
        <w:t xml:space="preserve">chance. The temporal boundaries of a surviving cluster are not themselves inferential</w:t>
      </w:r>
      <w:r>
        <w:t xml:space="preserve"> </w:t>
      </w:r>
      <w:r>
        <w:t xml:space="preserve">claims about the onset, offset or duration of the effect</w:t>
      </w:r>
      <w:r>
        <w:t xml:space="preserve"> </w:t>
      </w:r>
      <w:r>
        <w:t xml:space="preserve">(Sassenhagen and Draschkow 2019)</w:t>
      </w:r>
      <w:r>
        <w:t xml:space="preserve">, and</w:t>
      </w:r>
      <w:r>
        <w:t xml:space="preserve"> </w:t>
      </w:r>
      <w:r>
        <w:t xml:space="preserve">we do not read them as such. One qualification attaches to this section. The confirmatory cluster-level decisions are final. The session-resolved breakdowns for gender agreement still rest on the earlier, coarser permutation null, so their cluster-level</w:t>
      </w:r>
      <w:r>
        <w:t xml:space="preserve"> </w:t>
      </w:r>
      <m:oMath>
        <m:r>
          <m:t>p</m:t>
        </m:r>
      </m:oMath>
      <w:r>
        <w:t xml:space="preserve"> </w:t>
      </w:r>
      <w:r>
        <w:t xml:space="preserve">values resolve less finely, and the rerun that will bring them to the same null is still running.</w:t>
      </w:r>
      <w:r>
        <w:t xml:space="preserve"> </w:t>
      </w:r>
    </w:p>
    <w:tbl>
      <w:tblPr>
        <w:tblStyle w:val="Table"/>
        <w:tblW w:type="pct" w:w="5000"/>
        <w:tblLayout w:type="fixed"/>
        <w:tblLook w:firstRow="0" w:lastRow="0" w:firstColumn="0" w:lastColumn="0" w:noHBand="0" w:noVBand="0" w:val="0000"/>
      </w:tblPr>
      <w:tblGrid>
        <w:gridCol w:w="7920"/>
      </w:tblGrid>
      <w:tr>
        <w:tc>
          <w:tcPr/>
          <w:bookmarkStart w:id="75" w:name="fig-decoding"/>
          <w:p>
            <w:pPr>
              <w:pStyle w:val="Compact"/>
              <w:jc w:val="center"/>
            </w:pPr>
            <w:r>
              <w:drawing>
                <wp:inline>
                  <wp:extent cx="5334000" cy="4265490"/>
                  <wp:effectExtent b="0" l="0" r="0" t="0"/>
                  <wp:docPr descr="" title="" id="73" name="Picture"/>
                  <a:graphic>
                    <a:graphicData uri="http://schemas.openxmlformats.org/drawingml/2006/picture">
                      <pic:pic>
                        <pic:nvPicPr>
                          <pic:cNvPr descr="paper_1_morphosyntax_files/figure-docx/fig-decoding-1.png" id="74" name="Picture"/>
                          <pic:cNvPicPr>
                            <a:picLocks noChangeArrowheads="1" noChangeAspect="1"/>
                          </pic:cNvPicPr>
                        </pic:nvPicPr>
                        <pic:blipFill>
                          <a:blip r:embed="rId72"/>
                          <a:stretch>
                            <a:fillRect/>
                          </a:stretch>
                        </pic:blipFill>
                        <pic:spPr bwMode="auto">
                          <a:xfrm>
                            <a:off x="0" y="0"/>
                            <a:ext cx="5334000" cy="42654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Time-Resolved Multivariate Decoding of Grammaticality per Property</w:t>
            </w:r>
          </w:p>
          <w:bookmarkEnd w:id="75"/>
        </w:tc>
      </w:tr>
    </w:tbl>
    <w:p>
      <w:pPr>
        <w:pStyle w:val="BodyText"/>
      </w:pPr>
      <w:r>
        <w:t xml:space="preserve">The three properties differed here too, though the ordering of their raw separability has</w:t>
      </w:r>
      <w:r>
        <w:t xml:space="preserve"> </w:t>
      </w:r>
      <w:r>
        <w:t xml:space="preserve">to be read against the pre-stimulus baseline.</w:t>
      </w:r>
      <w:r>
        <w:t xml:space="preserve"> </w:t>
      </w:r>
      <w:r>
        <w:t xml:space="preserve">Differential object marking, whose univariate signature was the weakest and</w:t>
      </w:r>
      <w:r>
        <w:t xml:space="preserve"> </w:t>
      </w:r>
      <w:r>
        <w:t xml:space="preserve">shortest-lived, was by far the most separable, though not necessarily by a violation</w:t>
      </w:r>
      <w:r>
        <w:t xml:space="preserve"> </w:t>
      </w:r>
      <w:r>
        <w:t xml:space="preserve">response: its overall time-course carried</w:t>
      </w:r>
      <w:r>
        <w:t xml:space="preserve"> </w:t>
      </w:r>
      <w:r>
        <w:t xml:space="preserve">two clusters surviving FDR correction, peaking post-stimulus at AUC</w:t>
      </w:r>
      <w:r>
        <w:t xml:space="preserve"> </w:t>
      </w:r>
      <w:r>
        <w:t xml:space="preserve">0.58 (at 246 ms;</w:t>
      </w:r>
      <w:r>
        <w:t xml:space="preserve"> </w:t>
      </w:r>
      <w:hyperlink w:anchor="fig-decoding">
        <w:r>
          <w:rPr>
            <w:rStyle w:val="Hyperlink"/>
          </w:rPr>
          <w:t xml:space="preserve">Figure 10</w:t>
        </w:r>
      </w:hyperlink>
      <w:r>
        <w:t xml:space="preserve">). The pre-stimulus baseline, which should sit at chance, did so for the</w:t>
      </w:r>
      <w:r>
        <w:t xml:space="preserve"> </w:t>
      </w:r>
      <w:r>
        <w:t xml:space="preserve">other properties but not for differential object marking, whose pre-stimulus AUC</w:t>
      </w:r>
      <w:r>
        <w:t xml:space="preserve"> </w:t>
      </w:r>
      <w:r>
        <w:t xml:space="preserve">averaged 0.55 with</w:t>
      </w:r>
      <w:r>
        <w:t xml:space="preserve"> </w:t>
      </w:r>
      <w:r>
        <w:t xml:space="preserve">20 samples surviving FDR before the critical word. Its</w:t>
      </w:r>
      <w:r>
        <w:t xml:space="preserve"> </w:t>
      </w:r>
      <w:r>
        <w:t xml:space="preserve">highest AUC anywhere in the epoch falls in that baseline</w:t>
      </w:r>
      <w:r>
        <w:t xml:space="preserve"> </w:t>
      </w:r>
      <w:r>
        <w:t xml:space="preserve">(0.60), above its post-stimulus peak.</w:t>
      </w:r>
      <w:r>
        <w:t xml:space="preserve"> </w:t>
      </w:r>
      <w:r>
        <w:t xml:space="preserve">Part of the differential-object-marking separability therefore precedes the stimulus</w:t>
      </w:r>
      <w:r>
        <w:t xml:space="preserve"> </w:t>
      </w:r>
      <w:r>
        <w:t xml:space="preserve">and may reflect a low-level difference between conditions, for instance the physical</w:t>
      </w:r>
      <w:r>
        <w:t xml:space="preserve"> </w:t>
      </w:r>
      <w:r>
        <w:t xml:space="preserve">presence of the object marker in the preceding region, and need not reflect a violation</w:t>
      </w:r>
      <w:r>
        <w:t xml:space="preserve"> </w:t>
      </w:r>
      <w:r>
        <w:t xml:space="preserve">response. Peak AUCs are quoted on the post-stimulus axis for this reason. The extents</w:t>
      </w:r>
      <w:r>
        <w:t xml:space="preserve"> </w:t>
      </w:r>
      <w:r>
        <w:t xml:space="preserve">of the surviving clusters make the limit concrete: one lies wholly before the critical</w:t>
      </w:r>
      <w:r>
        <w:t xml:space="preserve"> </w:t>
      </w:r>
      <w:r>
        <w:t xml:space="preserve">word (-98 to -62 ms) and the other begins just before</w:t>
      </w:r>
      <w:r>
        <w:t xml:space="preserve"> </w:t>
      </w:r>
      <w:r>
        <w:t xml:space="preserve">onset and spans the epoch (-38 to 1098 ms). The</w:t>
      </w:r>
      <w:r>
        <w:t xml:space="preserve"> </w:t>
      </w:r>
      <w:r>
        <w:t xml:space="preserve">cluster test cannot attribute any part of the surviving separability specifically to a</w:t>
      </w:r>
      <w:r>
        <w:t xml:space="preserve"> </w:t>
      </w:r>
      <w:r>
        <w:t xml:space="preserve">violation response. What it establishes is that the conditions are separable throughout</w:t>
      </w:r>
      <w:r>
        <w:t xml:space="preserve"> </w:t>
      </w:r>
      <w:r>
        <w:t xml:space="preserve">the trial, and the post-stimulus peak set against the pre-stimulus mean bounds how</w:t>
      </w:r>
      <w:r>
        <w:t xml:space="preserve"> </w:t>
      </w:r>
      <w:r>
        <w:t xml:space="preserve">much separability the violation response could add. A decoder trained at one latency</w:t>
      </w:r>
      <w:r>
        <w:t xml:space="preserve"> </w:t>
      </w:r>
      <w:r>
        <w:t xml:space="preserve">also classified neighbouring latencies. No null distribution was computed for that</w:t>
      </w:r>
      <w:r>
        <w:t xml:space="preserve"> </w:t>
      </w:r>
      <w:r>
        <w:t xml:space="preserve">temporal-generalisation pattern, so we describe it without interpreting it.</w:t>
      </w:r>
      <w:r>
        <w:t xml:space="preserve"> </w:t>
      </w:r>
      <w:r>
        <w:t xml:space="preserve">Gender agreement, whose amplitude effect was credible in the region-averaged models,</w:t>
      </w:r>
      <w:r>
        <w:t xml:space="preserve"> </w:t>
      </w:r>
      <w:r>
        <w:t xml:space="preserve">produced six clusters in its pooled time-course</w:t>
      </w:r>
      <w:r>
        <w:t xml:space="preserve"> </w:t>
      </w:r>
      <w:r>
        <w:t xml:space="preserve">surviving the confirmatory correction (</w:t>
      </w:r>
      <w:hyperlink w:anchor="fig-decoding">
        <w:r>
          <w:rPr>
            <w:rStyle w:val="Hyperlink"/>
          </w:rPr>
          <w:t xml:space="preserve">Figure 10</w:t>
        </w:r>
      </w:hyperlink>
      <w:r>
        <w:t xml:space="preserve">), spanning</w:t>
      </w:r>
      <w:r>
        <w:t xml:space="preserve"> </w:t>
      </w:r>
      <w:r>
        <w:t xml:space="preserve">378 to 418 ms, 438 to 478 ms, 530 to 602 ms, 710 to 754 ms, 850 to 926 ms, 950 to 1046 ms. Its smallest cluster-level</w:t>
      </w:r>
      <w:r>
        <w:t xml:space="preserve"> </w:t>
      </w:r>
      <m:oMath>
        <m:r>
          <m:t>p</m:t>
        </m:r>
        <m:r>
          <m:rPr>
            <m:sty m:val="p"/>
          </m:rPr>
          <m:t>=</m:t>
        </m:r>
        <m:r>
          <m:t>.001</m:t>
        </m:r>
      </m:oMath>
      <w:r>
        <w:t xml:space="preserve"> </w:t>
      </w:r>
      <w:r>
        <w:t xml:space="preserve">in that pooled time-course, which is the smallest value the permutation null can return, reached by</w:t>
      </w:r>
      <w:r>
        <w:t xml:space="preserve"> </w:t>
      </w:r>
      <w:r>
        <w:t xml:space="preserve">one of its clusters, and it peaked post-stimulus at AUC</w:t>
      </w:r>
      <w:r>
        <w:t xml:space="preserve"> </w:t>
      </w:r>
      <w:r>
        <w:t xml:space="preserve">0.53 (at 966 ms).</w:t>
      </w:r>
      <w:r>
        <w:t xml:space="preserve"> </w:t>
      </w:r>
      <w:r>
        <w:t xml:space="preserve">Its pre-stimulus baseline sat at chance, so, unlike differential object marking, it carries</w:t>
      </w:r>
      <w:r>
        <w:t xml:space="preserve"> </w:t>
      </w:r>
      <w:r>
        <w:t xml:space="preserve">no separability that precedes the critical word, and its post-stimulus clusters cannot be</w:t>
      </w:r>
      <w:r>
        <w:t xml:space="preserve"> </w:t>
      </w:r>
      <w:r>
        <w:t xml:space="preserve">attributed to a difference in the region before it. Verb–object number agreement produced</w:t>
      </w:r>
      <w:r>
        <w:t xml:space="preserve"> </w:t>
      </w:r>
      <w:r>
        <w:t xml:space="preserve">no clusters surviving correction in its pooled</w:t>
      </w:r>
      <w:r>
        <w:t xml:space="preserve"> </w:t>
      </w:r>
      <w:r>
        <w:t xml:space="preserve">time-course (smallest cluster-level</w:t>
      </w:r>
      <w:r>
        <w:t xml:space="preserve"> </w:t>
      </w:r>
      <m:oMath>
        <m:r>
          <m:t>p</m:t>
        </m:r>
        <m:r>
          <m:rPr>
            <m:sty m:val="p"/>
          </m:rPr>
          <m:t>=</m:t>
        </m:r>
        <m:r>
          <m:t>.079</m:t>
        </m:r>
      </m:oMath>
      <w:r>
        <w:t xml:space="preserve"> </w:t>
      </w:r>
      <w:r>
        <w:t xml:space="preserve">across all its analyses,</w:t>
      </w:r>
      <w:r>
        <w:t xml:space="preserve"> </w:t>
      </w:r>
      <w:r>
        <w:t xml:space="preserve">before or after correction; peak overall AUC</w:t>
      </w:r>
      <w:r>
        <w:t xml:space="preserve"> </w:t>
      </w:r>
      <w:r>
        <w:t xml:space="preserve">0.53). Cross-language generalisation, in which the</w:t>
      </w:r>
      <w:r>
        <w:t xml:space="preserve"> </w:t>
      </w:r>
      <w:r>
        <w:t xml:space="preserve">decoder is trained on one mini-language and tested on the other, peaked post-stimulus at</w:t>
      </w:r>
      <w:r>
        <w:t xml:space="preserve"> </w:t>
      </w:r>
      <w:r>
        <w:t xml:space="preserve">AUC 0.53 for gender agreement,</w:t>
      </w:r>
      <w:r>
        <w:t xml:space="preserve"> </w:t>
      </w:r>
      <w:r>
        <w:t xml:space="preserve">0.58 for differential object marking and</w:t>
      </w:r>
      <w:r>
        <w:t xml:space="preserve"> </w:t>
      </w:r>
      <w:r>
        <w:t xml:space="preserve">0.53 for verb–object number agreement. Those</w:t>
      </w:r>
      <w:r>
        <w:t xml:space="preserve"> </w:t>
      </w:r>
      <w:r>
        <w:t xml:space="preserve">values, and the temporal-generalisation ones, are descriptive. No permutation null was</w:t>
      </w:r>
      <w:r>
        <w:t xml:space="preserve"> </w:t>
      </w:r>
      <w:r>
        <w:t xml:space="preserve">computed for them, so we treat them as converging context and do not read the transfer</w:t>
      </w:r>
      <w:r>
        <w:t xml:space="preserve"> </w:t>
      </w:r>
      <w:r>
        <w:t xml:space="preserve">question off them.</w:t>
      </w:r>
      <w:r>
        <w:t xml:space="preserve"> </w:t>
      </w:r>
      <w:r>
        <w:t xml:space="preserve">Cross-property generalisation was near chance in every direction (peak post-stimulus</w:t>
      </w:r>
      <w:r>
        <w:t xml:space="preserve"> </w:t>
      </w:r>
      <w:r>
        <w:t xml:space="preserve">AUC 0.53 across all six train–test pairs). This too is descriptive. It has</w:t>
      </w:r>
      <w:r>
        <w:t xml:space="preserve"> </w:t>
      </w:r>
      <w:r>
        <w:t xml:space="preserve">no permutation null, and because every participant contributes trials to all</w:t>
      </w:r>
      <w:r>
        <w:t xml:space="preserve"> </w:t>
      </w:r>
      <w:r>
        <w:t xml:space="preserve">three properties, the train and test sets are not participant-independent. Its</w:t>
      </w:r>
      <w:r>
        <w:t xml:space="preserve"> </w:t>
      </w:r>
      <w:r>
        <w:t xml:space="preserve">theoretical reading is taken up in the Discussion. Because each per-cell decoding</w:t>
      </w:r>
      <w:r>
        <w:t xml:space="preserve"> </w:t>
      </w:r>
      <w:r>
        <w:t xml:space="preserve">score is a mean cross-validated AUC estimated on cells of differing and sometimes</w:t>
      </w:r>
      <w:r>
        <w:t xml:space="preserve"> </w:t>
      </w:r>
      <w:r>
        <w:t xml:space="preserve">small participant numbers, the</w:t>
      </w:r>
      <w:r>
        <w:t xml:space="preserve"> </w:t>
      </w:r>
      <w:r>
        <w:t xml:space="preserve">ordering across properties is provisional, and every cluster-level decision reported here</w:t>
      </w:r>
      <w:r>
        <w:t xml:space="preserve"> </w:t>
      </w:r>
      <w:r>
        <w:t xml:space="preserve">rests on the well-populated pooled time-course</w:t>
      </w:r>
      <w:r>
        <w:t xml:space="preserve"> </w:t>
      </w:r>
      <w:r>
        <w:t xml:space="preserve">(Varoquaux 2018)</w:t>
      </w:r>
      <w:r>
        <w:t xml:space="preserve">.</w:t>
      </w:r>
    </w:p>
    <w:bookmarkEnd w:id="76"/>
    <w:bookmarkEnd w:id="77"/>
    <w:bookmarkStart w:id="86" w:name="discussion"/>
    <w:p>
      <w:pPr>
        <w:pStyle w:val="Heading1"/>
      </w:pPr>
      <w:r>
        <w:t xml:space="preserve">Discussion</w:t>
      </w:r>
    </w:p>
    <w:p>
      <w:pPr>
        <w:pStyle w:val="FirstParagraph"/>
      </w:pPr>
      <w:r>
        <w:t xml:space="preserve">We set out to decide whether prior-language influence on early L3</w:t>
      </w:r>
      <w:r>
        <w:t xml:space="preserve"> </w:t>
      </w:r>
      <w:r>
        <w:t xml:space="preserve">morphosyntax is wholesale or property-by-property. The answer these data return is</w:t>
      </w:r>
      <w:r>
        <w:t xml:space="preserve"> </w:t>
      </w:r>
      <w:r>
        <w:t xml:space="preserve">selective. Gender agreement, the one property with a first-language analogue, was the</w:t>
      </w:r>
      <w:r>
        <w:t xml:space="preserve"> </w:t>
      </w:r>
      <w:r>
        <w:t xml:space="preserve">one whose behavioural advantage tracked that analogue, and that advantage grew</w:t>
      </w:r>
      <w:r>
        <w:t xml:space="preserve"> </w:t>
      </w:r>
      <w:r>
        <w:t xml:space="preserve">credibly across sessions. The two properties novel to both prior languages showed</w:t>
      </w:r>
      <w:r>
        <w:t xml:space="preserve"> </w:t>
      </w:r>
      <w:r>
        <w:t xml:space="preserve">no such advantage, and their electrophysiological modulations ran in opposite</w:t>
      </w:r>
      <w:r>
        <w:t xml:space="preserve"> </w:t>
      </w:r>
      <w:r>
        <w:t xml:space="preserve">directions, which neither account predicts. Both families expect any</w:t>
      </w:r>
      <w:r>
        <w:t xml:space="preserve"> </w:t>
      </w:r>
      <w:r>
        <w:t xml:space="preserve">first-language-congruent advantage to fall on gender agreement, and it did. Their</w:t>
      </w:r>
      <w:r>
        <w:t xml:space="preserve"> </w:t>
      </w:r>
      <w:r>
        <w:t xml:space="preserve">predictions differ on when it should appear, which the sections below take up.</w:t>
      </w:r>
    </w:p>
    <w:p>
      <w:pPr>
        <w:pStyle w:val="BodyText"/>
      </w:pPr>
      <w:r>
        <w:t xml:space="preserve">The three structures were thus acquired on three different trajectories</w:t>
      </w:r>
      <w:r>
        <w:t xml:space="preserve"> </w:t>
      </w:r>
      <w:r>
        <w:t xml:space="preserve">(the full estimates are in the Results and</w:t>
      </w:r>
      <w:r>
        <w:t xml:space="preserve"> </w:t>
      </w:r>
      <w:hyperlink w:anchor="fig-erp-forest">
        <w:r>
          <w:rPr>
            <w:rStyle w:val="Hyperlink"/>
          </w:rPr>
          <w:t xml:space="preserve">Figure 7</w:t>
        </w:r>
      </w:hyperlink>
      <w:r>
        <w:t xml:space="preserve">). Uneven trajectories alone</w:t>
      </w:r>
      <w:r>
        <w:t xml:space="preserve"> </w:t>
      </w:r>
      <w:r>
        <w:t xml:space="preserve">do not decide between the accounts, since wholesale transfer constrains the initial</w:t>
      </w:r>
      <w:r>
        <w:t xml:space="preserve"> </w:t>
      </w:r>
      <w:r>
        <w:t xml:space="preserve">state and says nothing about the rate at which individual properties are subsequently</w:t>
      </w:r>
      <w:r>
        <w:t xml:space="preserve"> </w:t>
      </w:r>
      <w:r>
        <w:t xml:space="preserve">learned. The adjudication below rests on where and when the language effects</w:t>
      </w:r>
      <w:r>
        <w:t xml:space="preserve"> </w:t>
      </w:r>
      <w:r>
        <w:t xml:space="preserve">appeared. Divergent trajectories within the same learners are in any case an established</w:t>
      </w:r>
      <w:r>
        <w:t xml:space="preserve"> </w:t>
      </w:r>
      <w:r>
        <w:t xml:space="preserve">pattern. Number</w:t>
      </w:r>
      <w:r>
        <w:t xml:space="preserve"> </w:t>
      </w:r>
      <w:r>
        <w:t xml:space="preserve">and gender agreement dissociate across the proficiency spectrum in second-language</w:t>
      </w:r>
      <w:r>
        <w:t xml:space="preserve"> </w:t>
      </w:r>
      <w:r>
        <w:t xml:space="preserve">learners, the feature instantiated in the first language showing a violation response</w:t>
      </w:r>
      <w:r>
        <w:t xml:space="preserve"> </w:t>
      </w:r>
      <w:r>
        <w:t xml:space="preserve">at lower proficiency than the novel one</w:t>
      </w:r>
      <w:r>
        <w:t xml:space="preserve"> </w:t>
      </w:r>
      <w:r>
        <w:t xml:space="preserve">(Alemán Bañón et al. 2018)</w:t>
      </w:r>
      <w:r>
        <w:t xml:space="preserve">. Brief training can also</w:t>
      </w:r>
      <w:r>
        <w:t xml:space="preserve"> </w:t>
      </w:r>
      <w:r>
        <w:t xml:space="preserve">produce a developing violation response for</w:t>
      </w:r>
      <w:r>
        <w:t xml:space="preserve"> </w:t>
      </w:r>
      <w:r>
        <w:t xml:space="preserve">one rule and none for another taught in the same protocol</w:t>
      </w:r>
      <w:r>
        <w:t xml:space="preserve"> </w:t>
      </w:r>
      <w:r>
        <w:t xml:space="preserve">(Davidson and Indefrey 2009)</w:t>
      </w:r>
      <w:r>
        <w:t xml:space="preserve">. Longitudinal</w:t>
      </w:r>
      <w:r>
        <w:t xml:space="preserve"> </w:t>
      </w:r>
      <w:r>
        <w:t xml:space="preserve">designs show that a P600 absent at the start of instruction can be present after a</w:t>
      </w:r>
      <w:r>
        <w:t xml:space="preserve"> </w:t>
      </w:r>
      <w:r>
        <w:t xml:space="preserve">short intensive course, with its magnitude tracking behavioural sensitivity</w:t>
      </w:r>
      <w:r>
        <w:t xml:space="preserve"> </w:t>
      </w:r>
      <w:r>
        <w:t xml:space="preserve">(White et al. 2012)</w:t>
      </w:r>
      <w:r>
        <w:t xml:space="preserve">.</w:t>
      </w:r>
      <w:r>
        <w:t xml:space="preserve"> </w:t>
      </w:r>
      <w:r>
        <w:t xml:space="preserve">That supports reading the present session effects as training-driven. Two features of</w:t>
      </w:r>
      <w:r>
        <w:t xml:space="preserve"> </w:t>
      </w:r>
      <w:r>
        <w:t xml:space="preserve">the design nonetheless limit the reading. Session and training are confounded, so nothing</w:t>
      </w:r>
      <w:r>
        <w:t xml:space="preserve"> </w:t>
      </w:r>
      <w:r>
        <w:t xml:space="preserve">in the design separates them, and every sentence frame recurs across sessions, so part of</w:t>
      </w:r>
      <w:r>
        <w:t xml:space="preserve"> </w:t>
      </w:r>
      <w:r>
        <w:t xml:space="preserve">the growth of the grammaticality effect could reflect memory for particular sentences.</w:t>
      </w:r>
      <w:r>
        <w:t xml:space="preserve"> </w:t>
      </w:r>
      <w:r>
        <w:t xml:space="preserve">The by-item session slopes absorb item-level change in amplitude but do not separate</w:t>
      </w:r>
      <w:r>
        <w:t xml:space="preserve"> </w:t>
      </w:r>
      <w:r>
        <w:t xml:space="preserve">rule learning from sentence familiarity.</w:t>
      </w:r>
    </w:p>
    <w:p>
      <w:pPr>
        <w:pStyle w:val="BodyText"/>
      </w:pPr>
      <w:r>
        <w:t xml:space="preserve">One feature of the grammaticality effect must be stated before its development is</w:t>
      </w:r>
      <w:r>
        <w:t xml:space="preserve"> </w:t>
      </w:r>
      <w:r>
        <w:t xml:space="preserve">interpreted: its polarity. With grammatical coded</w:t>
      </w:r>
      <w:r>
        <w:t xml:space="preserve"> </w:t>
      </w:r>
      <m:oMath>
        <m:r>
          <m:rPr>
            <m:sty m:val="p"/>
          </m:rPr>
          <m:t>+</m:t>
        </m:r>
        <m:r>
          <m:t>0.5</m:t>
        </m:r>
      </m:oMath>
      <w:r>
        <w:t xml:space="preserve">, a positive coefficient means</w:t>
      </w:r>
      <w:r>
        <w:t xml:space="preserve"> </w:t>
      </w:r>
      <w:r>
        <w:t xml:space="preserve">that ungrammatical critical words were the more negative-going. For gender agreement that</w:t>
      </w:r>
      <w:r>
        <w:t xml:space="preserve"> </w:t>
      </w:r>
      <w:r>
        <w:t xml:space="preserve">holds in every window, including 400–900 ms. That is a sustained violation negativity</w:t>
      </w:r>
      <w:r>
        <w:t xml:space="preserve"> </w:t>
      </w:r>
      <w:r>
        <w:t xml:space="preserve">where our informative prior anticipated a late positivity. The data overrode that prior,</w:t>
      </w:r>
      <w:r>
        <w:t xml:space="preserve"> </w:t>
      </w:r>
      <w:r>
        <w:t xml:space="preserve">and the shift under the weak priors was negligible</w:t>
      </w:r>
      <w:r>
        <w:t xml:space="preserve"> </w:t>
      </w:r>
      <w:r>
        <w:t xml:space="preserve">(see</w:t>
      </w:r>
      <w:r>
        <w:t xml:space="preserve"> </w:t>
      </w:r>
      <w:r>
        <w:rPr>
          <w:i/>
          <w:iCs/>
        </w:rPr>
        <w:t xml:space="preserve">Priors</w:t>
      </w:r>
      <w:r>
        <w:t xml:space="preserve">). For the two control properties, the effect is positive in the earlier</w:t>
      </w:r>
      <w:r>
        <w:t xml:space="preserve"> </w:t>
      </w:r>
      <w:r>
        <w:t xml:space="preserve">windows and turns slightly negative by 400–900 ms, though that reversal is not credible</w:t>
      </w:r>
      <w:r>
        <w:t xml:space="preserve"> </w:t>
      </w:r>
      <w:r>
        <w:t xml:space="preserve">in any cell. A violation negativity in learners at low proficiency has a natural</w:t>
      </w:r>
      <w:r>
        <w:t xml:space="preserve"> </w:t>
      </w:r>
      <w:r>
        <w:t xml:space="preserve">reading in the developmental ERP literature, where the early stages of morphosyntactic</w:t>
      </w:r>
      <w:r>
        <w:t xml:space="preserve"> </w:t>
      </w:r>
      <w:r>
        <w:t xml:space="preserve">learning are marked by N400-family negativities that give way to a P600 as proficiency</w:t>
      </w:r>
      <w:r>
        <w:t xml:space="preserve"> </w:t>
      </w:r>
      <w:r>
        <w:t xml:space="preserve">grows</w:t>
      </w:r>
      <w:r>
        <w:t xml:space="preserve"> </w:t>
      </w:r>
      <w:r>
        <w:t xml:space="preserve">(Osterhout et al. 2006)</w:t>
      </w:r>
      <w:r>
        <w:t xml:space="preserve">. That literature also finds lexical ERP change within about</w:t>
      </w:r>
      <w:r>
        <w:t xml:space="preserve"> </w:t>
      </w:r>
      <w:r>
        <w:t xml:space="preserve">fourteen hours of instruction in novices</w:t>
      </w:r>
      <w:r>
        <w:t xml:space="preserve"> </w:t>
      </w:r>
      <w:r>
        <w:t xml:space="preserve">(McLaughlin et al. 2004)</w:t>
      </w:r>
      <w:r>
        <w:t xml:space="preserve">, a morphosyntactic violation</w:t>
      </w:r>
      <w:r>
        <w:t xml:space="preserve"> </w:t>
      </w:r>
      <w:r>
        <w:t xml:space="preserve">response within a week of brief training</w:t>
      </w:r>
      <w:r>
        <w:t xml:space="preserve"> </w:t>
      </w:r>
      <w:r>
        <w:t xml:space="preserve">(Davidson and Indefrey 2009)</w:t>
      </w:r>
      <w:r>
        <w:t xml:space="preserve">, and individuals varying along a</w:t>
      </w:r>
      <w:r>
        <w:t xml:space="preserve"> </w:t>
      </w:r>
      <w:r>
        <w:t xml:space="preserve">negativity-to-positivity continuum in native processing</w:t>
      </w:r>
      <w:r>
        <w:t xml:space="preserve"> </w:t>
      </w:r>
      <w:r>
        <w:t xml:space="preserve">(Tanner and Van Hell 2014)</w:t>
      </w:r>
      <w:r>
        <w:t xml:space="preserve"> </w:t>
      </w:r>
      <w:r>
        <w:t xml:space="preserve">and in</w:t>
      </w:r>
      <w:r>
        <w:t xml:space="preserve"> </w:t>
      </w:r>
      <w:r>
        <w:t xml:space="preserve">learners</w:t>
      </w:r>
      <w:r>
        <w:t xml:space="preserve"> </w:t>
      </w:r>
      <w:r>
        <w:t xml:space="preserve">(Tanner et al. 2013)</w:t>
      </w:r>
      <w:r>
        <w:t xml:space="preserve">. On that reading, the growth of the</w:t>
      </w:r>
      <w:r>
        <w:t xml:space="preserve"> </w:t>
      </w:r>
      <w:r>
        <w:t xml:space="preserve">effect across sessions tracks a cohort still on the negativity side of that</w:t>
      </w:r>
      <w:r>
        <w:t xml:space="preserve"> </w:t>
      </w:r>
      <w:r>
        <w:t xml:space="preserve">trajectory, consistent with the diffuse, non-posterior topography. Averaging across</w:t>
      </w:r>
      <w:r>
        <w:t xml:space="preserve"> </w:t>
      </w:r>
      <w:r>
        <w:t xml:space="preserve">individuals who differ systematically in component dominance</w:t>
      </w:r>
      <w:r>
        <w:t xml:space="preserve"> </w:t>
      </w:r>
      <w:r>
        <w:t xml:space="preserve">(Tanner and Van Hell 2014)</w:t>
      </w:r>
      <w:r>
        <w:t xml:space="preserve"> </w:t>
      </w:r>
      <w:r>
        <w:t xml:space="preserve">would itself</w:t>
      </w:r>
      <w:r>
        <w:t xml:space="preserve"> </w:t>
      </w:r>
      <w:r>
        <w:t xml:space="preserve">flatten and diffuse the grand-average topography. The non-canonical distribution is</w:t>
      </w:r>
      <w:r>
        <w:t xml:space="preserve"> </w:t>
      </w:r>
      <w:r>
        <w:t xml:space="preserve">therefore also consistent with a mixture of negativity- and positivity-dominant</w:t>
      </w:r>
      <w:r>
        <w:t xml:space="preserve"> </w:t>
      </w:r>
      <w:r>
        <w:t xml:space="preserve">responders, and need not imply a single non-canonical generator.</w:t>
      </w:r>
    </w:p>
    <w:bookmarkStart w:id="78" w:name="X85c70bee77a7b55d5c51c1262c06b9ac3bceb47"/>
    <w:p>
      <w:pPr>
        <w:pStyle w:val="Heading2"/>
      </w:pPr>
      <w:r>
        <w:t xml:space="preserve">Relation to the initial-exposure antecedent</w:t>
      </w:r>
    </w:p>
    <w:p>
      <w:pPr>
        <w:pStyle w:val="FirstParagraph"/>
      </w:pPr>
      <w:r>
        <w:t xml:space="preserve">Against</w:t>
      </w:r>
      <w:r>
        <w:t xml:space="preserve"> </w:t>
      </w:r>
      <w:r>
        <w:t xml:space="preserve">González Alonso et al. (2020)</w:t>
      </w:r>
      <w:r>
        <w:t xml:space="preserve">, the closest antecedent, these data replicate the general</w:t>
      </w:r>
      <w:r>
        <w:t xml:space="preserve"> </w:t>
      </w:r>
      <w:r>
        <w:t xml:space="preserve">profile but not its specifics. Two features carry over. Their learners produced no P600</w:t>
      </w:r>
      <w:r>
        <w:t xml:space="preserve"> </w:t>
      </w:r>
      <w:r>
        <w:t xml:space="preserve">to gender-agreement violations at first exposure, and neither did ours at any session.</w:t>
      </w:r>
      <w:r>
        <w:t xml:space="preserve"> </w:t>
      </w:r>
      <w:r>
        <w:t xml:space="preserve">The dominant signature for gender agreement here was a violation negativity in every</w:t>
      </w:r>
      <w:r>
        <w:t xml:space="preserve"> </w:t>
      </w:r>
      <w:r>
        <w:t xml:space="preserve">window, under a comparable artificial-language paradigm. The measurement occasion was not comparable, since their ERPs</w:t>
      </w:r>
      <w:r>
        <w:t xml:space="preserve"> </w:t>
      </w:r>
      <w:r>
        <w:t xml:space="preserve">come from a single first-exposure session, whereas ours begin only once a learner has passed</w:t>
      </w:r>
      <w:r>
        <w:t xml:space="preserve"> </w:t>
      </w:r>
      <w:r>
        <w:t xml:space="preserve">the 80% post-training criterion and continue across four sessions. An early negativity to</w:t>
      </w:r>
      <w:r>
        <w:t xml:space="preserve"> </w:t>
      </w:r>
      <w:r>
        <w:t xml:space="preserve">gender-agreement violations was likewise present in both studies. The specifics do not</w:t>
      </w:r>
      <w:r>
        <w:t xml:space="preserve"> </w:t>
      </w:r>
      <w:r>
        <w:t xml:space="preserve">carry over. Their negativity was confined to the English-lexicon group and to right-anterior</w:t>
      </w:r>
      <w:r>
        <w:t xml:space="preserve"> </w:t>
      </w:r>
      <w:r>
        <w:t xml:space="preserve">electrodes, whereas ours was credible on the midline, diffusely distributed, and not</w:t>
      </w:r>
      <w:r>
        <w:t xml:space="preserve"> </w:t>
      </w:r>
      <w:r>
        <w:t xml:space="preserve">credibly modulated by language in any window. Their Spanish-lexicon group showed a broad</w:t>
      </w:r>
      <w:r>
        <w:t xml:space="preserve"> </w:t>
      </w:r>
      <w:r>
        <w:t xml:space="preserve">positivity to violations at 300–600 ms, whereas in our gender-agreement data the</w:t>
      </w:r>
      <w:r>
        <w:t xml:space="preserve"> </w:t>
      </w:r>
      <w:r>
        <w:t xml:space="preserve">ungrammatical trials were the more negative-going in that window and in the other two.</w:t>
      </w:r>
    </w:p>
    <w:p>
      <w:pPr>
        <w:pStyle w:val="BodyText"/>
      </w:pPr>
      <w:r>
        <w:t xml:space="preserve">The divergences admit two kinds of explanation, and the literature on replication cautions</w:t>
      </w:r>
      <w:r>
        <w:t xml:space="preserve"> </w:t>
      </w:r>
      <w:r>
        <w:t xml:space="preserve">against reaching for the substantive kind first. Substantively, the designs differ in the</w:t>
      </w:r>
      <w:r>
        <w:t xml:space="preserve"> </w:t>
      </w:r>
      <w:r>
        <w:t xml:space="preserve">first language (Spanish against Norwegian), in the realisation of gender (concord across</w:t>
      </w:r>
      <w:r>
        <w:t xml:space="preserve"> </w:t>
      </w:r>
      <w:r>
        <w:t xml:space="preserve">the noun phrase against a suffixed determiner with predicate-adjective agreement), and in</w:t>
      </w:r>
      <w:r>
        <w:t xml:space="preserve"> </w:t>
      </w:r>
      <w:r>
        <w:t xml:space="preserve">the measurement occasion (a single first-exposure session against a trajectory whose first</w:t>
      </w:r>
      <w:r>
        <w:t xml:space="preserve"> </w:t>
      </w:r>
      <w:r>
        <w:t xml:space="preserve">ERP session follows a training gate). Statistically, their groups comprised 26 and 24</w:t>
      </w:r>
      <w:r>
        <w:t xml:space="preserve"> </w:t>
      </w:r>
      <w:r>
        <w:t xml:space="preserve">learners. Effects that reach significance in samples of that size systematically</w:t>
      </w:r>
      <w:r>
        <w:t xml:space="preserve"> </w:t>
      </w:r>
      <w:r>
        <w:t xml:space="preserve">overestimate their true magnitude and can even carry the wrong sign</w:t>
      </w:r>
      <w:r>
        <w:t xml:space="preserve"> </w:t>
      </w:r>
      <w:r>
        <w:t xml:space="preserve">(Gelman and Carlin 2014)</w:t>
      </w:r>
      <w:r>
        <w:t xml:space="preserve">.</w:t>
      </w:r>
      <w:r>
        <w:t xml:space="preserve"> </w:t>
      </w:r>
      <w:r>
        <w:t xml:space="preserve">The significance filter also makes published effects look more replicable than they are</w:t>
      </w:r>
      <w:r>
        <w:t xml:space="preserve"> </w:t>
      </w:r>
      <w:r>
        <w:t xml:space="preserve">(Vasishth et al. 2018)</w:t>
      </w:r>
      <w:r>
        <w:t xml:space="preserve">, and trial-level measurement error can inflate as well as attenuate an</w:t>
      </w:r>
      <w:r>
        <w:t xml:space="preserve"> </w:t>
      </w:r>
      <w:r>
        <w:t xml:space="preserve">observed effect, producing spuriously large estimates in small samples</w:t>
      </w:r>
      <w:r>
        <w:t xml:space="preserve"> </w:t>
      </w:r>
      <w:r>
        <w:t xml:space="preserve">(Loken and Gelman 2017)</w:t>
      </w:r>
      <w:r>
        <w:t xml:space="preserve">. ERP</w:t>
      </w:r>
      <w:r>
        <w:t xml:space="preserve"> </w:t>
      </w:r>
      <w:r>
        <w:t xml:space="preserve">effects compound the problem, since even systematic resampling finds the magnitude, onset</w:t>
      </w:r>
      <w:r>
        <w:t xml:space="preserve"> </w:t>
      </w:r>
      <w:r>
        <w:t xml:space="preserve">and scalp distribution of the P600 to vary widely across samples</w:t>
      </w:r>
      <w:r>
        <w:t xml:space="preserve"> </w:t>
      </w:r>
      <w:r>
        <w:t xml:space="preserve">(Kim et al. 2024)</w:t>
      </w:r>
      <w:r>
        <w:t xml:space="preserve">, so the exact</w:t>
      </w:r>
      <w:r>
        <w:t xml:space="preserve"> </w:t>
      </w:r>
      <w:r>
        <w:t xml:space="preserve">topography and timing of a violation response are the quantities least likely to</w:t>
      </w:r>
      <w:r>
        <w:t xml:space="preserve"> </w:t>
      </w:r>
      <w:r>
        <w:t xml:space="preserve">reproduce in any replication, ours included. On that reading, the level at which replication should be assessed is the</w:t>
      </w:r>
      <w:r>
        <w:t xml:space="preserve"> </w:t>
      </w:r>
      <w:r>
        <w:t xml:space="preserve">qualitative one. There the two studies agree: early-stage learners of a miniature</w:t>
      </w:r>
      <w:r>
        <w:t xml:space="preserve"> </w:t>
      </w:r>
      <w:r>
        <w:t xml:space="preserve">language respond to morphosyntactic violations with attention-sensitive negativities, and</w:t>
      </w:r>
      <w:r>
        <w:t xml:space="preserve"> </w:t>
      </w:r>
      <w:r>
        <w:t xml:space="preserve">the canonical P600 is absent until proficiency has grown. The same arguments cut against</w:t>
      </w:r>
      <w:r>
        <w:t xml:space="preserve"> </w:t>
      </w:r>
      <w:r>
        <w:t xml:space="preserve">over-reading our own group-specific effects, several of which rest on comparably small</w:t>
      </w:r>
      <w:r>
        <w:t xml:space="preserve"> </w:t>
      </w:r>
      <w:r>
        <w:t xml:space="preserve">cells, and the Strength of evidence section holds them to that standard.</w:t>
      </w:r>
    </w:p>
    <w:bookmarkEnd w:id="78"/>
    <w:bookmarkStart w:id="79" w:name="Xd94c71ec54ed989eb7f93138df1e8e9795fd7f8"/>
    <w:p>
      <w:pPr>
        <w:pStyle w:val="Heading2"/>
      </w:pPr>
      <w:r>
        <w:t xml:space="preserve">A signature more property-by-property than wholesale</w:t>
      </w:r>
    </w:p>
    <w:p>
      <w:pPr>
        <w:pStyle w:val="FirstParagraph"/>
      </w:pPr>
      <w:r>
        <w:t xml:space="preserve">The two families were set out in the Introduction. The three properties behaved</w:t>
      </w:r>
      <w:r>
        <w:t xml:space="preserve"> </w:t>
      </w:r>
      <w:r>
        <w:t xml:space="preserve">differently from one another: strong, broadly</w:t>
      </w:r>
      <w:r>
        <w:t xml:space="preserve"> </w:t>
      </w:r>
      <w:r>
        <w:t xml:space="preserve">distributed learning for gender agreement; for differential object marking an early</w:t>
      </w:r>
      <w:r>
        <w:t xml:space="preserve"> </w:t>
      </w:r>
      <w:r>
        <w:t xml:space="preserve">grammaticality effect, possibly carrying a stimulus-driven component, that did not</w:t>
      </w:r>
      <w:r>
        <w:t xml:space="preserve"> </w:t>
      </w:r>
      <w:r>
        <w:t xml:space="preserve">consolidate; and a late, language-conditioned signal for verb–object number agreement.</w:t>
      </w:r>
      <w:r>
        <w:t xml:space="preserve"> </w:t>
      </w:r>
      <w:r>
        <w:t xml:space="preserve">That heterogeneity sits more naturally with the property-by-property family, though it is</w:t>
      </w:r>
      <w:r>
        <w:t xml:space="preserve"> </w:t>
      </w:r>
      <w:r>
        <w:t xml:space="preserve">not decisive on its own, for the reason just given. The discriminating observations follow.</w:t>
      </w:r>
    </w:p>
    <w:p>
      <w:pPr>
        <w:pStyle w:val="BodyText"/>
      </w:pPr>
      <w:r>
        <w:t xml:space="preserve">Transfer itself is distributed no more evenly than learning is. A credible source-language</w:t>
      </w:r>
      <w:r>
        <w:t xml:space="preserve"> </w:t>
      </w:r>
      <w:r>
        <w:t xml:space="preserve">modulation appeared for all three properties, but in different measures and with different</w:t>
      </w:r>
      <w:r>
        <w:t xml:space="preserve"> </w:t>
      </w:r>
      <w:r>
        <w:t xml:space="preserve">signs. For gender agreement, it was behavioural, advantaging the Mini-Norwegian group</w:t>
      </w:r>
      <w:r>
        <w:t xml:space="preserve"> </w:t>
      </w:r>
      <w:r>
        <w:t xml:space="preserve">(</w:t>
      </w:r>
      <m:oMath>
        <m:r>
          <m:t>b</m:t>
        </m:r>
        <m:r>
          <m:rPr>
            <m:sty m:val="p"/>
          </m:rPr>
          <m:t>=</m:t>
        </m:r>
        <m:r>
          <m:t>0.16</m:t>
        </m:r>
      </m:oMath>
      <w:r>
        <w:t xml:space="preserve">, 95% CrI</w:t>
      </w:r>
      <w:r>
        <w:t xml:space="preserve"> </w:t>
      </w:r>
      <m:oMath>
        <m:r>
          <m:rPr>
            <m:sty m:val="p"/>
          </m:rPr>
          <m:t>[</m:t>
        </m:r>
        <m:r>
          <m:t>0.09</m:t>
        </m:r>
        <m:r>
          <m:rPr>
            <m:sty m:val="p"/>
          </m:rPr>
          <m:t>,</m:t>
        </m:r>
        <m:r>
          <m:t>0.24</m:t>
        </m:r>
        <m:r>
          <m:rPr>
            <m:sty m:val="p"/>
          </m:rPr>
          <m:t>]</m:t>
        </m:r>
      </m:oMath>
      <w:r>
        <w:t xml:space="preserve">,</w:t>
      </w:r>
      <w:r>
        <w:t xml:space="preserve"> </w:t>
      </w:r>
      <m:oMath>
        <m:sSub>
          <m:e>
            <m:r>
              <m:t>p</m:t>
            </m:r>
          </m:e>
          <m:sub>
            <m:r>
              <m:t>d</m:t>
            </m:r>
          </m:sub>
        </m:sSub>
        <m:r>
          <m:rPr>
            <m:sty m:val="p"/>
          </m:rPr>
          <m:t>&gt;</m:t>
        </m:r>
        <m:r>
          <m:t>.999</m:t>
        </m:r>
      </m:oMath>
      <w:r>
        <w:t xml:space="preserve">), while its</w:t>
      </w:r>
      <w:r>
        <w:t xml:space="preserve"> </w:t>
      </w:r>
      <w:r>
        <w:t xml:space="preserve">ERP counterpart stayed near zero. For the other two, it was the reverse, credible in the ERP</w:t>
      </w:r>
      <w:r>
        <w:t xml:space="preserve"> </w:t>
      </w:r>
      <w:r>
        <w:t xml:space="preserve">signal and not behaviourally, and the two point in opposite directions: positive for</w:t>
      </w:r>
      <w:r>
        <w:t xml:space="preserve"> </w:t>
      </w:r>
      <w:r>
        <w:t xml:space="preserve">verb–object number agreement</w:t>
      </w:r>
      <w:r>
        <w:t xml:space="preserve"> </w:t>
      </w:r>
      <w:r>
        <w:t xml:space="preserve">(</w:t>
      </w:r>
      <m:oMath>
        <m:r>
          <m:t>b</m:t>
        </m:r>
        <m:r>
          <m:rPr>
            <m:sty m:val="p"/>
          </m:rPr>
          <m:t>=</m:t>
        </m:r>
        <m:r>
          <m:t>0.012</m:t>
        </m:r>
      </m:oMath>
      <w:r>
        <w:t xml:space="preserve">, 95% CrI</w:t>
      </w:r>
      <w:r>
        <w:t xml:space="preserve"> </w:t>
      </w:r>
      <m:oMath>
        <m:r>
          <m:rPr>
            <m:sty m:val="p"/>
          </m:rPr>
          <m:t>[</m:t>
        </m:r>
        <m:r>
          <m:t>0.002</m:t>
        </m:r>
        <m:r>
          <m:rPr>
            <m:sty m:val="p"/>
          </m:rPr>
          <m:t>,</m:t>
        </m:r>
        <m:r>
          <m:t>0.023</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negative for differential object marking</w:t>
      </w:r>
      <w:r>
        <w:t xml:space="preserve"> </w:t>
      </w:r>
      <w:r>
        <w:t xml:space="preserve">(</w:t>
      </w:r>
      <m:oMath>
        <m:r>
          <m:t>b</m:t>
        </m:r>
        <m:r>
          <m:rPr>
            <m:sty m:val="p"/>
          </m:rPr>
          <m:t>=</m:t>
        </m:r>
        <m:r>
          <m:rPr>
            <m:sty m:val="p"/>
          </m:rPr>
          <m:t>−</m:t>
        </m:r>
        <m:r>
          <m:t>0.011</m:t>
        </m:r>
      </m:oMath>
      <w:r>
        <w:t xml:space="preserve">, 95% CrI</w:t>
      </w:r>
      <w:r>
        <w:t xml:space="preserve"> </w:t>
      </w:r>
      <m:oMath>
        <m:r>
          <m:rPr>
            <m:sty m:val="p"/>
          </m:rPr>
          <m:t>[</m:t>
        </m:r>
        <m:r>
          <m:rPr>
            <m:sty m:val="p"/>
          </m:rPr>
          <m:t>−</m:t>
        </m:r>
        <m:r>
          <m:t>0.020</m:t>
        </m:r>
        <m:r>
          <m:rPr>
            <m:sty m:val="p"/>
          </m:rPr>
          <m:t>,</m:t>
        </m:r>
        <m:r>
          <m:rPr>
            <m:sty m:val="p"/>
          </m:rPr>
          <m:t>−</m:t>
        </m:r>
        <m:r>
          <m:t>0.003</m:t>
        </m:r>
        <m:r>
          <m:rPr>
            <m:sty m:val="p"/>
          </m:rPr>
          <m:t>]</m:t>
        </m:r>
      </m:oMath>
      <w:r>
        <w:t xml:space="preserve">,</w:t>
      </w:r>
      <w:r>
        <w:t xml:space="preserve"> </w:t>
      </w:r>
      <m:oMath>
        <m:sSub>
          <m:e>
            <m:r>
              <m:t>p</m:t>
            </m:r>
          </m:e>
          <m:sub>
            <m:r>
              <m:t>d</m:t>
            </m:r>
          </m:sub>
        </m:sSub>
        <m:r>
          <m:rPr>
            <m:sty m:val="p"/>
          </m:rPr>
          <m:t>=</m:t>
        </m:r>
        <m:r>
          <m:t>.997</m:t>
        </m:r>
      </m:oMath>
      <w:r>
        <w:t xml:space="preserve">).</w:t>
      </w:r>
      <w:r>
        <w:t xml:space="preserve"> </w:t>
      </w:r>
      <w:r>
        <w:t xml:space="preserve">This is not the pattern we predicted. The design</w:t>
      </w:r>
      <w:r>
        <w:t xml:space="preserve"> </w:t>
      </w:r>
      <w:r>
        <w:t xml:space="preserve">treats both properties as controls, and neither family predicts a source-language</w:t>
      </w:r>
      <w:r>
        <w:t xml:space="preserve"> </w:t>
      </w:r>
      <w:r>
        <w:t xml:space="preserve">modulation on them (see</w:t>
      </w:r>
      <w:r>
        <w:t xml:space="preserve"> </w:t>
      </w:r>
      <w:r>
        <w:rPr>
          <w:i/>
          <w:iCs/>
        </w:rPr>
        <w:t xml:space="preserve">The present study</w:t>
      </w:r>
      <w:r>
        <w:t xml:space="preserve">), yet both showed one, in opposite</w:t>
      </w:r>
      <w:r>
        <w:t xml:space="preserve"> </w:t>
      </w:r>
      <w:r>
        <w:t xml:space="preserve">directions. The prediction failed, and we have no account of the pair. Another ERP test</w:t>
      </w:r>
      <w:r>
        <w:t xml:space="preserve"> </w:t>
      </w:r>
      <w:r>
        <w:t xml:space="preserve">of these models with a miniature language met a comparable outcome</w:t>
      </w:r>
      <w:r>
        <w:t xml:space="preserve"> </w:t>
      </w:r>
      <w:r>
        <w:t xml:space="preserve">(Pereira Soares et al. 2022)</w:t>
      </w:r>
      <w:r>
        <w:t xml:space="preserve">. The L2 Status Factor derivation in the Introduction would favour</w:t>
      </w:r>
      <w:r>
        <w:t xml:space="preserve"> </w:t>
      </w:r>
      <w:r>
        <w:t xml:space="preserve">the Mini-English group on every property, which fits the differential-object-marking</w:t>
      </w:r>
      <w:r>
        <w:t xml:space="preserve"> </w:t>
      </w:r>
      <w:r>
        <w:t xml:space="preserve">modulation and contradicts the other two language effects, so it does not account for</w:t>
      </w:r>
      <w:r>
        <w:t xml:space="preserve"> </w:t>
      </w:r>
      <w:r>
        <w:t xml:space="preserve">the pair either. A general advantage of one training group is likewise hard to</w:t>
      </w:r>
      <w:r>
        <w:t xml:space="preserve"> </w:t>
      </w:r>
      <w:r>
        <w:t xml:space="preserve">reconcile with modulations of opposite sign on the two controls. The remaining</w:t>
      </w:r>
      <w:r>
        <w:t xml:space="preserve"> </w:t>
      </w:r>
      <w:r>
        <w:t xml:space="preserve">candidates, a difference in difficulty or in the amount of exposure each property had</w:t>
      </w:r>
      <w:r>
        <w:t xml:space="preserve"> </w:t>
      </w:r>
      <w:r>
        <w:t xml:space="preserve">received by Session 6 and a false positive among eighteen cells, are not distinguishable</w:t>
      </w:r>
      <w:r>
        <w:t xml:space="preserve"> </w:t>
      </w:r>
      <w:r>
        <w:t xml:space="preserve">in these data.</w:t>
      </w:r>
    </w:p>
    <w:p>
      <w:pPr>
        <w:pStyle w:val="BodyText"/>
      </w:pPr>
      <w:r>
        <w:t xml:space="preserve">The claim that survives is narrower, and it turns on timing. Under the source selection</w:t>
      </w:r>
      <w:r>
        <w:t xml:space="preserve"> </w:t>
      </w:r>
      <w:r>
        <w:t xml:space="preserve">the design supports, both families confine any advantage to gender agreement. Where they</w:t>
      </w:r>
      <w:r>
        <w:t xml:space="preserve"> </w:t>
      </w:r>
      <w:r>
        <w:t xml:space="preserve">differ is its onset: present from the property’s first session under wholesale</w:t>
      </w:r>
      <w:r>
        <w:t xml:space="preserve"> </w:t>
      </w:r>
      <w:r>
        <w:t xml:space="preserve">projection, accruing with exposure under property-by-property transfer. The behavioural</w:t>
      </w:r>
      <w:r>
        <w:t xml:space="preserve"> </w:t>
      </w:r>
      <w:r>
        <w:t xml:space="preserve">advantage carries both signatures: a credible advantage at the average session</w:t>
      </w:r>
      <w:r>
        <w:t xml:space="preserve"> </w:t>
      </w:r>
      <w:r>
        <w:t xml:space="preserve">(</w:t>
      </w:r>
      <m:oMath>
        <m:r>
          <m:t>b</m:t>
        </m:r>
        <m:r>
          <m:rPr>
            <m:sty m:val="p"/>
          </m:rPr>
          <m:t>=</m:t>
        </m:r>
        <m:r>
          <m:t>0.38</m:t>
        </m:r>
      </m:oMath>
      <w:r>
        <w:t xml:space="preserve">, 95% CrI</w:t>
      </w:r>
      <w:r>
        <w:t xml:space="preserve"> </w:t>
      </w:r>
      <m:oMath>
        <m:r>
          <m:rPr>
            <m:sty m:val="p"/>
          </m:rPr>
          <m:t>[</m:t>
        </m:r>
        <m:r>
          <m:t>0.10</m:t>
        </m:r>
        <m:r>
          <m:rPr>
            <m:sty m:val="p"/>
          </m:rPr>
          <m:t>,</m:t>
        </m:r>
        <m:r>
          <m:t>0.67</m:t>
        </m:r>
        <m:r>
          <m:rPr>
            <m:sty m:val="p"/>
          </m:rPr>
          <m:t>]</m:t>
        </m:r>
      </m:oMath>
      <w:r>
        <w:t xml:space="preserve">,</w:t>
      </w:r>
      <w:r>
        <w:t xml:space="preserve"> </w:t>
      </w:r>
      <m:oMath>
        <m:sSub>
          <m:e>
            <m:r>
              <m:t>p</m:t>
            </m:r>
          </m:e>
          <m:sub>
            <m:r>
              <m:t>d</m:t>
            </m:r>
          </m:sub>
        </m:sSub>
        <m:r>
          <m:rPr>
            <m:sty m:val="p"/>
          </m:rPr>
          <m:t>=</m:t>
        </m:r>
        <m:r>
          <m:t>.99</m:t>
        </m:r>
      </m:oMath>
      <w:r>
        <w:t xml:space="preserve">)</w:t>
      </w:r>
      <w:r>
        <w:t xml:space="preserve"> </w:t>
      </w:r>
      <w:r>
        <w:t xml:space="preserve">and credible growth across sessions (the three-way interaction above). The quantity the</w:t>
      </w:r>
      <w:r>
        <w:t xml:space="preserve"> </w:t>
      </w:r>
      <w:r>
        <w:t xml:space="preserve">timing question needs is the advantage evaluated at the property’s first session, derived</w:t>
      </w:r>
      <w:r>
        <w:t xml:space="preserve"> </w:t>
      </w:r>
      <w:r>
        <w:t xml:space="preserve">from the same draws:</w:t>
      </w:r>
      <w:r>
        <w:t xml:space="preserve"> </w:t>
      </w:r>
      <m:oMath>
        <m:r>
          <m:t>b</m:t>
        </m:r>
        <m:r>
          <m:rPr>
            <m:sty m:val="p"/>
          </m:rPr>
          <m:t>=</m:t>
        </m:r>
        <m:r>
          <m:t>0.18</m:t>
        </m:r>
      </m:oMath>
      <w:r>
        <w:t xml:space="preserve">, 95% CrI</w:t>
      </w:r>
      <w:r>
        <w:t xml:space="preserve"> </w:t>
      </w:r>
      <m:oMath>
        <m:r>
          <m:rPr>
            <m:sty m:val="p"/>
          </m:rPr>
          <m:t>[</m:t>
        </m:r>
        <m:r>
          <m:rPr>
            <m:sty m:val="p"/>
          </m:rPr>
          <m:t>−</m:t>
        </m:r>
        <m:r>
          <m:t>0.12</m:t>
        </m:r>
        <m:r>
          <m:rPr>
            <m:sty m:val="p"/>
          </m:rPr>
          <m:t>,</m:t>
        </m:r>
        <m:r>
          <m:t>0.49</m:t>
        </m:r>
        <m:r>
          <m:rPr>
            <m:sty m:val="p"/>
          </m:rPr>
          <m:t>]</m:t>
        </m:r>
      </m:oMath>
      <w:r>
        <w:t xml:space="preserve">,</w:t>
      </w:r>
      <w:r>
        <w:t xml:space="preserve"> </w:t>
      </w:r>
      <m:oMath>
        <m:sSub>
          <m:e>
            <m:r>
              <m:t>p</m:t>
            </m:r>
          </m:e>
          <m:sub>
            <m:r>
              <m:t>d</m:t>
            </m:r>
          </m:sub>
        </m:sSub>
        <m:r>
          <m:rPr>
            <m:sty m:val="p"/>
          </m:rPr>
          <m:t>=</m:t>
        </m:r>
        <m:r>
          <m:t>.89</m:t>
        </m:r>
      </m:oMath>
      <w:r>
        <w:t xml:space="preserve">. That interval</w:t>
      </w:r>
      <w:r>
        <w:t xml:space="preserve"> </w:t>
      </w:r>
      <w:r>
        <w:t xml:space="preserve">includes zero, so the onset test is indeterminate on its own terms. It neither establishes</w:t>
      </w:r>
      <w:r>
        <w:t xml:space="preserve"> </w:t>
      </w:r>
      <w:r>
        <w:t xml:space="preserve">that the advantage was already in place when the property was first probed, which is the</w:t>
      </w:r>
      <w:r>
        <w:t xml:space="preserve"> </w:t>
      </w:r>
      <w:r>
        <w:t xml:space="preserve">wholesale signature, nor rules it out, and its central tendency leans towards presence.</w:t>
      </w:r>
      <w:r>
        <w:t xml:space="preserve"> </w:t>
      </w:r>
      <w:r>
        <w:t xml:space="preserve">As set out in the Introduction, growth is what the property-by-property account predicts</w:t>
      </w:r>
      <w:r>
        <w:t xml:space="preserve"> </w:t>
      </w:r>
      <w:r>
        <w:t xml:space="preserve">and what wholesale projection permits, so the timing evidence favours the former without</w:t>
      </w:r>
      <w:r>
        <w:t xml:space="preserve"> </w:t>
      </w:r>
      <w:r>
        <w:t xml:space="preserve">settling the contrast. As noted above, heterogeneity on its own is the weaker evidence,</w:t>
      </w:r>
      <w:r>
        <w:t xml:space="preserve"> </w:t>
      </w:r>
      <w:r>
        <w:t xml:space="preserve">since a sufficiently unconstrained selective account accommodates almost any pattern</w:t>
      </w:r>
      <w:r>
        <w:t xml:space="preserve"> </w:t>
      </w:r>
      <w:r>
        <w:t xml:space="preserve">(Schwartz and Sprouse 2021)</w:t>
      </w:r>
      <w:r>
        <w:t xml:space="preserve">.</w:t>
      </w:r>
    </w:p>
    <w:p>
      <w:pPr>
        <w:pStyle w:val="BodyText"/>
      </w:pPr>
      <w:r>
        <w:t xml:space="preserve">The language factor sharpens the point. Grammatical gender, expressed in Mini-Norwegian</w:t>
      </w:r>
      <w:r>
        <w:t xml:space="preserve"> </w:t>
      </w:r>
      <w:r>
        <w:t xml:space="preserve">through a suffixed determiner, recapitulates a structure of the learners’ first language</w:t>
      </w:r>
      <w:r>
        <w:t xml:space="preserve"> </w:t>
      </w:r>
      <w:r>
        <w:t xml:space="preserve">(Norwegian has both grammatical gender and a suffixal definite article). The Mini-English</w:t>
      </w:r>
      <w:r>
        <w:t xml:space="preserve"> </w:t>
      </w:r>
      <w:r>
        <w:t xml:space="preserve">realisation, an English-like free determiner for a feature English does not encode, has no</w:t>
      </w:r>
      <w:r>
        <w:t xml:space="preserve"> </w:t>
      </w:r>
      <w:r>
        <w:t xml:space="preserve">such first-language support. Accordingly, the behavioural gender-agreement effect showed a</w:t>
      </w:r>
      <w:r>
        <w:t xml:space="preserve"> </w:t>
      </w:r>
      <w:r>
        <w:t xml:space="preserve">credible language modulation (the grammaticality</w:t>
      </w:r>
      <w:r>
        <w:t xml:space="preserve"> </w:t>
      </w:r>
      <m:oMath>
        <m:r>
          <m:rPr>
            <m:sty m:val="p"/>
          </m:rPr>
          <m:t>×</m:t>
        </m:r>
      </m:oMath>
      <w:r>
        <w:t xml:space="preserve"> </w:t>
      </w:r>
      <w:r>
        <w:t xml:space="preserve">session</w:t>
      </w:r>
      <w:r>
        <w:t xml:space="preserve"> </w:t>
      </w:r>
      <m:oMath>
        <m:r>
          <m:rPr>
            <m:sty m:val="p"/>
          </m:rPr>
          <m:t>×</m:t>
        </m:r>
      </m:oMath>
      <w:r>
        <w:t xml:space="preserve"> </w:t>
      </w:r>
      <w:r>
        <w:t xml:space="preserve">language</w:t>
      </w:r>
      <w:r>
        <w:t xml:space="preserve"> </w:t>
      </w:r>
      <w:r>
        <w:t xml:space="preserve">interaction reported in the Results), advantaging the Mini-Norwegian group.</w:t>
      </w:r>
      <w:r>
        <w:t xml:space="preserve"> </w:t>
      </w:r>
      <w:r>
        <w:t xml:space="preserve">Differential object marking and verb–object number agreement are novel to both Norwegian</w:t>
      </w:r>
      <w:r>
        <w:t xml:space="preserve"> </w:t>
      </w:r>
      <w:r>
        <w:t xml:space="preserve">and English, and neither showed that first-language-aligned advantage in the behavioural</w:t>
      </w:r>
      <w:r>
        <w:t xml:space="preserve"> </w:t>
      </w:r>
      <w:r>
        <w:t xml:space="preserve">development. Their ERP modulations therefore cannot be read as first-language congruence</w:t>
      </w:r>
      <w:r>
        <w:t xml:space="preserve"> </w:t>
      </w:r>
      <w:r>
        <w:t xml:space="preserve">effects. The differential-object-marking one runs the other way: its grammaticality</w:t>
      </w:r>
      <w:r>
        <w:t xml:space="preserve"> </w:t>
      </w:r>
      <w:r>
        <w:t xml:space="preserve">effect held up across the retention interval for the Mini-English group and not for the</w:t>
      </w:r>
      <w:r>
        <w:t xml:space="preserve"> </w:t>
      </w:r>
      <w:r>
        <w:t xml:space="preserve">Mini-Norwegian one (</w:t>
      </w:r>
      <w:hyperlink w:anchor="tbl-retention">
        <w:r>
          <w:rPr>
            <w:rStyle w:val="Hyperlink"/>
          </w:rPr>
          <w:t xml:space="preserve">Table 2</w:t>
        </w:r>
      </w:hyperlink>
      <w:r>
        <w:t xml:space="preserve">). Both families predict that the one property with a</w:t>
      </w:r>
      <w:r>
        <w:t xml:space="preserve"> </w:t>
      </w:r>
      <w:r>
        <w:t xml:space="preserve">first-language analogue is the one whose advantage follows it. What neither predicts is</w:t>
      </w:r>
      <w:r>
        <w:t xml:space="preserve"> </w:t>
      </w:r>
      <w:r>
        <w:t xml:space="preserve">that the two properties without such an analogue should diverge from each other, and a</w:t>
      </w:r>
      <w:r>
        <w:t xml:space="preserve"> </w:t>
      </w:r>
      <w:r>
        <w:t xml:space="preserve">single grammar projected wholesale offers no more purchase on that divergence than a</w:t>
      </w:r>
      <w:r>
        <w:t xml:space="preserve"> </w:t>
      </w:r>
      <w:r>
        <w:t xml:space="preserve">property-by-property account does.</w:t>
      </w:r>
    </w:p>
    <w:p>
      <w:pPr>
        <w:pStyle w:val="BodyText"/>
      </w:pPr>
      <w:r>
        <w:t xml:space="preserve">The behavioural gender advantage also bears on the L2 Status Factor specifically. On the</w:t>
      </w:r>
      <w:r>
        <w:t xml:space="preserve"> </w:t>
      </w:r>
      <w:r>
        <w:t xml:space="preserve">derivation set out in the Introduction, an L2 default predicts either no group difference</w:t>
      </w:r>
      <w:r>
        <w:t xml:space="preserve"> </w:t>
      </w:r>
      <w:r>
        <w:t xml:space="preserve">or an advantage for Mini-English, never one for Mini-Norwegian. The credible Mini-Norwegian advantage on gender agreement therefore runs</w:t>
      </w:r>
      <w:r>
        <w:t xml:space="preserve"> </w:t>
      </w:r>
      <w:r>
        <w:t xml:space="preserve">directly against an L2 default source in this population, a stronger disconfirmation</w:t>
      </w:r>
      <w:r>
        <w:t xml:space="preserve"> </w:t>
      </w:r>
      <w:r>
        <w:t xml:space="preserve">than a violated null prediction.</w:t>
      </w:r>
    </w:p>
    <w:p>
      <w:pPr>
        <w:pStyle w:val="BodyText"/>
      </w:pPr>
      <w:r>
        <w:t xml:space="preserve">Within the property-by-property family, the data also begin to discriminate. The</w:t>
      </w:r>
      <w:r>
        <w:t xml:space="preserve"> </w:t>
      </w:r>
      <w:r>
        <w:t xml:space="preserve">Linguistic Proximity Model and the Scalpel Model both allow influence that is</w:t>
      </w:r>
      <w:r>
        <w:t xml:space="preserve"> </w:t>
      </w:r>
      <w:r>
        <w:t xml:space="preserve">property-specific and, where the match is misleading, non-facilitative, and are</w:t>
      </w:r>
      <w:r>
        <w:t xml:space="preserve"> </w:t>
      </w:r>
      <w:r>
        <w:t xml:space="preserve">compatible with everything observed. The Cumulative-Enhancement Model’s distinctive</w:t>
      </w:r>
      <w:r>
        <w:t xml:space="preserve"> </w:t>
      </w:r>
      <w:r>
        <w:t xml:space="preserve">claim, that prior languages facilitate or remain neutral, is harder to reconcile with a</w:t>
      </w:r>
      <w:r>
        <w:t xml:space="preserve"> </w:t>
      </w:r>
      <w:r>
        <w:t xml:space="preserve">modulation whose direction opposes first-language congruence, although on properties</w:t>
      </w:r>
      <w:r>
        <w:t xml:space="preserve"> </w:t>
      </w:r>
      <w:r>
        <w:t xml:space="preserve">without a source the model makes no clear commitment. We record this as a point on</w:t>
      </w:r>
      <w:r>
        <w:t xml:space="preserve"> </w:t>
      </w:r>
      <w:r>
        <w:t xml:space="preserve">which the family’s members differ, without treating it as a resolved contrast.</w:t>
      </w:r>
    </w:p>
    <w:bookmarkEnd w:id="79"/>
    <w:bookmarkStart w:id="80" w:name="change-across-the-retention-interval"/>
    <w:p>
      <w:pPr>
        <w:pStyle w:val="Heading2"/>
      </w:pPr>
      <w:r>
        <w:t xml:space="preserve">Change across the retention interval</w:t>
      </w:r>
    </w:p>
    <w:p>
      <w:pPr>
        <w:pStyle w:val="FirstParagraph"/>
      </w:pPr>
      <w:r>
        <w:t xml:space="preserve">What happened to these effects over the months without exposure depends on how the</w:t>
      </w:r>
      <w:r>
        <w:t xml:space="preserve"> </w:t>
      </w:r>
      <w:r>
        <w:t xml:space="preserve">retention step is modelled. Under the linear specification, the gender-agreement grammaticality effect was</w:t>
      </w:r>
      <w:r>
        <w:t xml:space="preserve"> </w:t>
      </w:r>
      <w:r>
        <w:t xml:space="preserve">larger at Session 6 than at Session 4 in both languages and to almost the same degree</w:t>
      </w:r>
      <w:r>
        <w:t xml:space="preserve"> </w:t>
      </w:r>
      <w:r>
        <w:t xml:space="preserve">(midline 400–900 ms, overall</w:t>
      </w:r>
      <w:r>
        <w:t xml:space="preserve"> </w:t>
      </w:r>
      <m:oMath>
        <m:r>
          <m:rPr>
            <m:sty m:val="p"/>
          </m:rPr>
          <m:t>Δ</m:t>
        </m:r>
        <m:r>
          <m:rPr>
            <m:sty m:val="p"/>
          </m:rPr>
          <m:t>=</m:t>
        </m:r>
        <m:r>
          <m:t>0.019</m:t>
        </m:r>
      </m:oMath>
      <w:r>
        <w:t xml:space="preserve">, 95% CrI</w:t>
      </w:r>
      <w:r>
        <w:t xml:space="preserve"> </w:t>
      </w:r>
      <m:oMath>
        <m:r>
          <m:rPr>
            <m:sty m:val="p"/>
          </m:rPr>
          <m:t>[</m:t>
        </m:r>
        <m:r>
          <m:t>0.010</m:t>
        </m:r>
        <m:r>
          <m:rPr>
            <m:sty m:val="p"/>
          </m:rPr>
          <m:t>,</m:t>
        </m:r>
        <m:r>
          <m:t>0.028</m:t>
        </m:r>
        <m:r>
          <m:rPr>
            <m:sty m:val="p"/>
          </m:rPr>
          <m:t>]</m:t>
        </m:r>
      </m:oMath>
      <w:r>
        <w:t xml:space="preserve">,</w:t>
      </w:r>
      <w:r>
        <w:t xml:space="preserve"> </w:t>
      </w:r>
      <m:oMath>
        <m:sSub>
          <m:e>
            <m:r>
              <m:t>p</m:t>
            </m:r>
          </m:e>
          <m:sub>
            <m:r>
              <m:t>d</m:t>
            </m:r>
          </m:sub>
        </m:sSub>
        <m:r>
          <m:rPr>
            <m:sty m:val="p"/>
          </m:rPr>
          <m:t>&gt;</m:t>
        </m:r>
        <m:r>
          <m:t>.999</m:t>
        </m:r>
      </m:oMath>
      <w:r>
        <w:t xml:space="preserve">; language difference</w:t>
      </w:r>
      <w:r>
        <w:t xml:space="preserve"> </w:t>
      </w:r>
      <w:r>
        <w:t xml:space="preserve">Mini-Norwegian minus Mini-English</w:t>
      </w:r>
      <w:r>
        <w:t xml:space="preserve"> </w:t>
      </w:r>
      <m:oMath>
        <m:r>
          <m:rPr>
            <m:sty m:val="p"/>
          </m:rPr>
          <m:t>Δ</m:t>
        </m:r>
        <m:r>
          <m:rPr>
            <m:sty m:val="p"/>
          </m:rPr>
          <m:t>=</m:t>
        </m:r>
        <m:r>
          <m:rPr>
            <m:sty m:val="p"/>
          </m:rPr>
          <m:t>−</m:t>
        </m:r>
        <m:r>
          <m:t>0.0002</m:t>
        </m:r>
      </m:oMath>
      <w:r>
        <w:t xml:space="preserve">, 95% CrI</w:t>
      </w:r>
      <w:r>
        <w:t xml:space="preserve"> </w:t>
      </w:r>
      <m:oMath>
        <m:r>
          <m:rPr>
            <m:sty m:val="p"/>
          </m:rPr>
          <m:t>[</m:t>
        </m:r>
        <m:r>
          <m:rPr>
            <m:sty m:val="p"/>
          </m:rPr>
          <m:t>−</m:t>
        </m:r>
        <m:r>
          <m:t>0.0184</m:t>
        </m:r>
        <m:r>
          <m:rPr>
            <m:sty m:val="p"/>
          </m:rPr>
          <m:t>,</m:t>
        </m:r>
        <m:r>
          <m:t>0.0179</m:t>
        </m:r>
        <m:r>
          <m:rPr>
            <m:sty m:val="p"/>
          </m:rPr>
          <m:t>]</m:t>
        </m:r>
      </m:oMath>
      <w:r>
        <w:t xml:space="preserve">,</w:t>
      </w:r>
      <w:r>
        <w:t xml:space="preserve"> </w:t>
      </w:r>
      <m:oMath>
        <m:sSub>
          <m:e>
            <m:r>
              <m:t>p</m:t>
            </m:r>
          </m:e>
          <m:sub>
            <m:r>
              <m:t>d</m:t>
            </m:r>
          </m:sub>
        </m:sSub>
        <m:r>
          <m:rPr>
            <m:sty m:val="p"/>
          </m:rPr>
          <m:t>=</m:t>
        </m:r>
        <m:r>
          <m:t>.51</m:t>
        </m:r>
      </m:oMath>
      <w:r>
        <w:t xml:space="preserve">). That reading is an extrapolation, since the contrast is the fitted</w:t>
      </w:r>
      <w:r>
        <w:t xml:space="preserve"> </w:t>
      </w:r>
      <w:r>
        <w:t xml:space="preserve">linear trajectory evaluated over the retention step (see Results) and so reports continued</w:t>
      </w:r>
      <w:r>
        <w:t xml:space="preserve"> </w:t>
      </w:r>
      <w:r>
        <w:t xml:space="preserve">growth at the training rate. The linear specification cannot express a change specific to the</w:t>
      </w:r>
      <w:r>
        <w:t xml:space="preserve"> </w:t>
      </w:r>
      <w:r>
        <w:t xml:space="preserve">interval.</w:t>
      </w:r>
    </w:p>
    <w:p>
      <w:pPr>
        <w:pStyle w:val="BodyText"/>
      </w:pPr>
      <w:r>
        <w:t xml:space="preserve">The refit that frees the Session-6 offset revises both halves of it.</w:t>
      </w:r>
      <w:r>
        <w:t xml:space="preserve"> </w:t>
      </w:r>
      <w:r>
        <w:t xml:space="preserve">A refit in which the retention step is free to differ from the training steps separates the two readings. For this cell the freed Session-6 offset, the deviation at retention, is</w:t>
      </w:r>
      <w:r>
        <w:t xml:space="preserve"> </w:t>
      </w:r>
      <m:oMath>
        <m:r>
          <m:rPr>
            <m:sty m:val="p"/>
          </m:rPr>
          <m:t>Δ</m:t>
        </m:r>
        <m:r>
          <m:rPr>
            <m:sty m:val="p"/>
          </m:rPr>
          <m:t>=</m:t>
        </m:r>
        <m:r>
          <m:rPr>
            <m:sty m:val="p"/>
          </m:rPr>
          <m:t>−</m:t>
        </m:r>
        <m:r>
          <m:t>0.012</m:t>
        </m:r>
      </m:oMath>
      <w:r>
        <w:t xml:space="preserve">, 95% CrI</w:t>
      </w:r>
      <w:r>
        <w:t xml:space="preserve"> </w:t>
      </w:r>
      <m:oMath>
        <m:r>
          <m:rPr>
            <m:sty m:val="p"/>
          </m:rPr>
          <m:t>[</m:t>
        </m:r>
        <m:r>
          <m:rPr>
            <m:sty m:val="p"/>
          </m:rPr>
          <m:t>−</m:t>
        </m:r>
        <m:r>
          <m:t>0.048</m:t>
        </m:r>
        <m:r>
          <m:rPr>
            <m:sty m:val="p"/>
          </m:rPr>
          <m:t>,</m:t>
        </m:r>
        <m:r>
          <m:t>0.024</m:t>
        </m:r>
        <m:r>
          <m:rPr>
            <m:sty m:val="p"/>
          </m:rPr>
          <m:t>]</m:t>
        </m:r>
      </m:oMath>
      <w:r>
        <w:t xml:space="preserve">,</w:t>
      </w:r>
      <w:r>
        <w:t xml:space="preserve"> </w:t>
      </w:r>
      <m:oMath>
        <m:sSub>
          <m:e>
            <m:r>
              <m:t>p</m:t>
            </m:r>
          </m:e>
          <m:sub>
            <m:r>
              <m:t>d</m:t>
            </m:r>
          </m:sub>
        </m:sSub>
        <m:r>
          <m:rPr>
            <m:sty m:val="p"/>
          </m:rPr>
          <m:t>=</m:t>
        </m:r>
        <m:r>
          <m:t>.74</m:t>
        </m:r>
      </m:oMath>
      <w:r>
        <w:t xml:space="preserve">. Averaged over languages, the freed offset is credible in</w:t>
      </w:r>
      <w:r>
        <w:t xml:space="preserve"> </w:t>
      </w:r>
      <w:r>
        <w:t xml:space="preserve">none of the six gender-agreement cells, so the</w:t>
      </w:r>
      <w:r>
        <w:t xml:space="preserve"> </w:t>
      </w:r>
      <w:r>
        <w:t xml:space="preserve">apparent strengthening was the training trend carried across the gap. What the freed model</w:t>
      </w:r>
      <w:r>
        <w:t xml:space="preserve"> </w:t>
      </w:r>
      <w:r>
        <w:t xml:space="preserve">does show, in</w:t>
      </w:r>
      <w:r>
        <w:t xml:space="preserve"> </w:t>
      </w:r>
      <w:r>
        <w:t xml:space="preserve">five of the six cells, is a credible</w:t>
      </w:r>
      <w:r>
        <w:t xml:space="preserve"> </w:t>
      </w:r>
      <w:r>
        <w:t xml:space="preserve">difference between the languages in how the effect changed over the interval (midline</w:t>
      </w:r>
      <w:r>
        <w:t xml:space="preserve"> </w:t>
      </w:r>
      <w:r>
        <w:t xml:space="preserve">400–900 ms, Mini-Norwegian minus Mini-English</w:t>
      </w:r>
      <w:r>
        <w:t xml:space="preserve"> </w:t>
      </w:r>
      <m:oMath>
        <m:r>
          <m:rPr>
            <m:sty m:val="p"/>
          </m:rPr>
          <m:t>Δ</m:t>
        </m:r>
        <m:r>
          <m:rPr>
            <m:sty m:val="p"/>
          </m:rPr>
          <m:t>=</m:t>
        </m:r>
        <m:r>
          <m:t>0.09</m:t>
        </m:r>
      </m:oMath>
      <w:r>
        <w:t xml:space="preserve">, 95% CrI</w:t>
      </w:r>
      <w:r>
        <w:t xml:space="preserve"> </w:t>
      </w:r>
      <m:oMath>
        <m:r>
          <m:rPr>
            <m:sty m:val="p"/>
          </m:rPr>
          <m:t>[</m:t>
        </m:r>
        <m:r>
          <m:t>0.01</m:t>
        </m:r>
        <m:r>
          <m:rPr>
            <m:sty m:val="p"/>
          </m:rPr>
          <m:t>,</m:t>
        </m:r>
        <m:r>
          <m:t>0.16</m:t>
        </m:r>
        <m:r>
          <m:rPr>
            <m:sty m:val="p"/>
          </m:rPr>
          <m:t>]</m:t>
        </m:r>
      </m:oMath>
      <w:r>
        <w:t xml:space="preserve">,</w:t>
      </w:r>
      <w:r>
        <w:t xml:space="preserve"> </w:t>
      </w:r>
      <m:oMath>
        <m:sSub>
          <m:e>
            <m:r>
              <m:t>p</m:t>
            </m:r>
          </m:e>
          <m:sub>
            <m:r>
              <m:t>d</m:t>
            </m:r>
          </m:sub>
        </m:sSub>
        <m:r>
          <m:rPr>
            <m:sty m:val="p"/>
          </m:rPr>
          <m:t>=</m:t>
        </m:r>
        <m:r>
          <m:t>.99</m:t>
        </m:r>
      </m:oMath>
      <w:r>
        <w:t xml:space="preserve">). The Mini-Norwegian estimate is positive in</w:t>
      </w:r>
      <w:r>
        <w:t xml:space="preserve"> </w:t>
      </w:r>
      <w:r>
        <w:t xml:space="preserve">every one of the six cells and the</w:t>
      </w:r>
      <w:r>
        <w:t xml:space="preserve"> </w:t>
      </w:r>
      <w:r>
        <w:t xml:space="preserve">Mini-English estimate negative in</w:t>
      </w:r>
      <w:r>
        <w:t xml:space="preserve"> </w:t>
      </w:r>
      <w:r>
        <w:t xml:space="preserve">every one of the six, although each</w:t>
      </w:r>
      <w:r>
        <w:t xml:space="preserve"> </w:t>
      </w:r>
      <w:r>
        <w:t xml:space="preserve">group’s own change is individually credible in fewer of them (Mini-Norwegian</w:t>
      </w:r>
      <w:r>
        <w:t xml:space="preserve"> </w:t>
      </w:r>
      <w:r>
        <w:t xml:space="preserve">two of the six, Mini-English</w:t>
      </w:r>
      <w:r>
        <w:t xml:space="preserve"> </w:t>
      </w:r>
      <w:r>
        <w:t xml:space="preserve">one of the six). The average null therefore</w:t>
      </w:r>
      <w:r>
        <w:t xml:space="preserve"> </w:t>
      </w:r>
      <w:r>
        <w:t xml:space="preserve">reflects two effects cancelling, and the direction of the divergence matters.</w:t>
      </w:r>
      <w:r>
        <w:t xml:space="preserve"> </w:t>
      </w:r>
      <w:r>
        <w:t xml:space="preserve">The effect was maintained where the learners’ first language supplies the same structure and</w:t>
      </w:r>
      <w:r>
        <w:t xml:space="preserve"> </w:t>
      </w:r>
      <w:r>
        <w:t xml:space="preserve">eroded where it does not. On this evidence, the retention behaviour of gender agreement tracks</w:t>
      </w:r>
      <w:r>
        <w:t xml:space="preserve"> </w:t>
      </w:r>
      <w:r>
        <w:t xml:space="preserve">the source grammar. We hold the conclusion at the level</w:t>
      </w:r>
      <w:r>
        <w:t xml:space="preserve"> </w:t>
      </w:r>
      <w:r>
        <w:t xml:space="preserve">the estimates support, which is the group difference and not either group’s separate</w:t>
      </w:r>
      <w:r>
        <w:t xml:space="preserve"> </w:t>
      </w:r>
      <w:r>
        <w:t xml:space="preserve">trajectory, a distinction that comparisons of separately tested effects routinely blur</w:t>
      </w:r>
      <w:r>
        <w:t xml:space="preserve"> </w:t>
      </w:r>
      <w:r>
        <w:t xml:space="preserve">(Gelman and Stern 2006; Nieuwenhuis et al. 2011)</w:t>
      </w:r>
      <w:r>
        <w:t xml:space="preserve">. Verb–object number agreement, by contrast,</w:t>
      </w:r>
      <w:r>
        <w:t xml:space="preserve"> </w:t>
      </w:r>
      <w:r>
        <w:t xml:space="preserve">gained over the interval only within the Mini-Norwegian group (</w:t>
      </w:r>
      <w:hyperlink w:anchor="tbl-retention">
        <w:r>
          <w:rPr>
            <w:rStyle w:val="Hyperlink"/>
          </w:rPr>
          <w:t xml:space="preserve">Table 2</w:t>
        </w:r>
      </w:hyperlink>
      <w:r>
        <w:t xml:space="preserve">). The</w:t>
      </w:r>
      <w:r>
        <w:t xml:space="preserve"> </w:t>
      </w:r>
      <w:r>
        <w:t xml:space="preserve">latest-introduced property, novel to both prior</w:t>
      </w:r>
      <w:r>
        <w:t xml:space="preserve"> </w:t>
      </w:r>
      <w:r>
        <w:t xml:space="preserve">languages, strengthened for one training group only. That is a group difference on a</w:t>
      </w:r>
      <w:r>
        <w:t xml:space="preserve"> </w:t>
      </w:r>
      <w:r>
        <w:t xml:space="preserve">property where property-level congruence predicts none, so we group it with the</w:t>
      </w:r>
      <w:r>
        <w:t xml:space="preserve"> </w:t>
      </w:r>
      <w:r>
        <w:t xml:space="preserve">unexplained control modulations discussed above, separately from the gender-agreement</w:t>
      </w:r>
      <w:r>
        <w:t xml:space="preserve"> </w:t>
      </w:r>
      <w:r>
        <w:t xml:space="preserve">transfer effect. The candidate explanations listed there apply here too, and we do not</w:t>
      </w:r>
      <w:r>
        <w:t xml:space="preserve"> </w:t>
      </w:r>
      <w:r>
        <w:t xml:space="preserve">choose between them. Differential object marking, whose behavioural accuracy declined</w:t>
      </w:r>
      <w:r>
        <w:t xml:space="preserve"> </w:t>
      </w:r>
      <w:r>
        <w:t xml:space="preserve">across the interval in both groups (</w:t>
      </w:r>
      <w:hyperlink w:anchor="tbl-retention">
        <w:r>
          <w:rPr>
            <w:rStyle w:val="Hyperlink"/>
          </w:rPr>
          <w:t xml:space="preserve">Table 2</w:t>
        </w:r>
      </w:hyperlink>
      <w:r>
        <w:t xml:space="preserve">), diverges by language in the freed</w:t>
      </w:r>
      <w:r>
        <w:t xml:space="preserve"> </w:t>
      </w:r>
      <w:r>
        <w:t xml:space="preserve">model as gender agreement does, but in the opposite direction. Its</w:t>
      </w:r>
      <w:r>
        <w:t xml:space="preserve"> </w:t>
      </w:r>
      <w:r>
        <w:t xml:space="preserve">retention estimate is negative within Mini-Norwegian in</w:t>
      </w:r>
      <w:r>
        <w:t xml:space="preserve"> </w:t>
      </w:r>
      <w:r>
        <w:t xml:space="preserve">every one of the six cells, and the</w:t>
      </w:r>
      <w:r>
        <w:t xml:space="preserve"> </w:t>
      </w:r>
      <w:r>
        <w:t xml:space="preserve">language difference is credible in</w:t>
      </w:r>
      <w:r>
        <w:t xml:space="preserve"> </w:t>
      </w:r>
      <w:r>
        <w:t xml:space="preserve">five of the six cells (midline</w:t>
      </w:r>
      <w:r>
        <w:t xml:space="preserve"> </w:t>
      </w:r>
      <w:r>
        <w:t xml:space="preserve">400–900 ms, Mini-Norwegian minus Mini-English</w:t>
      </w:r>
      <w:r>
        <w:t xml:space="preserve"> </w:t>
      </w:r>
      <m:oMath>
        <m:r>
          <m:rPr>
            <m:sty m:val="p"/>
          </m:rPr>
          <m:t>Δ</m:t>
        </m:r>
        <m:r>
          <m:rPr>
            <m:sty m:val="p"/>
          </m:rPr>
          <m:t>=</m:t>
        </m:r>
        <m:r>
          <m:rPr>
            <m:sty m:val="p"/>
          </m:rPr>
          <m:t>−</m:t>
        </m:r>
        <m:r>
          <m:t>0.16</m:t>
        </m:r>
      </m:oMath>
      <w:r>
        <w:t xml:space="preserve">, 95% CrI</w:t>
      </w:r>
      <w:r>
        <w:t xml:space="preserve"> </w:t>
      </w:r>
      <m:oMath>
        <m:r>
          <m:rPr>
            <m:sty m:val="p"/>
          </m:rPr>
          <m:t>[</m:t>
        </m:r>
        <m:r>
          <m:rPr>
            <m:sty m:val="p"/>
          </m:rPr>
          <m:t>−</m:t>
        </m:r>
        <m:r>
          <m:t>0.25</m:t>
        </m:r>
        <m:r>
          <m:rPr>
            <m:sty m:val="p"/>
          </m:rPr>
          <m:t>,</m:t>
        </m:r>
        <m:r>
          <m:rPr>
            <m:sty m:val="p"/>
          </m:rPr>
          <m:t>−</m:t>
        </m:r>
        <m:r>
          <m:t>0.06</m:t>
        </m:r>
        <m:r>
          <m:rPr>
            <m:sty m:val="p"/>
          </m:rPr>
          <m:t>]</m:t>
        </m:r>
      </m:oMath>
      <w:r>
        <w:t xml:space="preserve">,</w:t>
      </w:r>
      <w:r>
        <w:t xml:space="preserve"> </w:t>
      </w:r>
      <m:oMath>
        <m:sSub>
          <m:e>
            <m:r>
              <m:t>p</m:t>
            </m:r>
          </m:e>
          <m:sub>
            <m:r>
              <m:t>d</m:t>
            </m:r>
          </m:sub>
        </m:sSub>
        <m:r>
          <m:rPr>
            <m:sty m:val="p"/>
          </m:rPr>
          <m:t>=</m:t>
        </m:r>
        <m:r>
          <m:t>.999</m:t>
        </m:r>
      </m:oMath>
      <w:r>
        <w:t xml:space="preserve">).</w:t>
      </w:r>
      <w:r>
        <w:t xml:space="preserve"> </w:t>
      </w:r>
      <w:r>
        <w:t xml:space="preserve">That is the same reversal of first-language congruence that its late-window transfer term</w:t>
      </w:r>
      <w:r>
        <w:t xml:space="preserve"> </w:t>
      </w:r>
      <w:r>
        <w:t xml:space="preserve">shows, which we could not account for there and cannot account for here. This property also</w:t>
      </w:r>
      <w:r>
        <w:t xml:space="preserve"> </w:t>
      </w:r>
      <w:r>
        <w:t xml:space="preserve">has a stimulus confound the others do not (see Results). We</w:t>
      </w:r>
      <w:r>
        <w:t xml:space="preserve"> </w:t>
      </w:r>
      <w:r>
        <w:t xml:space="preserve">therefore do not read its retention profile as consolidation of a durable representation.</w:t>
      </w:r>
    </w:p>
    <w:p>
      <w:pPr>
        <w:pStyle w:val="BodyText"/>
      </w:pPr>
      <w:r>
        <w:t xml:space="preserve">Consolidation is defined as the continued transformation of an experience-dependent</w:t>
      </w:r>
      <w:r>
        <w:t xml:space="preserve"> </w:t>
      </w:r>
      <w:r>
        <w:t xml:space="preserve">representation after acquisition, through recurrent reactivation during wake and sleep</w:t>
      </w:r>
      <w:r>
        <w:t xml:space="preserve"> </w:t>
      </w:r>
      <w:r>
        <w:t xml:space="preserve">and redistribution of the representation to additional sites</w:t>
      </w:r>
      <w:r>
        <w:t xml:space="preserve"> </w:t>
      </w:r>
      <w:r>
        <w:t xml:space="preserve">(Dudai et al. 2015)</w:t>
      </w:r>
      <w:r>
        <w:t xml:space="preserve">, so change</w:t>
      </w:r>
      <w:r>
        <w:t xml:space="preserve"> </w:t>
      </w:r>
      <w:r>
        <w:t xml:space="preserve">across an interval containing no further training cannot be a practice effect. The</w:t>
      </w:r>
      <w:r>
        <w:t xml:space="preserve"> </w:t>
      </w:r>
      <w:r>
        <w:t xml:space="preserve">complementary-systems account supplies the mechanism for language specifically: rapid</w:t>
      </w:r>
      <w:r>
        <w:t xml:space="preserve"> </w:t>
      </w:r>
      <w:r>
        <w:t xml:space="preserve">hippocampally supported familiarisation followed by slow neocortical consolidation, with</w:t>
      </w:r>
      <w:r>
        <w:t xml:space="preserve"> </w:t>
      </w:r>
      <w:r>
        <w:t xml:space="preserve">cortical responses becoming knowledge-like only where a consolidation opportunity</w:t>
      </w:r>
      <w:r>
        <w:t xml:space="preserve"> </w:t>
      </w:r>
      <w:r>
        <w:t xml:space="preserve">intervenes</w:t>
      </w:r>
      <w:r>
        <w:t xml:space="preserve"> </w:t>
      </w:r>
      <w:r>
        <w:t xml:space="preserve">(Davis and Gaskell 2009)</w:t>
      </w:r>
      <w:r>
        <w:t xml:space="preserve">. In the closest precedent, adults trained on an artificial</w:t>
      </w:r>
      <w:r>
        <w:t xml:space="preserve"> </w:t>
      </w:r>
      <w:r>
        <w:t xml:space="preserve">language showed ERP responses that grew more native-like after months without exposure</w:t>
      </w:r>
      <w:r>
        <w:t xml:space="preserve"> </w:t>
      </w:r>
      <w:r>
        <w:t xml:space="preserve">while behaviour was unchanged</w:t>
      </w:r>
      <w:r>
        <w:t xml:space="preserve"> </w:t>
      </w:r>
      <w:r>
        <w:t xml:space="preserve">(Morgan-Short, Finger, et al. 2012)</w:t>
      </w:r>
      <w:r>
        <w:t xml:space="preserve">, and responses to newly learned</w:t>
      </w:r>
      <w:r>
        <w:t xml:space="preserve"> </w:t>
      </w:r>
      <w:r>
        <w:t xml:space="preserve">words shift measurably across a single overnight interval</w:t>
      </w:r>
      <w:r>
        <w:t xml:space="preserve"> </w:t>
      </w:r>
      <w:r>
        <w:t xml:space="preserve">(Bakker et al. 2015)</w:t>
      </w:r>
      <w:r>
        <w:t xml:space="preserve">. The</w:t>
      </w:r>
      <w:r>
        <w:t xml:space="preserve"> </w:t>
      </w:r>
      <w:r>
        <w:t xml:space="preserve">stabilisation-versus-enhancement distinction drawn in the procedural literature</w:t>
      </w:r>
      <w:r>
        <w:t xml:space="preserve"> </w:t>
      </w:r>
      <w:r>
        <w:t xml:space="preserve">(Robertson et al. 2004)</w:t>
      </w:r>
      <w:r>
        <w:t xml:space="preserve"> </w:t>
      </w:r>
      <w:r>
        <w:t xml:space="preserve">frames the profiles here, once the freed estimates replace the</w:t>
      </w:r>
      <w:r>
        <w:t xml:space="preserve"> </w:t>
      </w:r>
      <w:r>
        <w:t xml:space="preserve">extrapolated ones. Gender agreement shows neither enhancement nor decay on average but a</w:t>
      </w:r>
      <w:r>
        <w:t xml:space="preserve"> </w:t>
      </w:r>
      <w:r>
        <w:t xml:space="preserve">divergence between the languages, verb–object number agreement gained in Mini-Norwegian</w:t>
      </w:r>
      <w:r>
        <w:t xml:space="preserve"> </w:t>
      </w:r>
      <w:r>
        <w:t xml:space="preserve">alone, and differential object marking diverged in the opposite direction to gender</w:t>
      </w:r>
      <w:r>
        <w:t xml:space="preserve"> </w:t>
      </w:r>
      <w:r>
        <w:t xml:space="preserve">agreement. An offline gain of this kind plausibly reflects rule abstraction</w:t>
      </w:r>
      <w:r>
        <w:t xml:space="preserve"> </w:t>
      </w:r>
      <w:r>
        <w:t xml:space="preserve">(Nieuwenhuis et al. 2013; Tamminen et al. 2015)</w:t>
      </w:r>
      <w:r>
        <w:t xml:space="preserve">, though</w:t>
      </w:r>
      <w:r>
        <w:t xml:space="preserve"> </w:t>
      </w:r>
      <w:r>
        <w:t xml:space="preserve">Mirković and Gaskell (2016)</w:t>
      </w:r>
      <w:r>
        <w:t xml:space="preserve"> </w:t>
      </w:r>
      <w:r>
        <w:t xml:space="preserve">found no sleep benefit</w:t>
      </w:r>
      <w:r>
        <w:t xml:space="preserve"> </w:t>
      </w:r>
      <w:r>
        <w:t xml:space="preserve">for the systematic aspects of a comparable artificial gender language. That study used a</w:t>
      </w:r>
      <w:r>
        <w:t xml:space="preserve"> </w:t>
      </w:r>
      <w:r>
        <w:t xml:space="preserve">nap-length interval and behavioural measures, which a longer, electrophysiologically</w:t>
      </w:r>
      <w:r>
        <w:t xml:space="preserve"> </w:t>
      </w:r>
      <w:r>
        <w:t xml:space="preserve">measured interval may reach past without contradicting.</w:t>
      </w:r>
    </w:p>
    <w:bookmarkEnd w:id="80"/>
    <w:bookmarkStart w:id="81" w:name="Xc8f859ce1cc6b29ebc69912ddafa264c24aab2f"/>
    <w:p>
      <w:pPr>
        <w:pStyle w:val="Heading2"/>
      </w:pPr>
      <w:r>
        <w:t xml:space="preserve">Convergence and divergence of the two measures</w:t>
      </w:r>
    </w:p>
    <w:p>
      <w:pPr>
        <w:pStyle w:val="FirstParagraph"/>
      </w:pPr>
      <w:r>
        <w:t xml:space="preserve">The electrophysiological and behavioural measures converge for gender agreement in</w:t>
      </w:r>
      <w:r>
        <w:t xml:space="preserve"> </w:t>
      </w:r>
      <w:r>
        <w:t xml:space="preserve">indexing learning, and, on the derivation that bears on consolidation, at retention as</w:t>
      </w:r>
      <w:r>
        <w:t xml:space="preserve"> </w:t>
      </w:r>
      <w:r>
        <w:t xml:space="preserve">well. The behavioural gain was carried by the Mini-Norwegian group, and the freed</w:t>
      </w:r>
      <w:r>
        <w:t xml:space="preserve"> </w:t>
      </w:r>
      <w:r>
        <w:t xml:space="preserve">electrophysiological estimate shows the same language-dependent divergence, with no</w:t>
      </w:r>
      <w:r>
        <w:t xml:space="preserve"> </w:t>
      </w:r>
      <w:r>
        <w:t xml:space="preserve">credible average change but a credible difference between the languages in the same</w:t>
      </w:r>
      <w:r>
        <w:t xml:space="preserve"> </w:t>
      </w:r>
      <w:r>
        <w:t xml:space="preserve">direction. It</w:t>
      </w:r>
      <w:r>
        <w:t xml:space="preserve"> </w:t>
      </w:r>
      <w:r>
        <w:t xml:space="preserve">was the linear extrapolation, which reads the retention step off the training trend, that</w:t>
      </w:r>
      <w:r>
        <w:t xml:space="preserve"> </w:t>
      </w:r>
      <w:r>
        <w:t xml:space="preserve">made the electrophysiological pattern look language-general.</w:t>
      </w:r>
    </w:p>
    <w:p>
      <w:pPr>
        <w:pStyle w:val="BodyText"/>
      </w:pPr>
      <w:r>
        <w:t xml:space="preserve">The two measures diverge more sharply for differential object marking. It elicited a</w:t>
      </w:r>
      <w:r>
        <w:t xml:space="preserve"> </w:t>
      </w:r>
      <w:r>
        <w:t xml:space="preserve">large, credible behavioural grammaticality effect (Results) even as its ERP</w:t>
      </w:r>
      <w:r>
        <w:t xml:space="preserve"> </w:t>
      </w:r>
      <w:r>
        <w:t xml:space="preserve">grammaticality effect was credible in a single early cell, and that behavioural</w:t>
      </w:r>
      <w:r>
        <w:t xml:space="preserve"> </w:t>
      </w:r>
      <w:r>
        <w:t xml:space="preserve">effect then eroded at retention, a dissociation suggesting explicit, strategy-based</w:t>
      </w:r>
      <w:r>
        <w:t xml:space="preserve"> </w:t>
      </w:r>
      <w:r>
        <w:t xml:space="preserve">judgement of a structure that never became an automatic processing routine. The two</w:t>
      </w:r>
      <w:r>
        <w:t xml:space="preserve"> </w:t>
      </w:r>
      <w:r>
        <w:t xml:space="preserve">are not redundant, even though they are recorded on the same trials. Where they part</w:t>
      </w:r>
      <w:r>
        <w:t xml:space="preserve"> </w:t>
      </w:r>
      <w:r>
        <w:t xml:space="preserve">company, they separate the automatic neural response to a violation from the explicit accuracy</w:t>
      </w:r>
      <w:r>
        <w:t xml:space="preserve"> </w:t>
      </w:r>
      <w:r>
        <w:t xml:space="preserve">of the judgement made about it.</w:t>
      </w:r>
    </w:p>
    <w:p>
      <w:pPr>
        <w:pStyle w:val="BodyText"/>
      </w:pPr>
      <w:r>
        <w:t xml:space="preserve">For gender agreement, the dissociation runs the other way. The source-language advantage</w:t>
      </w:r>
      <w:r>
        <w:t xml:space="preserve"> </w:t>
      </w:r>
      <w:r>
        <w:t xml:space="preserve">was carried by the judgement and not by the electrophysiological response, which suggests</w:t>
      </w:r>
      <w:r>
        <w:t xml:space="preserve"> </w:t>
      </w:r>
      <w:r>
        <w:t xml:space="preserve">that at this stage first-language congruence shapes the explicit decision more than the</w:t>
      </w:r>
      <w:r>
        <w:t xml:space="preserve"> </w:t>
      </w:r>
      <w:r>
        <w:t xml:space="preserve">automatic violation response. Where in processing transfer takes effect is a question</w:t>
      </w:r>
      <w:r>
        <w:t xml:space="preserve"> </w:t>
      </w:r>
      <w:r>
        <w:t xml:space="preserve">the property-by-property models do not yet specify, and this pattern indicates it is</w:t>
      </w:r>
      <w:r>
        <w:t xml:space="preserve"> </w:t>
      </w:r>
      <w:r>
        <w:t xml:space="preserve">separable from whether transfer occurs. An EEG study of natural-language L3 learners</w:t>
      </w:r>
      <w:r>
        <w:t xml:space="preserve"> </w:t>
      </w:r>
      <w:r>
        <w:t xml:space="preserve">reports a different division, with first-language similarity consolidating implicit</w:t>
      </w:r>
      <w:r>
        <w:t xml:space="preserve"> </w:t>
      </w:r>
      <w:r>
        <w:t xml:space="preserve">knowledge and second-language similarity enhancing metalinguistic judgement</w:t>
      </w:r>
      <w:r>
        <w:t xml:space="preserve"> </w:t>
      </w:r>
      <w:r>
        <w:t xml:space="preserve">(Xu et al. 2024)</w:t>
      </w:r>
      <w:r>
        <w:t xml:space="preserve">.</w:t>
      </w:r>
      <w:r>
        <w:t xml:space="preserve"> </w:t>
      </w:r>
      <w:r>
        <w:t xml:space="preserve">Here the first-language-congruent advantage surfaced in the judgement, so the locus may</w:t>
      </w:r>
      <w:r>
        <w:t xml:space="preserve"> </w:t>
      </w:r>
      <w:r>
        <w:t xml:space="preserve">vary with the stage of learning as well as with the source.</w:t>
      </w:r>
    </w:p>
    <w:p>
      <w:pPr>
        <w:pStyle w:val="BodyText"/>
      </w:pPr>
      <w:r>
        <w:t xml:space="preserve">One behavioural result stands apart from the dissociations. Overall accuracy fell across</w:t>
      </w:r>
      <w:r>
        <w:t xml:space="preserve"> </w:t>
      </w:r>
      <w:r>
        <w:t xml:space="preserve">sessions for every property, against the improvement under mere exposure that motivated</w:t>
      </w:r>
      <w:r>
        <w:t xml:space="preserve"> </w:t>
      </w:r>
      <w:r>
        <w:t xml:space="preserve">the prior on the session term</w:t>
      </w:r>
      <w:r>
        <w:t xml:space="preserve"> </w:t>
      </w:r>
      <w:r>
        <w:t xml:space="preserve">(Mueller et al. 2009)</w:t>
      </w:r>
      <w:r>
        <w:t xml:space="preserve">. The design gives two reasons. Each session</w:t>
      </w:r>
      <w:r>
        <w:t xml:space="preserve"> </w:t>
      </w:r>
      <w:r>
        <w:t xml:space="preserve">adds a property, so later judgements are made against a larger grammar, and Session 6</w:t>
      </w:r>
      <w:r>
        <w:t xml:space="preserve"> </w:t>
      </w:r>
      <w:r>
        <w:t xml:space="preserve">follows months without exposure. That the grammaticality effect held or grew while the</w:t>
      </w:r>
      <w:r>
        <w:t xml:space="preserve"> </w:t>
      </w:r>
      <w:r>
        <w:t xml:space="preserve">level fell indicates that the decline reflects task difficulty or a drift in response</w:t>
      </w:r>
      <w:r>
        <w:t xml:space="preserve"> </w:t>
      </w:r>
      <w:r>
        <w:t xml:space="preserve">criterion, with the knowledge the effect indexes intact, although the design cannot</w:t>
      </w:r>
      <w:r>
        <w:t xml:space="preserve"> </w:t>
      </w:r>
      <w:r>
        <w:t xml:space="preserve">separate these.</w:t>
      </w:r>
    </w:p>
    <w:bookmarkEnd w:id="81"/>
    <w:bookmarkStart w:id="82" w:name="what-the-multivariate-analysis-adds"/>
    <w:p>
      <w:pPr>
        <w:pStyle w:val="Heading2"/>
      </w:pPr>
      <w:r>
        <w:t xml:space="preserve">What the multivariate analysis adds</w:t>
      </w:r>
    </w:p>
    <w:p>
      <w:pPr>
        <w:pStyle w:val="FirstParagraph"/>
      </w:pPr>
      <w:r>
        <w:t xml:space="preserve">With the confirmatory decoding settled, the univariate and multivariate analyses order the</w:t>
      </w:r>
      <w:r>
        <w:t xml:space="preserve"> </w:t>
      </w:r>
      <w:r>
        <w:t xml:space="preserve">three properties in broadly the same way. Gender agreement carries an amplitude effect</w:t>
      </w:r>
      <w:r>
        <w:t xml:space="preserve"> </w:t>
      </w:r>
      <w:r>
        <w:t xml:space="preserve">credible in 2 of 6 cells and</w:t>
      </w:r>
      <w:r>
        <w:t xml:space="preserve"> </w:t>
      </w:r>
      <w:r>
        <w:t xml:space="preserve">reliable pattern separability. Verb–object number agreement carries neither, though its</w:t>
      </w:r>
      <w:r>
        <w:t xml:space="preserve"> </w:t>
      </w:r>
      <w:r>
        <w:t xml:space="preserve">grammaticality effect changes across the retention interval. Differential object</w:t>
      </w:r>
      <w:r>
        <w:t xml:space="preserve"> </w:t>
      </w:r>
      <w:r>
        <w:t xml:space="preserve">marking carries separability that its pre-stimulus</w:t>
      </w:r>
      <w:r>
        <w:t xml:space="preserve"> </w:t>
      </w:r>
      <w:r>
        <w:t xml:space="preserve">baseline forbids us to read as a violation response. That agreement was not guaranteed,</w:t>
      </w:r>
      <w:r>
        <w:t xml:space="preserve"> </w:t>
      </w:r>
      <w:r>
        <w:t xml:space="preserve">because the two analyses ask different questions. Window-averaged amplitude asks whether a condition shifts the mean</w:t>
      </w:r>
      <w:r>
        <w:t xml:space="preserve"> </w:t>
      </w:r>
      <w:r>
        <w:t xml:space="preserve">at a set of electrodes, whereas decoding asks whether the joint sensor pattern separates</w:t>
      </w:r>
      <w:r>
        <w:t xml:space="preserve"> </w:t>
      </w:r>
      <w:r>
        <w:t xml:space="preserve">single trials</w:t>
      </w:r>
      <w:r>
        <w:t xml:space="preserve"> </w:t>
      </w:r>
      <w:r>
        <w:t xml:space="preserve">(Hebart and Baker 2018; Wang and Kuperberg 2024)</w:t>
      </w:r>
      <w:r>
        <w:t xml:space="preserve">. A divergence in either direction would not have told</w:t>
      </w:r>
      <w:r>
        <w:t xml:space="preserve"> </w:t>
      </w:r>
      <w:r>
        <w:t xml:space="preserve">us which property is better represented, and classification accuracy is in any case not a</w:t>
      </w:r>
      <w:r>
        <w:t xml:space="preserve"> </w:t>
      </w:r>
      <w:r>
        <w:t xml:space="preserve">standardised effect size and cannot be compared across properties as though it were</w:t>
      </w:r>
      <w:r>
        <w:t xml:space="preserve"> </w:t>
      </w:r>
      <w:r>
        <w:t xml:space="preserve">(Hebart and Baker 2018)</w:t>
      </w:r>
      <w:r>
        <w:t xml:space="preserve">. One limit is worth setting out before the mechanisms. Rejecting a</w:t>
      </w:r>
      <w:r>
        <w:t xml:space="preserve"> </w:t>
      </w:r>
      <w:r>
        <w:t xml:space="preserve">pooled cluster null licenses only that a grammaticality pattern is decodable in some part</w:t>
      </w:r>
      <w:r>
        <w:t xml:space="preserve"> </w:t>
      </w:r>
      <w:r>
        <w:t xml:space="preserve">of the sample, leaving its prevalence across participants unestimated</w:t>
      </w:r>
      <w:r>
        <w:t xml:space="preserve"> </w:t>
      </w:r>
      <w:r>
        <w:t xml:space="preserve">(Allefeld et al. 2016)</w:t>
      </w:r>
      <w:r>
        <w:t xml:space="preserve">.</w:t>
      </w:r>
    </w:p>
    <w:p>
      <w:pPr>
        <w:pStyle w:val="BodyText"/>
      </w:pPr>
      <w:r>
        <w:t xml:space="preserve">One profile in these data has a documented mechanism, and the profile that would have</w:t>
      </w:r>
      <w:r>
        <w:t xml:space="preserve"> </w:t>
      </w:r>
      <w:r>
        <w:t xml:space="preserve">raised a puzzle does not arise. A contrast can be decodable with</w:t>
      </w:r>
      <w:r>
        <w:t xml:space="preserve"> </w:t>
      </w:r>
      <w:r>
        <w:t xml:space="preserve">little univariate effect because decoding tolerates non-uniform response signs, so</w:t>
      </w:r>
      <w:r>
        <w:t xml:space="preserve"> </w:t>
      </w:r>
      <w:r>
        <w:t xml:space="preserve">neighbouring sensors of opposite polarity both carry information where averaging cancels</w:t>
      </w:r>
      <w:r>
        <w:t xml:space="preserve"> </w:t>
      </w:r>
      <w:r>
        <w:t xml:space="preserve">them</w:t>
      </w:r>
      <w:r>
        <w:t xml:space="preserve"> </w:t>
      </w:r>
      <w:r>
        <w:t xml:space="preserve">(Hebart and Baker 2018)</w:t>
      </w:r>
      <w:r>
        <w:t xml:space="preserve">. Forward modelling shows that such cancellation is substantial at the</w:t>
      </w:r>
      <w:r>
        <w:t xml:space="preserve"> </w:t>
      </w:r>
      <w:r>
        <w:t xml:space="preserve">scalp for distributed sources with partly opposing orientations</w:t>
      </w:r>
      <w:r>
        <w:t xml:space="preserve"> </w:t>
      </w:r>
      <w:r>
        <w:t xml:space="preserve">(Ahlfors et al. 2010)</w:t>
      </w:r>
      <w:r>
        <w:t xml:space="preserve">. The</w:t>
      </w:r>
      <w:r>
        <w:t xml:space="preserve"> </w:t>
      </w:r>
      <w:r>
        <w:t xml:space="preserve">transient mean amplitude and comparatively high classification of differential object</w:t>
      </w:r>
      <w:r>
        <w:t xml:space="preserve"> </w:t>
      </w:r>
      <w:r>
        <w:t xml:space="preserve">marking are therefore compatible with a single generator whose spatial configuration is</w:t>
      </w:r>
      <w:r>
        <w:t xml:space="preserve"> </w:t>
      </w:r>
      <w:r>
        <w:t xml:space="preserve">stable even where its net amplitude is small, so far as the baseline difference allows</w:t>
      </w:r>
      <w:r>
        <w:t xml:space="preserve"> </w:t>
      </w:r>
      <w:r>
        <w:t xml:space="preserve">that reading. Multivariate analyses of sentence processing have repeatedly</w:t>
      </w:r>
      <w:r>
        <w:t xml:space="preserve"> </w:t>
      </w:r>
      <w:r>
        <w:t xml:space="preserve">recovered effects that the corresponding ERPs did not</w:t>
      </w:r>
      <w:r>
        <w:t xml:space="preserve"> </w:t>
      </w:r>
      <w:r>
        <w:t xml:space="preserve">(He et al. 2024; Cho and Brennan 2025)</w:t>
      </w:r>
      <w:r>
        <w:t xml:space="preserve">. The converse</w:t>
      </w:r>
      <w:r>
        <w:t xml:space="preserve"> </w:t>
      </w:r>
      <w:r>
        <w:t xml:space="preserve">profile is equally well characterised. Multivariate tests draw their sensitivity from</w:t>
      </w:r>
      <w:r>
        <w:t xml:space="preserve"> </w:t>
      </w:r>
      <w:r>
        <w:t xml:space="preserve">electrode-level variability in the effect within participants and are insensitive</w:t>
      </w:r>
      <w:r>
        <w:t xml:space="preserve"> </w:t>
      </w:r>
      <w:r>
        <w:t xml:space="preserve">to the between-participant variance in mean amplitude that governs univariate group</w:t>
      </w:r>
      <w:r>
        <w:t xml:space="preserve"> </w:t>
      </w:r>
      <w:r>
        <w:t xml:space="preserve">tests</w:t>
      </w:r>
      <w:r>
        <w:t xml:space="preserve"> </w:t>
      </w:r>
      <w:r>
        <w:t xml:space="preserve">(Davis et al. 2014, on fMRI voxels)</w:t>
      </w:r>
      <w:r>
        <w:t xml:space="preserve">, and increased</w:t>
      </w:r>
      <w:r>
        <w:t xml:space="preserve"> </w:t>
      </w:r>
      <w:r>
        <w:t xml:space="preserve">trial-to-trial variability leaves expected mean amplitude unchanged while progressively</w:t>
      </w:r>
      <w:r>
        <w:t xml:space="preserve"> </w:t>
      </w:r>
      <w:r>
        <w:t xml:space="preserve">shrinking expected decoding accuracy</w:t>
      </w:r>
      <w:r>
        <w:t xml:space="preserve"> </w:t>
      </w:r>
      <w:r>
        <w:t xml:space="preserve">(Carrasco et al. 2024)</w:t>
      </w:r>
      <w:r>
        <w:t xml:space="preserve">. An effect that is consistent in</w:t>
      </w:r>
      <w:r>
        <w:t xml:space="preserve"> </w:t>
      </w:r>
      <w:r>
        <w:t xml:space="preserve">sign but spatially homogeneous would therefore yield a credible amplitude effect</w:t>
      </w:r>
      <w:r>
        <w:t xml:space="preserve"> </w:t>
      </w:r>
      <w:r>
        <w:t xml:space="preserve">with comparatively little for a classifier to exploit. That profile does not describe</w:t>
      </w:r>
      <w:r>
        <w:t xml:space="preserve"> </w:t>
      </w:r>
      <w:r>
        <w:t xml:space="preserve">gender agreement here, which separates reliably as well as shifting the mean. Decoding is usually the more sensitive test of</w:t>
      </w:r>
      <w:r>
        <w:t xml:space="preserve"> </w:t>
      </w:r>
      <w:r>
        <w:t xml:space="preserve">the two, but it is not uniformly so, and comparable orderings are documented for the</w:t>
      </w:r>
      <w:r>
        <w:t xml:space="preserve"> </w:t>
      </w:r>
      <w:r>
        <w:t xml:space="preserve">mismatch negativity and the N2pc</w:t>
      </w:r>
      <w:r>
        <w:t xml:space="preserve"> </w:t>
      </w:r>
      <w:r>
        <w:t xml:space="preserve">(Carrasco et al. 2024)</w:t>
      </w:r>
      <w:r>
        <w:t xml:space="preserve">.</w:t>
      </w:r>
    </w:p>
    <w:p>
      <w:pPr>
        <w:pStyle w:val="BodyText"/>
      </w:pPr>
      <w:r>
        <w:t xml:space="preserve">These considerations constrain the claims available to us. A failure to decode is a failure</w:t>
      </w:r>
      <w:r>
        <w:t xml:space="preserve"> </w:t>
      </w:r>
      <w:r>
        <w:t xml:space="preserve">to find linearly separable information under one analysis, and it leaves open whether the</w:t>
      </w:r>
      <w:r>
        <w:t xml:space="preserve"> </w:t>
      </w:r>
      <w:r>
        <w:t xml:space="preserve">brain distinguishes the conditions</w:t>
      </w:r>
      <w:r>
        <w:t xml:space="preserve"> </w:t>
      </w:r>
      <w:r>
        <w:t xml:space="preserve">(Peelen and Downing 2023)</w:t>
      </w:r>
      <w:r>
        <w:t xml:space="preserve">. Classification performance, high or low, is</w:t>
      </w:r>
      <w:r>
        <w:t xml:space="preserve"> </w:t>
      </w:r>
      <w:r>
        <w:t xml:space="preserve">a poor guide to representational content</w:t>
      </w:r>
      <w:r>
        <w:t xml:space="preserve"> </w:t>
      </w:r>
      <w:r>
        <w:t xml:space="preserve">(Ritchie et al. 2019)</w:t>
      </w:r>
      <w:r>
        <w:t xml:space="preserve">. Nor would a divergence between the</w:t>
      </w:r>
      <w:r>
        <w:t xml:space="preserve"> </w:t>
      </w:r>
      <w:r>
        <w:t xml:space="preserve">two analyses, had one arisen, support a conclusion about the dimensionality of the</w:t>
      </w:r>
      <w:r>
        <w:t xml:space="preserve"> </w:t>
      </w:r>
      <w:r>
        <w:t xml:space="preserve">underlying code</w:t>
      </w:r>
      <w:r>
        <w:t xml:space="preserve"> </w:t>
      </w:r>
      <w:r>
        <w:t xml:space="preserve">(Davis et al. 2014)</w:t>
      </w:r>
      <w:r>
        <w:t xml:space="preserve">.</w:t>
      </w:r>
    </w:p>
    <w:p>
      <w:pPr>
        <w:pStyle w:val="BodyText"/>
      </w:pPr>
      <w:r>
        <w:t xml:space="preserve">The null cross-property generalisation bears on a live theoretical question. If the</w:t>
      </w:r>
      <w:r>
        <w:t xml:space="preserve"> </w:t>
      </w:r>
      <w:r>
        <w:t xml:space="preserve">grammaticality response were largely a domain-general salience or integration signal</w:t>
      </w:r>
      <w:r>
        <w:t xml:space="preserve"> </w:t>
      </w:r>
      <w:r>
        <w:t xml:space="preserve">(Sassenhagen and Fiebach 2019; Aurnhammer et al. 2023)</w:t>
      </w:r>
      <w:r>
        <w:t xml:space="preserve">, a decoder trained on one property should transfer to</w:t>
      </w:r>
      <w:r>
        <w:t xml:space="preserve"> </w:t>
      </w:r>
      <w:r>
        <w:t xml:space="preserve">the others, but it transferred in no direction. That pattern is consistent with evidence</w:t>
      </w:r>
      <w:r>
        <w:t xml:space="preserve"> </w:t>
      </w:r>
      <w:r>
        <w:t xml:space="preserve">that the late positivity fractionates topographically and functionally</w:t>
      </w:r>
      <w:r>
        <w:t xml:space="preserve"> </w:t>
      </w:r>
      <w:r>
        <w:t xml:space="preserve">(Kaan and Swaab 2003)</w:t>
      </w:r>
      <w:r>
        <w:t xml:space="preserve">, that</w:t>
      </w:r>
      <w:r>
        <w:t xml:space="preserve"> </w:t>
      </w:r>
      <w:r>
        <w:t xml:space="preserve">agreement features follow separable developmental courses</w:t>
      </w:r>
      <w:r>
        <w:t xml:space="preserve"> </w:t>
      </w:r>
      <w:r>
        <w:t xml:space="preserve">(Alemán Bañón et al. 2018)</w:t>
      </w:r>
      <w:r>
        <w:t xml:space="preserve">, that</w:t>
      </w:r>
      <w:r>
        <w:t xml:space="preserve"> </w:t>
      </w:r>
      <w:r>
        <w:t xml:space="preserve">different violation types within the same learners are predicted by different</w:t>
      </w:r>
      <w:r>
        <w:t xml:space="preserve"> </w:t>
      </w:r>
      <w:r>
        <w:t xml:space="preserve">individual-difference variables</w:t>
      </w:r>
      <w:r>
        <w:t xml:space="preserve"> </w:t>
      </w:r>
      <w:r>
        <w:t xml:space="preserve">(Nichols and Joanisse 2019)</w:t>
      </w:r>
      <w:r>
        <w:t xml:space="preserve">, and that decoders of</w:t>
      </w:r>
      <w:r>
        <w:t xml:space="preserve"> </w:t>
      </w:r>
      <w:r>
        <w:t xml:space="preserve">grammatical features generalise selectively</w:t>
      </w:r>
      <w:r>
        <w:t xml:space="preserve"> </w:t>
      </w:r>
      <w:r>
        <w:t xml:space="preserve">(Cho and Brennan 2025)</w:t>
      </w:r>
      <w:r>
        <w:t xml:space="preserve">. Reliable</w:t>
      </w:r>
      <w:r>
        <w:t xml:space="preserve"> </w:t>
      </w:r>
      <w:r>
        <w:t xml:space="preserve">cross-context transfer of linear EEG decoders is achievable</w:t>
      </w:r>
      <w:r>
        <w:t xml:space="preserve"> </w:t>
      </w:r>
      <w:r>
        <w:t xml:space="preserve">(Zhao et al. 2025)</w:t>
      </w:r>
      <w:r>
        <w:t xml:space="preserve">, which weighs</w:t>
      </w:r>
      <w:r>
        <w:t xml:space="preserve"> </w:t>
      </w:r>
      <w:r>
        <w:t xml:space="preserve">against reading the present null as simple insensitivity. Even so, failed</w:t>
      </w:r>
      <w:r>
        <w:t xml:space="preserve"> </w:t>
      </w:r>
      <w:r>
        <w:t xml:space="preserve">cross-classification is confounded with feature selection, since the sensors and</w:t>
      </w:r>
      <w:r>
        <w:t xml:space="preserve"> </w:t>
      </w:r>
      <w:r>
        <w:t xml:space="preserve">latencies that best separate grammatical from ungrammatical trials within a property need</w:t>
      </w:r>
      <w:r>
        <w:t xml:space="preserve"> </w:t>
      </w:r>
      <w:r>
        <w:t xml:space="preserve">not be those carrying a property-general signal</w:t>
      </w:r>
      <w:r>
        <w:t xml:space="preserve"> </w:t>
      </w:r>
      <w:r>
        <w:t xml:space="preserve">(Kaplan et al. 2015)</w:t>
      </w:r>
      <w:r>
        <w:t xml:space="preserve">. We therefore read the</w:t>
      </w:r>
      <w:r>
        <w:t xml:space="preserve"> </w:t>
      </w:r>
      <w:r>
        <w:t xml:space="preserve">result as consistent with construction-specific coding, without taking it to refute any</w:t>
      </w:r>
      <w:r>
        <w:t xml:space="preserve"> </w:t>
      </w:r>
      <w:r>
        <w:t xml:space="preserve">shared component. A Bayes-factor treatment of the decoding time-course would</w:t>
      </w:r>
      <w:r>
        <w:t xml:space="preserve"> </w:t>
      </w:r>
      <w:r>
        <w:t xml:space="preserve">allow such nulls to be quantified as well as reported</w:t>
      </w:r>
      <w:r>
        <w:t xml:space="preserve"> </w:t>
      </w:r>
      <w:r>
        <w:t xml:space="preserve">(Keysers et al. 2020; Teichmann 2022)</w:t>
      </w:r>
      <w:r>
        <w:t xml:space="preserve">.</w:t>
      </w:r>
    </w:p>
    <w:bookmarkEnd w:id="82"/>
    <w:bookmarkStart w:id="83" w:name="strength-of-evidence"/>
    <w:p>
      <w:pPr>
        <w:pStyle w:val="Heading2"/>
      </w:pPr>
      <w:r>
        <w:t xml:space="preserve">Strength of evidence</w:t>
      </w:r>
    </w:p>
    <w:p>
      <w:pPr>
        <w:pStyle w:val="FirstParagraph"/>
      </w:pPr>
      <w:r>
        <w:t xml:space="preserve">The conclusions below should be read on the graded scale set out under</w:t>
      </w:r>
      <w:r>
        <w:t xml:space="preserve"> </w:t>
      </w:r>
      <w:r>
        <w:rPr>
          <w:i/>
          <w:iCs/>
        </w:rPr>
        <w:t xml:space="preserve">Inference</w:t>
      </w:r>
      <w:r>
        <w:t xml:space="preserve"> </w:t>
      </w:r>
      <w:r>
        <w:t xml:space="preserve">(Makowski et al. 2019; Kruschke and Liddell 2018)</w:t>
      </w:r>
      <w:r>
        <w:t xml:space="preserve">. The gender-agreement learning effect is credible in every</w:t>
      </w:r>
      <w:r>
        <w:t xml:space="preserve"> </w:t>
      </w:r>
      <w:r>
        <w:t xml:space="preserve">cell but one under both random-effect structures. The between-language difference in how</w:t>
      </w:r>
      <w:r>
        <w:t xml:space="preserve"> </w:t>
      </w:r>
      <w:r>
        <w:t xml:space="preserve">that effect changed across the retention interval is credible in</w:t>
      </w:r>
      <w:r>
        <w:t xml:space="preserve"> </w:t>
      </w:r>
      <w:r>
        <w:t xml:space="preserve">five of the six cells, with</w:t>
      </w:r>
      <w:r>
        <w:t xml:space="preserve"> </w:t>
      </w:r>
      <w:r>
        <w:t xml:space="preserve">lower interval bounds close to zero in some of them (</w:t>
      </w:r>
      <w:hyperlink w:anchor="tbl-retention-free">
        <w:r>
          <w:rPr>
            <w:rStyle w:val="Hyperlink"/>
          </w:rPr>
          <w:t xml:space="preserve">Table 3</w:t>
        </w:r>
      </w:hyperlink>
      <w:r>
        <w:t xml:space="preserve">), so it is</w:t>
      </w:r>
      <w:r>
        <w:t xml:space="preserve"> </w:t>
      </w:r>
      <w:r>
        <w:t xml:space="preserve">credible on the stated criterion without being a large effect. The average departure</w:t>
      </w:r>
      <w:r>
        <w:t xml:space="preserve"> </w:t>
      </w:r>
      <w:r>
        <w:t xml:space="preserve">from the training trend at Session 6 is not. The learning effect in particular is</w:t>
      </w:r>
      <w:r>
        <w:t xml:space="preserve"> </w:t>
      </w:r>
      <w:r>
        <w:t xml:space="preserve">the most structure-independent result in the paper. The grammaticality</w:t>
      </w:r>
      <w:r>
        <w:t xml:space="preserve"> </w:t>
      </w:r>
      <m:oMath>
        <m:r>
          <m:rPr>
            <m:sty m:val="p"/>
          </m:rPr>
          <m:t>×</m:t>
        </m:r>
      </m:oMath>
      <w:r>
        <w:t xml:space="preserve"> </w:t>
      </w:r>
      <w:r>
        <w:t xml:space="preserve">session</w:t>
      </w:r>
      <w:r>
        <w:t xml:space="preserve"> </w:t>
      </w:r>
      <w:r>
        <w:t xml:space="preserve">interaction is credible in</w:t>
      </w:r>
      <w:r>
        <w:t xml:space="preserve"> </w:t>
      </w:r>
      <w:r>
        <w:t xml:space="preserve">5 of 6 cells under</w:t>
      </w:r>
      <w:r>
        <w:t xml:space="preserve"> </w:t>
      </w:r>
      <w:r>
        <w:t xml:space="preserve">the maximal random-effect structure and in the same</w:t>
      </w:r>
      <w:r>
        <w:t xml:space="preserve"> </w:t>
      </w:r>
      <w:r>
        <w:t xml:space="preserve">5 of 6</w:t>
      </w:r>
      <w:r>
        <w:t xml:space="preserve"> </w:t>
      </w:r>
      <w:r>
        <w:t xml:space="preserve">without the by-item slope. The verb–object number development and its</w:t>
      </w:r>
      <w:r>
        <w:t xml:space="preserve"> </w:t>
      </w:r>
      <w:r>
        <w:t xml:space="preserve">Norwegian-specific retention are better described as suggestive and warrant confirmation,</w:t>
      </w:r>
      <w:r>
        <w:t xml:space="preserve"> </w:t>
      </w:r>
      <w:r>
        <w:t xml:space="preserve">and the same holds for the differential-object-marking transfer interaction. It is credible in</w:t>
      </w:r>
      <w:r>
        <w:t xml:space="preserve"> </w:t>
      </w:r>
      <w:r>
        <w:t xml:space="preserve">2 of 6</w:t>
      </w:r>
      <w:r>
        <w:t xml:space="preserve"> </w:t>
      </w:r>
      <w:r>
        <w:t xml:space="preserve">cells, unchanged when the model is refitted under weakly informative priors, and it survived</w:t>
      </w:r>
      <w:r>
        <w:t xml:space="preserve"> </w:t>
      </w:r>
      <w:r>
        <w:t xml:space="preserve">the move to the maximal structure. It is nonetheless small, and it sits close enough to the</w:t>
      </w:r>
      <w:r>
        <w:t xml:space="preserve"> </w:t>
      </w:r>
      <w:r>
        <w:t xml:space="preserve">threshold that data-handling decisions taken before any model was fitted could bear on it.</w:t>
      </w:r>
      <w:r>
        <w:t xml:space="preserve"> </w:t>
      </w:r>
      <w:r>
        <w:t xml:space="preserve">One such decision applies here: four Session-3 datasets were mis-filtered at acquisition</w:t>
      </w:r>
      <w:r>
        <w:t xml:space="preserve"> </w:t>
      </w:r>
      <w:r>
        <w:t xml:space="preserve">and are excluded from every fit reported, an exclusion justified a priori and applied to</w:t>
      </w:r>
      <w:r>
        <w:t xml:space="preserve"> </w:t>
      </w:r>
      <w:r>
        <w:t xml:space="preserve">the whole grid. Because no full-sample refit was run, the effect of retaining those datasets</w:t>
      </w:r>
      <w:r>
        <w:t xml:space="preserve"> </w:t>
      </w:r>
      <w:r>
        <w:t xml:space="preserve">is not estimated.</w:t>
      </w:r>
    </w:p>
    <w:p>
      <w:pPr>
        <w:pStyle w:val="BodyText"/>
      </w:pPr>
      <w:r>
        <w:t xml:space="preserve">The decoding evidence grades separately, and unevenly across the three properties. Gender</w:t>
      </w:r>
      <w:r>
        <w:t xml:space="preserve"> </w:t>
      </w:r>
      <w:r>
        <w:t xml:space="preserve">agreement’s six clusters surviving the</w:t>
      </w:r>
      <w:r>
        <w:t xml:space="preserve"> </w:t>
      </w:r>
      <w:r>
        <w:t xml:space="preserve">confirmatory correction rest on the full permutation null, on a pre-stimulus baseline at</w:t>
      </w:r>
      <w:r>
        <w:t xml:space="preserve"> </w:t>
      </w:r>
      <w:r>
        <w:t xml:space="preserve">chance, and are secure on that basis. Differential object marking’s</w:t>
      </w:r>
      <w:r>
        <w:t xml:space="preserve"> </w:t>
      </w:r>
      <w:r>
        <w:t xml:space="preserve">two clusters are not comparable evidence: both begin</w:t>
      </w:r>
      <w:r>
        <w:t xml:space="preserve"> </w:t>
      </w:r>
      <w:r>
        <w:t xml:space="preserve">before the critical word and its highest AUC falls in the baseline, so they bound the</w:t>
      </w:r>
      <w:r>
        <w:t xml:space="preserve"> </w:t>
      </w:r>
      <w:r>
        <w:t xml:space="preserve">separability a violation response could contribute without establishing that it</w:t>
      </w:r>
      <w:r>
        <w:t xml:space="preserve"> </w:t>
      </w:r>
      <w:r>
        <w:t xml:space="preserve">contributes any. The session-resolved breakdowns enter no correction family and are graded</w:t>
      </w:r>
      <w:r>
        <w:t xml:space="preserve"> </w:t>
      </w:r>
      <w:r>
        <w:t xml:space="preserve">no higher than descriptive. The</w:t>
      </w:r>
      <w:r>
        <w:t xml:space="preserve"> </w:t>
      </w:r>
      <w:r>
        <w:t xml:space="preserve">near-absence of a gender-agreement transfer interaction in the ERP signal is a well-estimated</w:t>
      </w:r>
      <w:r>
        <w:t xml:space="preserve"> </w:t>
      </w:r>
      <w:r>
        <w:t xml:space="preserve">value near zero, though it remains conditional on the prior and the</w:t>
      </w:r>
      <w:r>
        <w:t xml:space="preserve"> </w:t>
      </w:r>
      <w:r>
        <w:t xml:space="preserve">interval width. The verb–object number and differential-object-marking</w:t>
      </w:r>
      <w:r>
        <w:t xml:space="preserve"> </w:t>
      </w:r>
      <w:r>
        <w:t xml:space="preserve">signals therefore remain provisional, and the gender-agreement pattern is the secure</w:t>
      </w:r>
      <w:r>
        <w:t xml:space="preserve"> </w:t>
      </w:r>
      <w:r>
        <w:t xml:space="preserve">result. The property-by-property reading is the account the heterogeneity supports, short</w:t>
      </w:r>
      <w:r>
        <w:t xml:space="preserve"> </w:t>
      </w:r>
      <w:r>
        <w:t xml:space="preserve">of a decisive refutation of wholesale transfer, which a single study cannot deliver. The transfer</w:t>
      </w:r>
      <w:r>
        <w:t xml:space="preserve"> </w:t>
      </w:r>
      <w:r>
        <w:t xml:space="preserve">interactions that remain near zero are best understood as</w:t>
      </w:r>
      <w:r>
        <w:t xml:space="preserve"> </w:t>
      </w:r>
      <w:r>
        <w:t xml:space="preserve">absence of evidence. They do not demonstrate absence. We did not adopt an</w:t>
      </w:r>
      <w:r>
        <w:t xml:space="preserve"> </w:t>
      </w:r>
      <w:r>
        <w:t xml:space="preserve">equivalence (region-of-practical-equivalence) criterion, so a precisely estimated</w:t>
      </w:r>
      <w:r>
        <w:t xml:space="preserve"> </w:t>
      </w:r>
      <w:r>
        <w:t xml:space="preserve">coefficient whose direction is undetermined (</w:t>
      </w:r>
      <m:oMath>
        <m:sSub>
          <m:e>
            <m:r>
              <m:t>p</m:t>
            </m:r>
          </m:e>
          <m:sub>
            <m:r>
              <m:t>d</m:t>
            </m:r>
          </m:sub>
        </m:sSub>
        <m:r>
          <m:rPr>
            <m:sty m:val="p"/>
          </m:rPr>
          <m:t>≈</m:t>
        </m:r>
        <m:r>
          <m:t>.50</m:t>
        </m:r>
      </m:oMath>
      <w:r>
        <w:t xml:space="preserve">) marks a well-localised null</w:t>
      </w:r>
      <w:r>
        <w:t xml:space="preserve"> </w:t>
      </w:r>
      <w:r>
        <w:t xml:space="preserve">estimate</w:t>
      </w:r>
      <w:r>
        <w:t xml:space="preserve"> </w:t>
      </w:r>
      <w:r>
        <w:t xml:space="preserve">(Amrhein et al. 2019; Kruschke and Liddell 2018)</w:t>
      </w:r>
      <w:r>
        <w:t xml:space="preserve">.</w:t>
      </w:r>
    </w:p>
    <w:bookmarkEnd w:id="83"/>
    <w:bookmarkStart w:id="84" w:name="limitations-and-future-directions"/>
    <w:p>
      <w:pPr>
        <w:pStyle w:val="Heading2"/>
      </w:pPr>
      <w:r>
        <w:t xml:space="preserve">Limitations and future directions</w:t>
      </w:r>
    </w:p>
    <w:p>
      <w:pPr>
        <w:pStyle w:val="FirstParagraph"/>
      </w:pPr>
      <w:r>
        <w:t xml:space="preserve">The strongest constraint on what this design can conclude is how narrowly the two families</w:t>
      </w:r>
      <w:r>
        <w:t xml:space="preserve"> </w:t>
      </w:r>
      <w:r>
        <w:t xml:space="preserve">of account are separated by it. Only gender agreement has a first-language analogue, so</w:t>
      </w:r>
      <w:r>
        <w:t xml:space="preserve"> </w:t>
      </w:r>
      <w:r>
        <w:t xml:space="preserve">only gender agreement places the two miniature languages in different relations to a prior</w:t>
      </w:r>
      <w:r>
        <w:t xml:space="preserve"> </w:t>
      </w:r>
      <w:r>
        <w:t xml:space="preserve">grammar. The other two properties are novel to Norwegian and English alike and serve as</w:t>
      </w:r>
      <w:r>
        <w:t xml:space="preserve"> </w:t>
      </w:r>
      <w:r>
        <w:t xml:space="preserve">controls. The wholesale-versus-property-by-property</w:t>
      </w:r>
      <w:r>
        <w:t xml:space="preserve"> </w:t>
      </w:r>
      <w:r>
        <w:t xml:space="preserve">contrast therefore rests on a single dissociating property, which is thin ground for a</w:t>
      </w:r>
      <w:r>
        <w:t xml:space="preserve"> </w:t>
      </w:r>
      <w:r>
        <w:t xml:space="preserve">claim about the unit of transfer, however the other evidence falls. A design contrasting</w:t>
      </w:r>
      <w:r>
        <w:t xml:space="preserve"> </w:t>
      </w:r>
      <w:r>
        <w:t xml:space="preserve">two candidate source grammars, or several properties each aligned with a different prior</w:t>
      </w:r>
      <w:r>
        <w:t xml:space="preserve"> </w:t>
      </w:r>
      <w:r>
        <w:t xml:space="preserve">language, would bear the weight this one is asked to. The heterogeneity we do observe, which runs across properties and measures and includes a</w:t>
      </w:r>
      <w:r>
        <w:t xml:space="preserve"> </w:t>
      </w:r>
      <w:r>
        <w:t xml:space="preserve">reversal of sign, is more readily</w:t>
      </w:r>
      <w:r>
        <w:t xml:space="preserve"> </w:t>
      </w:r>
      <w:r>
        <w:t xml:space="preserve">accommodated by a property-by-property account than by a wholesale one, but consistency</w:t>
      </w:r>
      <w:r>
        <w:t xml:space="preserve"> </w:t>
      </w:r>
      <w:r>
        <w:t xml:space="preserve">with that family is not a decisive test between them. The two</w:t>
      </w:r>
      <w:r>
        <w:t xml:space="preserve"> </w:t>
      </w:r>
      <w:r>
        <w:t xml:space="preserve">electrophysiological modulations on properties with no first-language analogue are</w:t>
      </w:r>
      <w:r>
        <w:t xml:space="preserve"> </w:t>
      </w:r>
      <w:r>
        <w:t xml:space="preserve">predicted by neither.</w:t>
      </w:r>
    </w:p>
    <w:p>
      <w:pPr>
        <w:pStyle w:val="BodyText"/>
      </w:pPr>
      <w:r>
        <w:t xml:space="preserve">The artificial-language design also buys experimental control at some cost to ecological</w:t>
      </w:r>
      <w:r>
        <w:t xml:space="preserve"> </w:t>
      </w:r>
      <w:r>
        <w:t xml:space="preserve">validity, and three further features of it constrain the present conclusions. First, the properties</w:t>
      </w:r>
      <w:r>
        <w:t xml:space="preserve"> </w:t>
      </w:r>
      <w:r>
        <w:t xml:space="preserve">enter at different sessions (gender agreement from Session 2, differential object marking</w:t>
      </w:r>
      <w:r>
        <w:t xml:space="preserve"> </w:t>
      </w:r>
      <w:r>
        <w:t xml:space="preserve">from Session 3, verb–object number agreement from Session 4), so a property’s identity is</w:t>
      </w:r>
      <w:r>
        <w:t xml:space="preserve"> </w:t>
      </w:r>
      <w:r>
        <w:t xml:space="preserve">confounded with its amount of exposure. Cross-property comparisons of learning and transfer</w:t>
      </w:r>
      <w:r>
        <w:t xml:space="preserve"> </w:t>
      </w:r>
      <w:r>
        <w:t xml:space="preserve">are therefore not exposure-matched, and the weaker signatures of the later-introduced</w:t>
      </w:r>
      <w:r>
        <w:t xml:space="preserve"> </w:t>
      </w:r>
      <w:r>
        <w:t xml:space="preserve">properties are in part a difference in training time. An exposure-matched design that introduced the</w:t>
      </w:r>
      <w:r>
        <w:t xml:space="preserve"> </w:t>
      </w:r>
      <w:r>
        <w:t xml:space="preserve">properties in counterbalanced order would separate the two. Second, the additional</w:t>
      </w:r>
      <w:r>
        <w:t xml:space="preserve"> </w:t>
      </w:r>
      <w:r>
        <w:t xml:space="preserve">gendered or case-marking languages noted under</w:t>
      </w:r>
      <w:r>
        <w:t xml:space="preserve"> </w:t>
      </w:r>
      <w:r>
        <w:rPr>
          <w:i/>
          <w:iCs/>
        </w:rPr>
        <w:t xml:space="preserve">Participants</w:t>
      </w:r>
      <w:r>
        <w:t xml:space="preserve"> </w:t>
      </w:r>
      <w:r>
        <w:t xml:space="preserve">were not screened out.</w:t>
      </w:r>
      <w:r>
        <w:t xml:space="preserve"> </w:t>
      </w:r>
      <w:r>
        <w:t xml:space="preserve">Such experience could support the gender or marking structures, and it is only partially</w:t>
      </w:r>
      <w:r>
        <w:t xml:space="preserve"> </w:t>
      </w:r>
      <w:r>
        <w:t xml:space="preserve">absorbed by the L1-dominance covariate, which indexes the standing of the first language</w:t>
      </w:r>
      <w:r>
        <w:t xml:space="preserve"> </w:t>
      </w:r>
      <w:r>
        <w:t xml:space="preserve">without capturing the breadth of the repertoire, and which moreover enters the ERP models</w:t>
      </w:r>
      <w:r>
        <w:t xml:space="preserve"> </w:t>
      </w:r>
      <w:r>
        <w:t xml:space="preserve">only. The behavioural models have no such control, so the</w:t>
      </w:r>
      <w:r>
        <w:t xml:space="preserve"> </w:t>
      </w:r>
      <w:r>
        <w:t xml:space="preserve">behavioural gender advantage is the estimate most exposed to it. Third, effects are</w:t>
      </w:r>
      <w:r>
        <w:t xml:space="preserve"> </w:t>
      </w:r>
      <w:r>
        <w:t xml:space="preserve">quantified as mean amplitudes in fixed latency windows, with no peak or topographic</w:t>
      </w:r>
      <w:r>
        <w:t xml:space="preserve"> </w:t>
      </w:r>
      <w:r>
        <w:t xml:space="preserve">decomposition. The absence of a native-speaker ERP baseline also means that the results</w:t>
      </w:r>
      <w:r>
        <w:t xml:space="preserve"> </w:t>
      </w:r>
      <w:r>
        <w:t xml:space="preserve">speak to the development of the grammaticality response and leave its native-likeness</w:t>
      </w:r>
      <w:r>
        <w:t xml:space="preserve"> </w:t>
      </w:r>
      <w:r>
        <w:t xml:space="preserve">untested. A</w:t>
      </w:r>
      <w:r>
        <w:t xml:space="preserve"> </w:t>
      </w:r>
      <w:r>
        <w:t xml:space="preserve">native-speaker baseline would test whether the developing response converges on the native</w:t>
      </w:r>
      <w:r>
        <w:t xml:space="preserve"> </w:t>
      </w:r>
      <w:r>
        <w:t xml:space="preserve">pattern, and a longer interval whether the divergence between the languages at retention</w:t>
      </w:r>
      <w:r>
        <w:t xml:space="preserve"> </w:t>
      </w:r>
      <w:r>
        <w:t xml:space="preserve">widens. How far the priors</w:t>
      </w:r>
      <w:r>
        <w:t xml:space="preserve"> </w:t>
      </w:r>
      <w:r>
        <w:t xml:space="preserve">and the interval widths condition the transfer interactions that remain near zero is</w:t>
      </w:r>
      <w:r>
        <w:t xml:space="preserve"> </w:t>
      </w:r>
      <w:r>
        <w:t xml:space="preserve">addressed under</w:t>
      </w:r>
      <w:r>
        <w:t xml:space="preserve"> </w:t>
      </w:r>
      <w:r>
        <w:rPr>
          <w:i/>
          <w:iCs/>
        </w:rPr>
        <w:t xml:space="preserve">Strength of evidence</w:t>
      </w:r>
      <w:r>
        <w:t xml:space="preserve">.</w:t>
      </w:r>
    </w:p>
    <w:p>
      <w:pPr>
        <w:pStyle w:val="BodyText"/>
      </w:pPr>
      <w:r>
        <w:t xml:space="preserve">Two features of the sample bear on the retention inference, and a third on every</w:t>
      </w:r>
      <w:r>
        <w:t xml:space="preserve"> </w:t>
      </w:r>
      <w:r>
        <w:t xml:space="preserve">between-group comparison. Of the 65 learners enrolled,</w:t>
      </w:r>
      <w:r>
        <w:t xml:space="preserve"> </w:t>
      </w:r>
      <w:r>
        <w:t xml:space="preserve">36 attended the Session 6 retention test, so the Session 6</w:t>
      </w:r>
      <w:r>
        <w:t xml:space="preserve"> </w:t>
      </w:r>
      <w:r>
        <w:t xml:space="preserve">estimates draw on the returners alone while the training trend draws on every session,</w:t>
      </w:r>
      <w:r>
        <w:t xml:space="preserve"> </w:t>
      </w:r>
      <w:r>
        <w:t xml:space="preserve">and the models treat the missing sessions as ignorable given each participant’s random</w:t>
      </w:r>
      <w:r>
        <w:t xml:space="preserve"> </w:t>
      </w:r>
      <w:r>
        <w:t xml:space="preserve">effects. Returners may differ from those who left, and a retention estimate conditioned</w:t>
      </w:r>
      <w:r>
        <w:t xml:space="preserve"> </w:t>
      </w:r>
      <w:r>
        <w:t xml:space="preserve">on returning need not describe the cohort that began. The 80% training gate described</w:t>
      </w:r>
      <w:r>
        <w:t xml:space="preserve"> </w:t>
      </w:r>
      <w:r>
        <w:t xml:space="preserve">under</w:t>
      </w:r>
      <w:r>
        <w:t xml:space="preserve"> </w:t>
      </w:r>
      <w:r>
        <w:rPr>
          <w:i/>
          <w:iCs/>
        </w:rPr>
        <w:t xml:space="preserve">Transparency, preregistration and analysis status</w:t>
      </w:r>
      <w:r>
        <w:t xml:space="preserve"> </w:t>
      </w:r>
      <w:r>
        <w:t xml:space="preserve">adds a second selection, since</w:t>
      </w:r>
      <w:r>
        <w:t xml:space="preserve"> </w:t>
      </w:r>
      <w:r>
        <w:t xml:space="preserve">it conditions which participant-sessions contribute data on performance in that session,</w:t>
      </w:r>
      <w:r>
        <w:t xml:space="preserve"> </w:t>
      </w:r>
      <w:r>
        <w:t xml:space="preserve">and its outcomes are folded into the attendance counts. Assignment to language followed</w:t>
      </w:r>
      <w:r>
        <w:t xml:space="preserve"> </w:t>
      </w:r>
      <w:r>
        <w:t xml:space="preserve">a fixed rule on the participant identifier, so the groups were not formed by random</w:t>
      </w:r>
      <w:r>
        <w:t xml:space="preserve"> </w:t>
      </w:r>
      <w:r>
        <w:t xml:space="preserve">allocation, and the between-group comparisons carry the uncertainty that attends a</w:t>
      </w:r>
      <w:r>
        <w:t xml:space="preserve"> </w:t>
      </w:r>
      <w:r>
        <w:t xml:space="preserve">non-randomised design.</w:t>
      </w:r>
    </w:p>
    <w:p>
      <w:pPr>
        <w:pStyle w:val="BodyText"/>
      </w:pPr>
      <w:r>
        <w:t xml:space="preserve">The behavioural judgement task also lacks a stable cross-participant item factor, so item</w:t>
      </w:r>
      <w:r>
        <w:t xml:space="preserve"> </w:t>
      </w:r>
      <w:r>
        <w:t xml:space="preserve">variance is absorbed into the residual for accuracy (though not for the ERP models, which</w:t>
      </w:r>
      <w:r>
        <w:t xml:space="preserve"> </w:t>
      </w:r>
      <w:r>
        <w:t xml:space="preserve">use fixed sentence frames). Cognitive individual-difference predictors (working memory,</w:t>
      </w:r>
      <w:r>
        <w:t xml:space="preserve"> </w:t>
      </w:r>
      <w:r>
        <w:t xml:space="preserve">inhibitory control, statistical-learning ability) are excluded here by design and</w:t>
      </w:r>
      <w:r>
        <w:t xml:space="preserve"> </w:t>
      </w:r>
      <w:r>
        <w:t xml:space="preserve">analysed in a companion paper</w:t>
      </w:r>
      <w:r>
        <w:t xml:space="preserve"> </w:t>
      </w:r>
      <w:r>
        <w:t xml:space="preserve">(Bernabeu et al. 2026)</w:t>
      </w:r>
      <w:r>
        <w:t xml:space="preserve">, keeping the present focus on the</w:t>
      </w:r>
      <w:r>
        <w:t xml:space="preserve"> </w:t>
      </w:r>
      <w:r>
        <w:t xml:space="preserve">linguistic transfer signal.</w:t>
      </w:r>
      <w:r>
        <w:t xml:space="preserve"> </w:t>
      </w:r>
      <w:r>
        <w:t xml:space="preserve">A natural further step for the decoding strand is</w:t>
      </w:r>
      <w:r>
        <w:t xml:space="preserve"> </w:t>
      </w:r>
      <w:r>
        <w:t xml:space="preserve">representational similarity analysis</w:t>
      </w:r>
      <w:r>
        <w:t xml:space="preserve"> </w:t>
      </w:r>
      <w:r>
        <w:t xml:space="preserve">(Kriegeskorte et al. 2008)</w:t>
      </w:r>
      <w:r>
        <w:t xml:space="preserve">, which would characterise</w:t>
      </w:r>
      <w:r>
        <w:t xml:space="preserve"> </w:t>
      </w:r>
      <w:r>
        <w:t xml:space="preserve">what the distributed pattern represents: whether the same neural geometry that separates</w:t>
      </w:r>
      <w:r>
        <w:t xml:space="preserve"> </w:t>
      </w:r>
      <w:r>
        <w:t xml:space="preserve">grammatical from ungrammatical trials in one property recurs in another. That would be a</w:t>
      </w:r>
      <w:r>
        <w:t xml:space="preserve"> </w:t>
      </w:r>
      <w:r>
        <w:t xml:space="preserve">stronger test of shared representation than the cross-property generalisation reported</w:t>
      </w:r>
      <w:r>
        <w:t xml:space="preserve"> </w:t>
      </w:r>
      <w:r>
        <w:t xml:space="preserve">here.</w:t>
      </w:r>
    </w:p>
    <w:bookmarkEnd w:id="84"/>
    <w:bookmarkStart w:id="85" w:name="conclusion"/>
    <w:p>
      <w:pPr>
        <w:pStyle w:val="Heading2"/>
      </w:pPr>
      <w:r>
        <w:t xml:space="preserve">Conclusion</w:t>
      </w:r>
    </w:p>
    <w:p>
      <w:pPr>
        <w:pStyle w:val="FirstParagraph"/>
      </w:pPr>
      <w:r>
        <w:t xml:space="preserve">Tracked from the first post-training session to a post-consolidation retention test,</w:t>
      </w:r>
      <w:r>
        <w:t xml:space="preserve"> </w:t>
      </w:r>
      <w:r>
        <w:t xml:space="preserve">three morphosyntactic properties followed three different trajectories, and the one</w:t>
      </w:r>
      <w:r>
        <w:t xml:space="preserve"> </w:t>
      </w:r>
      <w:r>
        <w:t xml:space="preserve">advantage that tracked a first language was confined to the one property that had a</w:t>
      </w:r>
      <w:r>
        <w:t xml:space="preserve"> </w:t>
      </w:r>
      <w:r>
        <w:t xml:space="preserve">first-language analogue. On these data, transfer is better described as</w:t>
      </w:r>
      <w:r>
        <w:t xml:space="preserve"> </w:t>
      </w:r>
      <w:r>
        <w:t xml:space="preserve">property-specific than as the projection of a whole grammar. We offer that conclusion</w:t>
      </w:r>
      <w:r>
        <w:t xml:space="preserve"> </w:t>
      </w:r>
      <w:r>
        <w:t xml:space="preserve">provisionally. Only gender agreement dissociates the two</w:t>
      </w:r>
      <w:r>
        <w:t xml:space="preserve"> </w:t>
      </w:r>
      <w:r>
        <w:t xml:space="preserve">accounts here, and under the design’s own source selection, the wholesale alternative is</w:t>
      </w:r>
      <w:r>
        <w:t xml:space="preserve"> </w:t>
      </w:r>
      <w:r>
        <w:t xml:space="preserve">disfavoured more by the advantage’s growth over sessions than by its location.</w:t>
      </w:r>
    </w:p>
    <w:bookmarkEnd w:id="85"/>
    <w:bookmarkEnd w:id="86"/>
    <w:bookmarkStart w:id="89" w:name="data-and-code-availability"/>
    <w:p>
      <w:pPr>
        <w:pStyle w:val="Heading1"/>
      </w:pPr>
      <w:r>
        <w:t xml:space="preserve">Data and code availability</w:t>
      </w:r>
    </w:p>
    <w:p>
      <w:pPr>
        <w:pStyle w:val="FirstParagraph"/>
      </w:pPr>
      <w:r>
        <w:t xml:space="preserve">Data extraction, model fitting and reporting are fully scripted as a reproducible</w:t>
      </w:r>
      <w:r>
        <w:t xml:space="preserve"> </w:t>
      </w:r>
      <w:r>
        <w:t xml:space="preserve">research compendium</w:t>
      </w:r>
      <w:r>
        <w:t xml:space="preserve"> </w:t>
      </w:r>
      <w:r>
        <w:t xml:space="preserve">(Marwick et al. 2018)</w:t>
      </w:r>
      <w:r>
        <w:t xml:space="preserve">. Models were fitted on High-Performance Computing</w:t>
      </w:r>
      <w:r>
        <w:t xml:space="preserve"> </w:t>
      </w:r>
      <w:r>
        <w:t xml:space="preserve">(HPC) clusters at Sigma2 (Norway) and the University of Oxford’s Advanced Research</w:t>
      </w:r>
      <w:r>
        <w:t xml:space="preserve"> </w:t>
      </w:r>
      <w:r>
        <w:t xml:space="preserve">Computing facility, on Linux (x86_64-pc-linux-gnu)</w:t>
      </w:r>
      <w:r>
        <w:t xml:space="preserve"> </w:t>
      </w:r>
      <w:r>
        <w:t xml:space="preserve">under R 4.5.1</w:t>
      </w:r>
      <w:r>
        <w:t xml:space="preserve"> </w:t>
      </w:r>
      <w:r>
        <w:t xml:space="preserve">(R Core Team 2025)</w:t>
      </w:r>
      <w:r>
        <w:t xml:space="preserve">, with</w:t>
      </w:r>
      <w:r>
        <w:t xml:space="preserve"> </w:t>
      </w:r>
      <w:r>
        <w:rPr>
          <w:rStyle w:val="VerbatimChar"/>
        </w:rPr>
        <w:t xml:space="preserve">brms</w:t>
      </w:r>
      <w:r>
        <w:t xml:space="preserve"> </w:t>
      </w:r>
      <w:r>
        <w:t xml:space="preserve">2.23.0</w:t>
      </w:r>
      <w:r>
        <w:t xml:space="preserve"> </w:t>
      </w:r>
      <w:r>
        <w:t xml:space="preserve">(Bürkner 2017)</w:t>
      </w:r>
      <w:r>
        <w:t xml:space="preserve"> </w:t>
      </w:r>
      <w:r>
        <w:t xml:space="preserve">driving</w:t>
      </w:r>
      <w:r>
        <w:t xml:space="preserve"> </w:t>
      </w:r>
      <w:r>
        <w:t xml:space="preserve">CmdStan 2.39.0 through the</w:t>
      </w:r>
      <w:r>
        <w:t xml:space="preserve"> </w:t>
      </w:r>
      <w:r>
        <w:rPr>
          <w:rStyle w:val="VerbatimChar"/>
        </w:rPr>
        <w:t xml:space="preserve">cmdstanr</w:t>
      </w:r>
      <w:r>
        <w:t xml:space="preserve"> </w:t>
      </w:r>
      <w:r>
        <w:t xml:space="preserve">0.9.0 backend. The clusters</w:t>
      </w:r>
      <w:r>
        <w:t xml:space="preserve"> </w:t>
      </w:r>
      <w:r>
        <w:t xml:space="preserve">supply that stack through environment modules, with no container. The compiler settings</w:t>
      </w:r>
      <w:r>
        <w:t xml:space="preserve"> </w:t>
      </w:r>
      <w:r>
        <w:t xml:space="preserve">used on those clusters are recorded in the repository and do not affect the posterior draws.</w:t>
      </w:r>
      <w:r>
        <w:t xml:space="preserve"> </w:t>
      </w:r>
      <w:r>
        <w:t xml:space="preserve">Every version given here comes from the provenance record the fitting run wrote. Model</w:t>
      </w:r>
      <w:r>
        <w:t xml:space="preserve"> </w:t>
      </w:r>
      <w:r>
        <w:t xml:space="preserve">fitting used the fixed seed 20260607, set in the shared</w:t>
      </w:r>
      <w:r>
        <w:t xml:space="preserve"> </w:t>
      </w:r>
      <w:r>
        <w:t xml:space="preserve">Bayesian settings and recorded in that provenance record. The decoding permutations used</w:t>
      </w:r>
      <w:r>
        <w:t xml:space="preserve"> </w:t>
      </w:r>
      <w:r>
        <w:t xml:space="preserve">the seed 20260702, exported by the job script that</w:t>
      </w:r>
      <w:r>
        <w:t xml:space="preserve"> </w:t>
      </w:r>
      <w:r>
        <w:t xml:space="preserve">runs them and recorded by that script beside the decoding artefacts.</w:t>
      </w:r>
      <w:r>
        <w:t xml:space="preserve"> </w:t>
      </w:r>
      <w:r>
        <w:t xml:space="preserve">This manuscript reads only the script-generated summary tables,</w:t>
      </w:r>
      <w:r>
        <w:t xml:space="preserve"> </w:t>
      </w:r>
      <w:r>
        <w:t xml:space="preserve">so every statistic in the Results is populated from them and none is transcribed by hand.</w:t>
      </w:r>
      <w:r>
        <w:t xml:space="preserve"> </w:t>
      </w:r>
      <w:r>
        <w:t xml:space="preserve">The pooled posterior summaries, retention contrasts, convergence diagnostics, sample-flow</w:t>
      </w:r>
      <w:r>
        <w:t xml:space="preserve"> </w:t>
      </w:r>
      <w:r>
        <w:t xml:space="preserve">counts and decoding time-courses that populate the figures and tables are all published</w:t>
      </w:r>
      <w:r>
        <w:t xml:space="preserve"> </w:t>
      </w:r>
      <w:r>
        <w:t xml:space="preserve">with the repository. The decoding artefacts include the participant count behind every</w:t>
      </w:r>
      <w:r>
        <w:t xml:space="preserve"> </w:t>
      </w:r>
      <w:r>
        <w:t xml:space="preserve">per-cell score. Figures are drawn with</w:t>
      </w:r>
      <w:r>
        <w:t xml:space="preserve"> </w:t>
      </w:r>
      <w:r>
        <w:rPr>
          <w:rStyle w:val="VerbatimChar"/>
        </w:rPr>
        <w:t xml:space="preserve">ggplot2</w:t>
      </w:r>
      <w:r>
        <w:t xml:space="preserve"> </w:t>
      </w:r>
      <w:r>
        <w:t xml:space="preserve">(Wickham 2016)</w:t>
      </w:r>
      <w:r>
        <w:t xml:space="preserve"> </w:t>
      </w:r>
      <w:r>
        <w:t xml:space="preserve">using the theme and colour system of</w:t>
      </w:r>
      <w:r>
        <w:t xml:space="preserve"> </w:t>
      </w:r>
      <w:r>
        <w:rPr>
          <w:rStyle w:val="VerbatimChar"/>
        </w:rPr>
        <w:t xml:space="preserve">depictr</w:t>
      </w:r>
      <w:r>
        <w:t xml:space="preserve"> </w:t>
      </w:r>
      <w:r>
        <w:t xml:space="preserve">(Bernabeu 2026a)</w:t>
      </w:r>
      <w:r>
        <w:t xml:space="preserve">, whose default qualitative</w:t>
      </w:r>
      <w:r>
        <w:t xml:space="preserve"> </w:t>
      </w:r>
      <w:r>
        <w:t xml:space="preserve">palette is the colourblind-safe Okabe–Ito set. The companion paper</w:t>
      </w:r>
      <w:r>
        <w:t xml:space="preserve"> </w:t>
      </w:r>
      <w:r>
        <w:t xml:space="preserve">(Bernabeu et al. 2026)</w:t>
      </w:r>
      <w:r>
        <w:t xml:space="preserve"> </w:t>
      </w:r>
      <w:r>
        <w:t xml:space="preserve">uses the same system, so the two share one visual identity. The literature counts in</w:t>
      </w:r>
      <w:r>
        <w:t xml:space="preserve"> </w:t>
      </w:r>
      <w:hyperlink w:anchor="fig-literature">
        <w:r>
          <w:rPr>
            <w:rStyle w:val="Hyperlink"/>
          </w:rPr>
          <w:t xml:space="preserve">Figure 1</w:t>
        </w:r>
      </w:hyperlink>
      <w:r>
        <w:t xml:space="preserve"> </w:t>
      </w:r>
      <w:r>
        <w:t xml:space="preserve">were retrieved from the Scopus Search API with</w:t>
      </w:r>
      <w:r>
        <w:t xml:space="preserve"> </w:t>
      </w:r>
      <w:r>
        <w:rPr>
          <w:rStyle w:val="VerbatimChar"/>
        </w:rPr>
        <w:t xml:space="preserve">scopusflow</w:t>
      </w:r>
      <w:r>
        <w:t xml:space="preserve"> </w:t>
      </w:r>
      <w:r>
        <w:t xml:space="preserve">(Bernabeu 2026b)</w:t>
      </w:r>
      <w:r>
        <w:t xml:space="preserve">, which records</w:t>
      </w:r>
      <w:r>
        <w:t xml:space="preserve"> </w:t>
      </w:r>
      <w:r>
        <w:t xml:space="preserve">the exact query beside each count, so the search is reproducible from the repository. Its</w:t>
      </w:r>
      <w:r>
        <w:t xml:space="preserve"> </w:t>
      </w:r>
      <w:r>
        <w:t xml:space="preserve">coverage limits are stated in the figure caption. All extraction, modelling and reporting</w:t>
      </w:r>
      <w:r>
        <w:t xml:space="preserve"> </w:t>
      </w:r>
      <w:r>
        <w:t xml:space="preserve">scripts are archived with the data in the project’s Open Science Framework repository at</w:t>
      </w:r>
      <w:r>
        <w:t xml:space="preserve"> </w:t>
      </w:r>
      <w:hyperlink r:id="rId87">
        <w:r>
          <w:rPr>
            <w:rStyle w:val="Hyperlink"/>
          </w:rPr>
          <w:t xml:space="preserve">https://osf.io/tq7vy</w:t>
        </w:r>
      </w:hyperlink>
      <w:r>
        <w:t xml:space="preserve">, together with the environment</w:t>
      </w:r>
      <w:r>
        <w:t xml:space="preserve"> </w:t>
      </w:r>
      <w:r>
        <w:t xml:space="preserve">specification: an</w:t>
      </w:r>
      <w:r>
        <w:t xml:space="preserve"> </w:t>
      </w:r>
      <w:r>
        <w:rPr>
          <w:rStyle w:val="VerbatimChar"/>
        </w:rPr>
        <w:t xml:space="preserve">renv</w:t>
      </w:r>
      <w:r>
        <w:t xml:space="preserve"> </w:t>
      </w:r>
      <w:r>
        <w:t xml:space="preserve">lockfile pinning the R packages of the fitting library, and a</w:t>
      </w:r>
      <w:r>
        <w:t xml:space="preserve"> </w:t>
      </w:r>
      <w:r>
        <w:t xml:space="preserve">provenance record written at fit time. That record holds the software versions in force</w:t>
      </w:r>
      <w:r>
        <w:t xml:space="preserve"> </w:t>
      </w:r>
      <w:r>
        <w:t xml:space="preserve">when the ERP models were fitted, which is what the versions above are read from. The</w:t>
      </w:r>
      <w:r>
        <w:t xml:space="preserve"> </w:t>
      </w:r>
      <w:r>
        <w:t xml:space="preserve">accuracy models and the decoding analyses run in the same cluster environment under</w:t>
      </w:r>
      <w:r>
        <w:t xml:space="preserve"> </w:t>
      </w:r>
      <w:r>
        <w:t xml:space="preserve">separate scripts. The accuracy script records the R, brms, cmdstanr and CmdStan versions</w:t>
      </w:r>
      <w:r>
        <w:t xml:space="preserve"> </w:t>
      </w:r>
      <w:r>
        <w:t xml:space="preserve">of each fit in the pooled fit metadata that accompanies the results, and the decoding job</w:t>
      </w:r>
      <w:r>
        <w:t xml:space="preserve"> </w:t>
      </w:r>
      <w:r>
        <w:t xml:space="preserve">records its seed and permutation settings beside the decoding artefacts. The raw</w:t>
      </w:r>
      <w:r>
        <w:t xml:space="preserve"> </w:t>
      </w:r>
      <w:r>
        <w:t xml:space="preserve">electroencephalographic recordings, too large to distribute through an ordinary</w:t>
      </w:r>
      <w:r>
        <w:t xml:space="preserve"> </w:t>
      </w:r>
      <w:r>
        <w:t xml:space="preserve">version-control repository, are held in the same Open Science Framework repository as</w:t>
      </w:r>
      <w:r>
        <w:t xml:space="preserve"> </w:t>
      </w:r>
      <w:r>
        <w:t xml:space="preserve">the code. The paper’s analysis code and other open materials are also available at</w:t>
      </w:r>
      <w:r>
        <w:t xml:space="preserve"> </w:t>
      </w:r>
      <w:hyperlink r:id="rId88">
        <w:r>
          <w:rPr>
            <w:rStyle w:val="Hyperlink"/>
          </w:rPr>
          <w:t xml:space="preserve">https://github.com/pablobernabeu/LESS-morphosyntactic-transfer</w:t>
        </w:r>
      </w:hyperlink>
      <w:r>
        <w:t xml:space="preserve">.</w:t>
      </w:r>
    </w:p>
    <w:bookmarkEnd w:id="89"/>
    <w:bookmarkStart w:id="90"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Code (version 2.1,</w:t>
      </w:r>
      <w:r>
        <w:t xml:space="preserve"> </w:t>
      </w:r>
      <w:r>
        <w:t xml:space="preserve">Anthropic), running primarily the Claude Opus and Claude Fable models, in order to</w:t>
      </w:r>
      <w:r>
        <w:t xml:space="preserve"> </w:t>
      </w:r>
      <w:r>
        <w:t xml:space="preserve">support the research, the analyses and the writing. After using this tool, the authors</w:t>
      </w:r>
      <w:r>
        <w:t xml:space="preserve"> </w:t>
      </w:r>
      <w:r>
        <w:t xml:space="preserve">reviewed and edited the content as needed and take full responsibility for the content</w:t>
      </w:r>
      <w:r>
        <w:t xml:space="preserve"> </w:t>
      </w:r>
      <w:r>
        <w:t xml:space="preserve">of the published article.</w:t>
      </w:r>
    </w:p>
    <w:bookmarkEnd w:id="90"/>
    <w:bookmarkStart w:id="91" w:name="credit-authorship-contribution-statement"/>
    <w:p>
      <w:pPr>
        <w:pStyle w:val="Heading1"/>
      </w:pPr>
      <w:r>
        <w:t xml:space="preserve">CRediT authorship contribution statement</w:t>
      </w:r>
    </w:p>
    <w:p>
      <w:pPr>
        <w:pStyle w:val="FirstParagraph"/>
      </w:pPr>
      <w:r>
        <w:rPr>
          <w:b/>
          <w:bCs/>
        </w:rPr>
        <w:t xml:space="preserve">Pablo Bernabeu</w:t>
      </w:r>
      <w:r>
        <w:t xml:space="preserve">: Conceptualization, Methodology, Software, Formal analysis, Data</w:t>
      </w:r>
      <w:r>
        <w:t xml:space="preserve"> </w:t>
      </w:r>
      <w:r>
        <w:t xml:space="preserve">curation, Visualization, Writing – original draft, Writing – review &amp; editing.</w:t>
      </w:r>
      <w:r>
        <w:t xml:space="preserve"> </w:t>
      </w:r>
      <w:r>
        <w:rPr>
          <w:b/>
          <w:bCs/>
        </w:rPr>
        <w:t xml:space="preserve">Christina Athanasiadi</w:t>
      </w:r>
      <w:r>
        <w:t xml:space="preserve">: Data curation, Project administration, Writing – review &amp;</w:t>
      </w:r>
      <w:r>
        <w:t xml:space="preserve"> </w:t>
      </w:r>
      <w:r>
        <w:t xml:space="preserve">editing.</w:t>
      </w:r>
      <w:r>
        <w:t xml:space="preserve"> </w:t>
      </w:r>
      <w:r>
        <w:rPr>
          <w:b/>
          <w:bCs/>
        </w:rPr>
        <w:t xml:space="preserve">Stella L. Pischinger</w:t>
      </w:r>
      <w:r>
        <w:t xml:space="preserve">: Data curation, Writing – review &amp; editing.</w:t>
      </w:r>
      <w:r>
        <w:t xml:space="preserve"> </w:t>
      </w:r>
      <w:r>
        <w:rPr>
          <w:b/>
          <w:bCs/>
        </w:rPr>
        <w:t xml:space="preserve">Gabriella Silva</w:t>
      </w:r>
      <w:r>
        <w:t xml:space="preserve">: Conceptualization, Methodology, Investigation, Writing – review &amp;</w:t>
      </w:r>
      <w:r>
        <w:t xml:space="preserve"> </w:t>
      </w:r>
      <w:r>
        <w:t xml:space="preserve">editing.</w:t>
      </w:r>
      <w:r>
        <w:t xml:space="preserve"> </w:t>
      </w:r>
      <w:r>
        <w:rPr>
          <w:b/>
          <w:bCs/>
        </w:rPr>
        <w:t xml:space="preserve">My Ngoc Giang Hoang</w:t>
      </w:r>
      <w:r>
        <w:t xml:space="preserve">: Data curation, Writing – review &amp; editing.</w:t>
      </w:r>
      <w:r>
        <w:t xml:space="preserve"> </w:t>
      </w:r>
      <w:r>
        <w:rPr>
          <w:b/>
          <w:bCs/>
        </w:rPr>
        <w:t xml:space="preserve">Vincent DeLuca</w:t>
      </w:r>
      <w:r>
        <w:t xml:space="preserve">: Conceptualization, Methodology, Supervision, Writing – review &amp;</w:t>
      </w:r>
      <w:r>
        <w:t xml:space="preserve"> </w:t>
      </w:r>
      <w:r>
        <w:t xml:space="preserve">editing.</w:t>
      </w:r>
      <w:r>
        <w:t xml:space="preserve"> </w:t>
      </w:r>
      <w:r>
        <w:rPr>
          <w:b/>
          <w:bCs/>
        </w:rPr>
        <w:t xml:space="preserve">Jason Rothman</w:t>
      </w:r>
      <w:r>
        <w:t xml:space="preserve">: Conceptualization, Funding acquisition, Resources,</w:t>
      </w:r>
      <w:r>
        <w:t xml:space="preserve"> </w:t>
      </w:r>
      <w:r>
        <w:t xml:space="preserve">Supervision, Writing – review &amp; editing.</w:t>
      </w:r>
      <w:r>
        <w:t xml:space="preserve"> </w:t>
      </w:r>
      <w:r>
        <w:rPr>
          <w:b/>
          <w:bCs/>
        </w:rPr>
        <w:t xml:space="preserve">Iva Ivanova</w:t>
      </w:r>
      <w:r>
        <w:t xml:space="preserve">: Conceptualization,</w:t>
      </w:r>
      <w:r>
        <w:t xml:space="preserve"> </w:t>
      </w:r>
      <w:r>
        <w:t xml:space="preserve">Methodology, Writing – review &amp; editing.</w:t>
      </w:r>
      <w:r>
        <w:t xml:space="preserve"> </w:t>
      </w:r>
      <w:r>
        <w:rPr>
          <w:b/>
          <w:bCs/>
        </w:rPr>
        <w:t xml:space="preserve">Claudia Poch</w:t>
      </w:r>
      <w:r>
        <w:t xml:space="preserve">: Methodology, Validation,</w:t>
      </w:r>
      <w:r>
        <w:t xml:space="preserve"> </w:t>
      </w:r>
      <w:r>
        <w:t xml:space="preserve">Writing – review &amp; editing.</w:t>
      </w:r>
      <w:r>
        <w:t xml:space="preserve"> </w:t>
      </w:r>
      <w:r>
        <w:rPr>
          <w:b/>
          <w:bCs/>
        </w:rPr>
        <w:t xml:space="preserve">Jorge González Alonso</w:t>
      </w:r>
      <w:r>
        <w:t xml:space="preserve">: Conceptualization, Methodology,</w:t>
      </w:r>
      <w:r>
        <w:t xml:space="preserve"> </w:t>
      </w:r>
      <w:r>
        <w:t xml:space="preserve">Funding acquisition, Project administration, Supervision, Writing – review &amp; editing.</w:t>
      </w:r>
    </w:p>
    <w:bookmarkEnd w:id="91"/>
    <w:bookmarkStart w:id="92" w:name="funding"/>
    <w:p>
      <w:pPr>
        <w:pStyle w:val="Heading1"/>
      </w:pPr>
      <w:r>
        <w:t xml:space="preserve">Funding</w:t>
      </w:r>
    </w:p>
    <w:p>
      <w:pPr>
        <w:pStyle w:val="FirstParagraph"/>
      </w:pPr>
      <w:r>
        <w:t xml:space="preserve">This work was supported by the Research Council of Norway (grant 326487-FORSKER21) and</w:t>
      </w:r>
      <w:r>
        <w:t xml:space="preserve"> </w:t>
      </w:r>
      <w:r>
        <w:t xml:space="preserve">by the Comunidad de Madrid (grant 2020-T1/HUM-20037), both awarded to Jorge González Alonso.</w:t>
      </w:r>
    </w:p>
    <w:bookmarkEnd w:id="92"/>
    <w:bookmarkStart w:id="93"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w:t>
      </w:r>
      <w:r>
        <w:t xml:space="preserve"> </w:t>
      </w:r>
      <w:r>
        <w:t xml:space="preserve">relationships that could have appeared to influence the work reported in this paper.</w:t>
      </w:r>
    </w:p>
    <w:bookmarkEnd w:id="93"/>
    <w:bookmarkStart w:id="94" w:name="acknowledgements"/>
    <w:p>
      <w:pPr>
        <w:pStyle w:val="Heading1"/>
      </w:pPr>
      <w:r>
        <w:t xml:space="preserve">Acknowledgements</w:t>
      </w:r>
    </w:p>
    <w:p>
      <w:pPr>
        <w:pStyle w:val="FirstParagraph"/>
      </w:pPr>
      <w:r>
        <w:t xml:space="preserve">We thank Mona Kirkness Fossum for assistance with translating materials;</w:t>
      </w:r>
      <w:r>
        <w:t xml:space="preserve"> </w:t>
      </w:r>
      <w:r>
        <w:t xml:space="preserve">Gaute Berglund, Anders Gabrielsen and Tekabe Legesse Feleke for assistance with session</w:t>
      </w:r>
      <w:r>
        <w:t xml:space="preserve"> </w:t>
      </w:r>
      <w:r>
        <w:t xml:space="preserve">piloting; Teodóra Vékony for advice on the alternating serial reaction</w:t>
      </w:r>
      <w:r>
        <w:t xml:space="preserve"> </w:t>
      </w:r>
      <w:r>
        <w:t xml:space="preserve">time task; Björn Lundquist for assistance with implementation in OpenSesame; and</w:t>
      </w:r>
      <w:r>
        <w:t xml:space="preserve"> </w:t>
      </w:r>
      <w:r>
        <w:t xml:space="preserve">Antonio Fábregas, Natalia Mitrofanova, Yulia Rodina, Marit Westergaard, Merete</w:t>
      </w:r>
      <w:r>
        <w:t xml:space="preserve"> </w:t>
      </w:r>
      <w:r>
        <w:t xml:space="preserve">Anderssen and Fatih Bayram for advice and assistance with the design and translation of</w:t>
      </w:r>
      <w:r>
        <w:t xml:space="preserve"> </w:t>
      </w:r>
      <w:r>
        <w:t xml:space="preserve">materials and participant recruitment. Models were fitted on High-Performance Computing</w:t>
      </w:r>
      <w:r>
        <w:t xml:space="preserve"> </w:t>
      </w:r>
      <w:r>
        <w:t xml:space="preserve">(HPC) clusters at Sigma2 (Norway) and the Advanced Research Computing facility of the</w:t>
      </w:r>
      <w:r>
        <w:t xml:space="preserve"> </w:t>
      </w:r>
      <w:r>
        <w:t xml:space="preserve">University of Oxford.</w:t>
      </w:r>
    </w:p>
    <w:p>
      <w:r>
        <w:br w:type="page"/>
      </w:r>
    </w:p>
    <w:bookmarkEnd w:id="94"/>
    <w:bookmarkStart w:id="99" w:name="apx-analytic-decisions-in-detail"/>
    <w:p>
      <w:pPr>
        <w:pStyle w:val="Heading1"/>
      </w:pPr>
      <w:r>
        <w:t xml:space="preserve">Analytic decisions in detail</w:t>
      </w:r>
    </w:p>
    <w:p>
      <w:pPr>
        <w:pStyle w:val="FirstParagraph"/>
      </w:pPr>
      <w:r>
        <w:t xml:space="preserve">This appendix sets out the reasoning behind two analytic choices that the Method states</w:t>
      </w:r>
      <w:r>
        <w:t xml:space="preserve"> </w:t>
      </w:r>
      <w:r>
        <w:t xml:space="preserve">but does not argue in full: the retention of the by-item grammaticality slope in the ERP</w:t>
      </w:r>
      <w:r>
        <w:t xml:space="preserve"> </w:t>
      </w:r>
      <w:r>
        <w:t xml:space="preserve">models, and the definition of the false-discovery-rate correction family for the</w:t>
      </w:r>
      <w:r>
        <w:t xml:space="preserve"> </w:t>
      </w:r>
      <w:r>
        <w:t xml:space="preserve">decoding analyses.</w:t>
      </w:r>
    </w:p>
    <w:bookmarkStart w:id="95" w:name="the-by-item-grammaticality-slope"/>
    <w:p>
      <w:pPr>
        <w:pStyle w:val="Heading2"/>
      </w:pPr>
      <w:r>
        <w:t xml:space="preserve">The by-item grammaticality slope</w:t>
      </w:r>
    </w:p>
    <w:p>
      <w:pPr>
        <w:pStyle w:val="FirstParagraph"/>
      </w:pPr>
      <w:r>
        <w:t xml:space="preserve">The reason for keeping the by-item grammaticality slope is that dropping it would bias the</w:t>
      </w:r>
      <w:r>
        <w:t xml:space="preserve"> </w:t>
      </w:r>
      <w:r>
        <w:t xml:space="preserve">test in the direction of the hypothesis.</w:t>
      </w:r>
      <w:r>
        <w:t xml:space="preserve"> </w:t>
      </w:r>
      <w:r>
        <w:t xml:space="preserve">Barr et al. (2013)</w:t>
      </w:r>
      <w:r>
        <w:t xml:space="preserve"> </w:t>
      </w:r>
      <w:r>
        <w:t xml:space="preserve">show that omitting random-effect</w:t>
      </w:r>
      <w:r>
        <w:t xml:space="preserve"> </w:t>
      </w:r>
      <w:r>
        <w:t xml:space="preserve">structure that is present in the population inflates the Type I error rate. They add that,</w:t>
      </w:r>
      <w:r>
        <w:t xml:space="preserve"> </w:t>
      </w:r>
      <w:r>
        <w:t xml:space="preserve">for within-items manipulations specifically, an intercept-only by-item structure can inflate</w:t>
      </w:r>
      <w:r>
        <w:t xml:space="preserve"> </w:t>
      </w:r>
      <w:r>
        <w:t xml:space="preserve">it severely, whatever method is used to obtain</w:t>
      </w:r>
      <w:r>
        <w:t xml:space="preserve"> </w:t>
      </w:r>
      <m:oMath>
        <m:r>
          <m:t>p</m:t>
        </m:r>
      </m:oMath>
      <w:r>
        <w:t xml:space="preserve">-values or intervals. Grammaticality is a</w:t>
      </w:r>
      <w:r>
        <w:t xml:space="preserve"> </w:t>
      </w:r>
      <w:r>
        <w:t xml:space="preserve">within-item manipulation here, so an item term carrying only an intercept and a session</w:t>
      </w:r>
      <w:r>
        <w:t xml:space="preserve"> </w:t>
      </w:r>
      <w:r>
        <w:t xml:space="preserve">slope is exactly that case for the effect under test.</w:t>
      </w:r>
    </w:p>
    <w:p>
      <w:pPr>
        <w:pStyle w:val="BodyText"/>
      </w:pPr>
      <w:r>
        <w:t xml:space="preserve">Matuschek et al. (2017)</w:t>
      </w:r>
      <w:r>
        <w:t xml:space="preserve"> </w:t>
      </w:r>
      <w:r>
        <w:t xml:space="preserve">argue the other side: a maximal model can cost power, and they recommend</w:t>
      </w:r>
      <w:r>
        <w:t xml:space="preserve"> </w:t>
      </w:r>
      <w:r>
        <w:t xml:space="preserve">reducing to a structure the data support. We report the maximal structure nonetheless, for</w:t>
      </w:r>
      <w:r>
        <w:t xml:space="preserve"> </w:t>
      </w:r>
      <w:r>
        <w:t xml:space="preserve">two reasons. Their argument is that a maximal structure the data do not support costs power, a</w:t>
      </w:r>
      <w:r>
        <w:t xml:space="preserve"> </w:t>
      </w:r>
      <w:r>
        <w:t xml:space="preserve">result they establish in simulations of models that converge, so it does not turn on</w:t>
      </w:r>
      <w:r>
        <w:t xml:space="preserve"> </w:t>
      </w:r>
      <w:r>
        <w:t xml:space="preserve">convergence failure. They themselves note that maximal models usually do converge when</w:t>
      </w:r>
      <w:r>
        <w:t xml:space="preserve"> </w:t>
      </w:r>
      <w:r>
        <w:t xml:space="preserve">fitted in a Bayesian framework such as Stan, while explicitly leaving open whether</w:t>
      </w:r>
      <w:r>
        <w:t xml:space="preserve"> </w:t>
      </w:r>
      <w:r>
        <w:t xml:space="preserve">fitting overparameterised maximal models makes sense there. Ours converged, meeting the</w:t>
      </w:r>
      <w:r>
        <w:t xml:space="preserve"> </w:t>
      </w:r>
      <w:r>
        <w:t xml:space="preserve">same criteria as every other</w:t>
      </w:r>
      <w:r>
        <w:t xml:space="preserve"> </w:t>
      </w:r>
      <w:r>
        <w:t xml:space="preserve">model reported here. We also fit the whole grid a second time without the</w:t>
      </w:r>
      <w:r>
        <w:t xml:space="preserve"> </w:t>
      </w:r>
      <w:r>
        <w:t xml:space="preserve">by-item grammaticality slope, so a reader can see which conclusions depend on it. That</w:t>
      </w:r>
      <w:r>
        <w:t xml:space="preserve"> </w:t>
      </w:r>
      <w:r>
        <w:t xml:space="preserve">comparison follows.</w:t>
      </w:r>
    </w:p>
    <w:bookmarkEnd w:id="95"/>
    <w:bookmarkStart w:id="96" w:name="X61f9105b9c4f67c8a70721911d2ac0c431d2f53"/>
    <w:p>
      <w:pPr>
        <w:pStyle w:val="Heading2"/>
      </w:pPr>
      <w:r>
        <w:t xml:space="preserve">Sensitivity to the by-item grammaticality slope</w:t>
      </w:r>
    </w:p>
    <w:p>
      <w:pPr>
        <w:pStyle w:val="FirstParagraph"/>
      </w:pPr>
      <w:r>
        <w:t xml:space="preserve">To show what the maximal structure buys, we refitted the whole grid without the by-item</w:t>
      </w:r>
      <w:r>
        <w:t xml:space="preserve"> </w:t>
      </w:r>
      <w:r>
        <w:t xml:space="preserve">grammaticality slope, the structure a design in which grammaticality varied only within</w:t>
      </w:r>
      <w:r>
        <w:t xml:space="preserve"> </w:t>
      </w:r>
      <w:r>
        <w:t xml:space="preserve">participants would have justified. All eighteen cells met the same convergence criteria</w:t>
      </w:r>
      <w:r>
        <w:t xml:space="preserve"> </w:t>
      </w:r>
      <w:r>
        <w:t xml:space="preserve">under both. The consequence differs sharply between the interaction terms and the main</w:t>
      </w:r>
      <w:r>
        <w:t xml:space="preserve"> </w:t>
      </w:r>
      <w:r>
        <w:t xml:space="preserve">effect, so we separate them.</w:t>
      </w:r>
    </w:p>
    <w:p>
      <w:pPr>
        <w:pStyle w:val="BodyText"/>
      </w:pPr>
      <w:r>
        <w:t xml:space="preserve">The transfer conclusions do not depend on the choice. The interaction is credible for</w:t>
      </w:r>
      <w:r>
        <w:t xml:space="preserve"> </w:t>
      </w:r>
      <w:r>
        <w:t xml:space="preserve">differential object marking and verb–object number agreement under both structures, and</w:t>
      </w:r>
      <w:r>
        <w:t xml:space="preserve"> </w:t>
      </w:r>
      <w:r>
        <w:t xml:space="preserve">its intervals are essentially identical in width (1.00 times the</w:t>
      </w:r>
      <w:r>
        <w:t xml:space="preserve"> </w:t>
      </w:r>
      <w:r>
        <w:t xml:space="preserve">simpler structure’s width at the median). The maximal structure is in fact the more</w:t>
      </w:r>
      <w:r>
        <w:t xml:space="preserve"> </w:t>
      </w:r>
      <w:r>
        <w:t xml:space="preserve">generous of the two here, since one further cell reaches credibility under it</w:t>
      </w:r>
      <w:r>
        <w:t xml:space="preserve"> </w:t>
      </w:r>
      <w:r>
        <w:t xml:space="preserve">(differential object marking, 300–600 ms</w:t>
      </w:r>
      <w:r>
        <w:t xml:space="preserve"> </w:t>
      </w:r>
      <w:r>
        <w:t xml:space="preserve">lateral). The count is</w:t>
      </w:r>
      <w:r>
        <w:t xml:space="preserve"> </w:t>
      </w:r>
      <w:r>
        <w:t xml:space="preserve">3 of 18</w:t>
      </w:r>
      <w:r>
        <w:t xml:space="preserve"> </w:t>
      </w:r>
      <w:r>
        <w:t xml:space="preserve">cells against</w:t>
      </w:r>
      <w:r>
        <w:t xml:space="preserve"> </w:t>
      </w:r>
      <w:r>
        <w:t xml:space="preserve">2 of 18</w:t>
      </w:r>
      <w:r>
        <w:t xml:space="preserve"> </w:t>
      </w:r>
      <w:r>
        <w:t xml:space="preserve">without the slope.</w:t>
      </w:r>
    </w:p>
    <w:p>
      <w:pPr>
        <w:pStyle w:val="BodyText"/>
      </w:pPr>
      <w:r>
        <w:t xml:space="preserve">The grammaticality main effect is a different matter, and it is where the simpler</w:t>
      </w:r>
      <w:r>
        <w:t xml:space="preserve"> </w:t>
      </w:r>
      <w:r>
        <w:t xml:space="preserve">structure would have misled. Posterior medians barely move between the two, but the</w:t>
      </w:r>
      <w:r>
        <w:t xml:space="preserve"> </w:t>
      </w:r>
      <w:r>
        <w:t xml:space="preserve">maximal structure’s intervals are about</w:t>
      </w:r>
      <w:r>
        <w:t xml:space="preserve"> </w:t>
      </w:r>
      <w:r>
        <w:t xml:space="preserve">1.13 times as wide as the simpler</w:t>
      </w:r>
      <w:r>
        <w:t xml:space="preserve"> </w:t>
      </w:r>
      <w:r>
        <w:t xml:space="preserve">structure’s, and that widening is enough to change how many cells clear the credibility</w:t>
      </w:r>
      <w:r>
        <w:t xml:space="preserve"> </w:t>
      </w:r>
      <w:r>
        <w:t xml:space="preserve">threshold. For gender agreement, the count is</w:t>
      </w:r>
      <w:r>
        <w:t xml:space="preserve"> </w:t>
      </w:r>
      <w:r>
        <w:t xml:space="preserve">2 of 6 cells under</w:t>
      </w:r>
      <w:r>
        <w:t xml:space="preserve"> </w:t>
      </w:r>
      <w:r>
        <w:t xml:space="preserve">the maximal structure against</w:t>
      </w:r>
      <w:r>
        <w:t xml:space="preserve"> </w:t>
      </w:r>
      <w:r>
        <w:t xml:space="preserve">5 of 6 without the slope,</w:t>
      </w:r>
      <w:r>
        <w:t xml:space="preserve"> </w:t>
      </w:r>
      <w:r>
        <w:t xml:space="preserve">and, for differential object marking,</w:t>
      </w:r>
      <w:r>
        <w:t xml:space="preserve"> </w:t>
      </w:r>
      <w:r>
        <w:t xml:space="preserve">1 of 6</w:t>
      </w:r>
      <w:r>
        <w:t xml:space="preserve"> </w:t>
      </w:r>
      <w:r>
        <w:t xml:space="preserve">against 2 of 6.</w:t>
      </w:r>
      <w:r>
        <w:t xml:space="preserve"> </w:t>
      </w:r>
      <w:r>
        <w:t xml:space="preserve">By-item variability in the grammaticality response is therefore not negligible in these</w:t>
      </w:r>
      <w:r>
        <w:t xml:space="preserve"> </w:t>
      </w:r>
      <w:r>
        <w:t xml:space="preserve">data. Had we reported the simpler structure, we would have described the gender-agreement</w:t>
      </w:r>
      <w:r>
        <w:t xml:space="preserve"> </w:t>
      </w:r>
      <w:r>
        <w:t xml:space="preserve">grammaticality effect as credible across nearly the whole grid. Under the structure the</w:t>
      </w:r>
      <w:r>
        <w:t xml:space="preserve"> </w:t>
      </w:r>
      <w:r>
        <w:t xml:space="preserve">design justifies, it keeps its sign and magnitude but is credible in a minority of</w:t>
      </w:r>
      <w:r>
        <w:t xml:space="preserve"> </w:t>
      </w:r>
      <w:r>
        <w:t xml:space="preserve">cells. The structure-dependent claim is therefore how widely the effect is distributed,</w:t>
      </w:r>
      <w:r>
        <w:t xml:space="preserve"> </w:t>
      </w:r>
      <w:r>
        <w:t xml:space="preserve">while the existence and direction of the effect hold under both.</w:t>
      </w:r>
    </w:p>
    <w:bookmarkEnd w:id="96"/>
    <w:bookmarkStart w:id="97" w:name="the-session-3-filter-exclusion"/>
    <w:p>
      <w:pPr>
        <w:pStyle w:val="Heading2"/>
      </w:pPr>
      <w:r>
        <w:t xml:space="preserve">The Session 3 filter exclusion</w:t>
      </w:r>
    </w:p>
    <w:p>
      <w:pPr>
        <w:pStyle w:val="FirstParagraph"/>
      </w:pPr>
      <w:r>
        <w:t xml:space="preserve">The Method excludes the Session 3 recordings of four participants, which were high-pass</w:t>
      </w:r>
      <w:r>
        <w:t xml:space="preserve"> </w:t>
      </w:r>
      <w:r>
        <w:t xml:space="preserve">filtered at 1 Hz where every other recording was filtered at 0.1 Hz. We did not assess</w:t>
      </w:r>
      <w:r>
        <w:t xml:space="preserve"> </w:t>
      </w:r>
      <w:r>
        <w:t xml:space="preserve">whether these participants’ data look unusual, and the exclusion does not rest on that.</w:t>
      </w:r>
      <w:r>
        <w:t xml:space="preserve"> </w:t>
      </w:r>
      <w:r>
        <w:t xml:space="preserve">It rests on the setting itself, which is a documented generator of artefacts in this kind</w:t>
      </w:r>
      <w:r>
        <w:t xml:space="preserve"> </w:t>
      </w:r>
      <w:r>
        <w:t xml:space="preserve">of paradigm. Filtering data from a syntactic- and semantic-violation experiment at</w:t>
      </w:r>
      <w:r>
        <w:t xml:space="preserve"> </w:t>
      </w:r>
      <w:r>
        <w:t xml:space="preserve">cutoffs of 0.3 Hz and above introduces spurious deflections of opposite polarity</w:t>
      </w:r>
      <w:r>
        <w:t xml:space="preserve"> </w:t>
      </w:r>
      <w:r>
        <w:t xml:space="preserve">immediately before the true N400 and P600 effects</w:t>
      </w:r>
      <w:r>
        <w:t xml:space="preserve"> </w:t>
      </w:r>
      <w:r>
        <w:t xml:space="preserve">(Tanner et al. 2015)</w:t>
      </w:r>
      <w:r>
        <w:t xml:space="preserve">, and 1 Hz lies well</w:t>
      </w:r>
      <w:r>
        <w:t xml:space="preserve"> </w:t>
      </w:r>
      <w:r>
        <w:t xml:space="preserve">inside that range. The general principle, that a high-pass cutoff must be matched to the</w:t>
      </w:r>
      <w:r>
        <w:t xml:space="preserve"> </w:t>
      </w:r>
      <w:r>
        <w:t xml:space="preserve">analysis window because an inappropriate one generates artefactual slow deflections, is</w:t>
      </w:r>
      <w:r>
        <w:t xml:space="preserve"> </w:t>
      </w:r>
      <w:r>
        <w:t xml:space="preserve">set out by</w:t>
      </w:r>
      <w:r>
        <w:t xml:space="preserve"> </w:t>
      </w:r>
      <w:r>
        <w:t xml:space="preserve">Widmann et al. (2015)</w:t>
      </w:r>
      <w:r>
        <w:t xml:space="preserve">. Because the exclusion follows from the filter’s known</w:t>
      </w:r>
      <w:r>
        <w:t xml:space="preserve"> </w:t>
      </w:r>
      <w:r>
        <w:t xml:space="preserve">behaviour, and nothing observed in these participants bore on it, it is not a</w:t>
      </w:r>
      <w:r>
        <w:t xml:space="preserve"> </w:t>
      </w:r>
      <w:r>
        <w:t xml:space="preserve">results-contingent choice.</w:t>
      </w:r>
    </w:p>
    <w:bookmarkEnd w:id="97"/>
    <w:bookmarkStart w:id="98" w:name="the-decoding-correction-family"/>
    <w:p>
      <w:pPr>
        <w:pStyle w:val="Heading2"/>
      </w:pPr>
      <w:r>
        <w:t xml:space="preserve">The decoding correction family</w:t>
      </w:r>
    </w:p>
    <w:p>
      <w:pPr>
        <w:pStyle w:val="FirstParagraph"/>
      </w:pPr>
      <w:r>
        <w:t xml:space="preserve">The Method states how the second layer of multiplicity control on the decoding analyses</w:t>
      </w:r>
      <w:r>
        <w:t xml:space="preserve"> </w:t>
      </w:r>
      <w:r>
        <w:t xml:space="preserve">is defined. Correcting instead across the pooled, per-session and</w:t>
      </w:r>
      <w:r>
        <w:t xml:space="preserve"> </w:t>
      </w:r>
      <w:r>
        <w:t xml:space="preserve">per-session-by-language cells of one property would span nested, overlapping re-analyses</w:t>
      </w:r>
      <w:r>
        <w:t xml:space="preserve"> </w:t>
      </w:r>
      <w:r>
        <w:t xml:space="preserve">of the same trials. Across those, the number of hypotheses is not well defined, and the</w:t>
      </w:r>
      <w:r>
        <w:t xml:space="preserve"> </w:t>
      </w:r>
      <w:r>
        <w:t xml:space="preserve">positive-dependence condition that licenses Benjamini–Hochberg under dependence cannot</w:t>
      </w:r>
      <w:r>
        <w:t xml:space="preserve"> </w:t>
      </w:r>
      <w:r>
        <w:t xml:space="preserve">be established. A false-discovery rate computed over such a family is not interpretable.</w:t>
      </w:r>
      <w:r>
        <w:t xml:space="preserve"> </w:t>
      </w:r>
      <w:r>
        <w:t xml:space="preserve">The three properties’ pooled time-courses rest on disjoint sets of trials, and correcting</w:t>
      </w:r>
      <w:r>
        <w:t xml:space="preserve"> </w:t>
      </w:r>
      <w:r>
        <w:t xml:space="preserve">each property’s family separately keeps every family self-contained. The confirmatory decisions reported here rest on the family just defined and on the full permutation null. Only the exploratory breakdowns for gender agreement still carry the coarser null of the earlier run, and no decision in the confirmatory family depends on them.</w:t>
      </w:r>
    </w:p>
    <w:bookmarkEnd w:id="98"/>
    <w:bookmarkEnd w:id="99"/>
    <w:bookmarkStart w:id="102" w:name="apx-retention-tables"/>
    <w:p>
      <w:pPr>
        <w:pStyle w:val="Heading1"/>
      </w:pPr>
      <w:r>
        <w:t xml:space="preserve">Retention contrasts in full</w:t>
      </w:r>
    </w:p>
    <w:p>
      <w:pPr>
        <w:pStyle w:val="FirstParagraph"/>
      </w:pPr>
      <w:r>
        <w:t xml:space="preserve">The Results report the retention contrasts that carry the argument. The two tables below</w:t>
      </w:r>
      <w:r>
        <w:t xml:space="preserve"> </w:t>
      </w:r>
      <w:r>
        <w:t xml:space="preserve">give the full record: every Session 4 to Session 6 contrast of the reported ERP and accuracy</w:t>
      </w:r>
      <w:r>
        <w:t xml:space="preserve"> </w:t>
      </w:r>
      <w:r>
        <w:t xml:space="preserve">models (</w:t>
      </w:r>
      <w:hyperlink w:anchor="tbl-retention">
        <w:r>
          <w:rPr>
            <w:rStyle w:val="Hyperlink"/>
          </w:rPr>
          <w:t xml:space="preserve">Table 2</w:t>
        </w:r>
      </w:hyperlink>
      <w:r>
        <w:t xml:space="preserve">), and every retention-free contrast from the refits that carry an</w:t>
      </w:r>
      <w:r>
        <w:t xml:space="preserve"> </w:t>
      </w:r>
      <w:r>
        <w:t xml:space="preserve">explicit retention indicator (</w:t>
      </w:r>
      <w:hyperlink w:anchor="tbl-retention-free">
        <w:r>
          <w:rPr>
            <w:rStyle w:val="Hyperlink"/>
          </w:rPr>
          <w:t xml:space="preserve">Table 3</w:t>
        </w:r>
      </w:hyperlink>
      <w:r>
        <w:t xml:space="preserve">). Both are read from the pooled contrast</w:t>
      </w:r>
      <w:r>
        <w:t xml:space="preserve"> </w:t>
      </w:r>
      <w:r>
        <w:t xml:space="preserve">artefact and reproduce with it.</w:t>
      </w:r>
    </w:p>
    <w:tbl>
      <w:tblPr>
        <w:tblStyle w:val="Table"/>
        <w:tblW w:type="pct" w:w="5000"/>
        <w:tblLayout w:type="fixed"/>
        <w:tblLook w:firstRow="0" w:lastRow="0" w:firstColumn="0" w:lastColumn="0" w:noHBand="0" w:noVBand="0" w:val="0000"/>
      </w:tblPr>
      <w:tblGrid>
        <w:gridCol w:w="7920"/>
      </w:tblGrid>
      <w:tr>
        <w:tc>
          <w:tcPr/>
          <w:bookmarkStart w:id="100" w:name="tbl-retention"/>
          <w:p>
            <w:pPr>
              <w:jc w:val="center"/>
            </w:pPr>
            <w:pPr>
              <w:jc w:val="left"/>
              <w:spacing w:before="200"/>
              <w:pStyle w:val="ImageCaption"/>
            </w:pPr>
            <w:r>
              <w:t xml:space="preserve">Table 2: Session 4 to Session 6 Retention Contrasts</w:t>
            </w:r>
          </w:p>
          <w:tbl>
            <w:tblPr>
              <w:tblStyle w:val="Table"/>
              <w:tblW w:type="pct" w:w="5000"/>
              <w:tblLayout w:type="fixed"/>
              <w:tblLook w:firstRow="1" w:lastRow="0" w:firstColumn="0" w:lastColumn="0" w:noHBand="0" w:noVBand="0" w:val="0020"/>
            </w:tblPr>
            <w:tblGrid>
              <w:gridCol w:w="1425"/>
              <w:gridCol w:w="871"/>
              <w:gridCol w:w="712"/>
              <w:gridCol w:w="712"/>
              <w:gridCol w:w="1425"/>
              <w:gridCol w:w="792"/>
              <w:gridCol w:w="1504"/>
              <w:gridCol w:w="475"/>
            </w:tblGrid>
            <w:tr>
              <w:trPr>
                <w:tblHeader w:val="on"/>
              </w:trPr>
              <w:tc>
                <w:tcPr/>
                <w:p>
                  <w:pPr>
                    <w:pStyle w:val="Compact"/>
                    <w:jc w:val="left"/>
                    <w:jc w:val="center"/>
                  </w:pPr>
                  <w:r>
                    <w:t xml:space="preserve">Property</w:t>
                  </w:r>
                </w:p>
              </w:tc>
              <w:tc>
                <w:tcPr/>
                <w:p>
                  <w:pPr>
                    <w:pStyle w:val="Compact"/>
                    <w:jc w:val="left"/>
                    <w:jc w:val="center"/>
                  </w:pPr>
                  <w:r>
                    <w:t xml:space="preserve">Window (ms)</w:t>
                  </w:r>
                </w:p>
              </w:tc>
              <w:tc>
                <w:tcPr/>
                <w:p>
                  <w:pPr>
                    <w:pStyle w:val="Compact"/>
                    <w:jc w:val="left"/>
                    <w:jc w:val="center"/>
                  </w:pPr>
                  <w:r>
                    <w:t xml:space="preserve">Region</w:t>
                  </w:r>
                </w:p>
              </w:tc>
              <w:tc>
                <w:tcPr/>
                <w:p>
                  <w:pPr>
                    <w:pStyle w:val="Compact"/>
                    <w:jc w:val="left"/>
                    <w:jc w:val="center"/>
                  </w:pPr>
                  <w:r>
                    <w:t xml:space="preserve">Measure</w:t>
                  </w:r>
                </w:p>
              </w:tc>
              <w:tc>
                <w:tcPr/>
                <w:p>
                  <w:pPr>
                    <w:pStyle w:val="Compact"/>
                    <w:jc w:val="left"/>
                    <w:jc w:val="center"/>
                  </w:pPr>
                  <w:r>
                    <w:t xml:space="preserve">Contrast</w:t>
                  </w:r>
                </w:p>
              </w:tc>
              <w:tc>
                <w:tcPr/>
                <w:p>
                  <w:pPr>
                    <w:pStyle w:val="Compact"/>
                    <w:jc w:val="right"/>
                    <w:jc w:val="center"/>
                  </w:pPr>
                  <w:r>
                    <w:t xml:space="preserve">Median</w:t>
                  </w:r>
                </w:p>
              </w:tc>
              <w:tc>
                <w:tcPr/>
                <w:p>
                  <w:pPr>
                    <w:pStyle w:val="Compact"/>
                    <w:jc w:val="right"/>
                    <w:jc w:val="center"/>
                  </w:pPr>
                  <w:r>
                    <w:t xml:space="preserve">95% CrI</w:t>
                  </w:r>
                </w:p>
              </w:tc>
              <w:tc>
                <w:tcPr/>
                <w:p>
                  <w:pPr>
                    <w:pStyle w:val="Compact"/>
                    <w:jc w:val="right"/>
                    <w:jc w:val="center"/>
                  </w:pPr>
                  <m:oMath>
                    <m:sSub>
                      <m:e>
                        <m:r>
                          <m:t>p</m:t>
                        </m:r>
                      </m:e>
                      <m:sub>
                        <m:r>
                          <m:t>d</m:t>
                        </m:r>
                      </m:sub>
                    </m:sSub>
                  </m:oMath>
                  <w:r>
                    <w:t xml:space="preserve">​</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0.0114</w:t>
                  </w:r>
                </w:p>
              </w:tc>
              <w:tc>
                <w:tcPr/>
                <w:p>
                  <w:pPr>
                    <w:pStyle w:val="Compact"/>
                    <w:jc w:val="right"/>
                    <w:jc w:val="center"/>
                  </w:pPr>
                  <w:r>
                    <w:t xml:space="preserve">[0.0056, 0.0172]</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0.0105</w:t>
                  </w:r>
                </w:p>
              </w:tc>
              <w:tc>
                <w:tcPr/>
                <w:p>
                  <w:pPr>
                    <w:pStyle w:val="Compact"/>
                    <w:jc w:val="right"/>
                    <w:jc w:val="center"/>
                  </w:pPr>
                  <w:r>
                    <w:t xml:space="preserve">[0.0021, 0.0189]</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0.0123</w:t>
                  </w:r>
                </w:p>
              </w:tc>
              <w:tc>
                <w:tcPr/>
                <w:p>
                  <w:pPr>
                    <w:pStyle w:val="Compact"/>
                    <w:jc w:val="right"/>
                    <w:jc w:val="center"/>
                  </w:pPr>
                  <w:r>
                    <w:t xml:space="preserve">[0.0043, 0.0203]</w:t>
                  </w:r>
                </w:p>
              </w:tc>
              <w:tc>
                <w:tcPr/>
                <w:p>
                  <w:pPr>
                    <w:pStyle w:val="Compact"/>
                    <w:jc w:val="right"/>
                    <w:jc w:val="center"/>
                  </w:pPr>
                  <w:r>
                    <w:t xml:space="preserve">.999</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-0.0018</w:t>
                  </w:r>
                </w:p>
              </w:tc>
              <w:tc>
                <w:tcPr/>
                <w:p>
                  <w:pPr>
                    <w:pStyle w:val="Compact"/>
                    <w:jc w:val="right"/>
                    <w:jc w:val="center"/>
                  </w:pPr>
                  <w:r>
                    <w:t xml:space="preserve">[-0.0135, 0.0098]</w:t>
                  </w:r>
                </w:p>
              </w:tc>
              <w:tc>
                <w:tcPr/>
                <w:p>
                  <w:pPr>
                    <w:pStyle w:val="Compact"/>
                    <w:jc w:val="right"/>
                    <w:jc w:val="center"/>
                  </w:pPr>
                  <w:r>
                    <w:t xml:space="preserve">.62</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0.0070</w:t>
                  </w:r>
                </w:p>
              </w:tc>
              <w:tc>
                <w:tcPr/>
                <w:p>
                  <w:pPr>
                    <w:pStyle w:val="Compact"/>
                    <w:jc w:val="right"/>
                    <w:jc w:val="center"/>
                  </w:pPr>
                  <w:r>
                    <w:t xml:space="preserve">[-0.0014, 0.0153]</w:t>
                  </w:r>
                </w:p>
              </w:tc>
              <w:tc>
                <w:tcPr/>
                <w:p>
                  <w:pPr>
                    <w:pStyle w:val="Compact"/>
                    <w:jc w:val="right"/>
                    <w:jc w:val="center"/>
                  </w:pPr>
                  <w:r>
                    <w:t xml:space="preserve">.95</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0.0135</w:t>
                  </w:r>
                </w:p>
              </w:tc>
              <w:tc>
                <w:tcPr/>
                <w:p>
                  <w:pPr>
                    <w:pStyle w:val="Compact"/>
                    <w:jc w:val="right"/>
                    <w:jc w:val="center"/>
                  </w:pPr>
                  <w:r>
                    <w:t xml:space="preserve">[0.0014, 0.0257]</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0.0006</w:t>
                  </w:r>
                </w:p>
              </w:tc>
              <w:tc>
                <w:tcPr/>
                <w:p>
                  <w:pPr>
                    <w:pStyle w:val="Compact"/>
                    <w:jc w:val="right"/>
                    <w:jc w:val="center"/>
                  </w:pPr>
                  <w:r>
                    <w:t xml:space="preserve">[-0.0110, 0.0124]</w:t>
                  </w:r>
                </w:p>
              </w:tc>
              <w:tc>
                <w:tcPr/>
                <w:p>
                  <w:pPr>
                    <w:pStyle w:val="Compact"/>
                    <w:jc w:val="right"/>
                    <w:jc w:val="center"/>
                  </w:pPr>
                  <w:r>
                    <w:t xml:space="preserve">.54</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0.0128</w:t>
                  </w:r>
                </w:p>
              </w:tc>
              <w:tc>
                <w:tcPr/>
                <w:p>
                  <w:pPr>
                    <w:pStyle w:val="Compact"/>
                    <w:jc w:val="right"/>
                    <w:jc w:val="center"/>
                  </w:pPr>
                  <w:r>
                    <w:t xml:space="preserve">[-0.0040, 0.0298]</w:t>
                  </w:r>
                </w:p>
              </w:tc>
              <w:tc>
                <w:tcPr/>
                <w:p>
                  <w:pPr>
                    <w:pStyle w:val="Compact"/>
                    <w:jc w:val="right"/>
                    <w:jc w:val="center"/>
                  </w:pPr>
                  <w:r>
                    <w:t xml:space="preserve">.93</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0.0125</w:t>
                  </w:r>
                </w:p>
              </w:tc>
              <w:tc>
                <w:tcPr/>
                <w:p>
                  <w:pPr>
                    <w:pStyle w:val="Compact"/>
                    <w:jc w:val="right"/>
                    <w:jc w:val="center"/>
                  </w:pPr>
                  <w:r>
                    <w:t xml:space="preserve">[0.0065, 0.0186]</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0.0101</w:t>
                  </w:r>
                </w:p>
              </w:tc>
              <w:tc>
                <w:tcPr/>
                <w:p>
                  <w:pPr>
                    <w:pStyle w:val="Compact"/>
                    <w:jc w:val="right"/>
                    <w:jc w:val="center"/>
                  </w:pPr>
                  <w:r>
                    <w:t xml:space="preserve">[0.0013, 0.0188]</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0.0149</w:t>
                  </w:r>
                </w:p>
              </w:tc>
              <w:tc>
                <w:tcPr/>
                <w:p>
                  <w:pPr>
                    <w:pStyle w:val="Compact"/>
                    <w:jc w:val="right"/>
                    <w:jc w:val="center"/>
                  </w:pPr>
                  <w:r>
                    <w:t xml:space="preserve">[0.0065, 0.0232]</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-0.0048</w:t>
                  </w:r>
                </w:p>
              </w:tc>
              <w:tc>
                <w:tcPr/>
                <w:p>
                  <w:pPr>
                    <w:pStyle w:val="Compact"/>
                    <w:jc w:val="right"/>
                    <w:jc w:val="center"/>
                  </w:pPr>
                  <w:r>
                    <w:t xml:space="preserve">[-0.0168, 0.0075]</w:t>
                  </w:r>
                </w:p>
              </w:tc>
              <w:tc>
                <w:tcPr/>
                <w:p>
                  <w:pPr>
                    <w:pStyle w:val="Compact"/>
                    <w:jc w:val="right"/>
                    <w:jc w:val="center"/>
                  </w:pPr>
                  <w:r>
                    <w:t xml:space="preserve">.78</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0.0101</w:t>
                  </w:r>
                </w:p>
              </w:tc>
              <w:tc>
                <w:tcPr/>
                <w:p>
                  <w:pPr>
                    <w:pStyle w:val="Compact"/>
                    <w:jc w:val="right"/>
                    <w:jc w:val="center"/>
                  </w:pPr>
                  <w:r>
                    <w:t xml:space="preserve">[0.0015, 0.0189]</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0.0143</w:t>
                  </w:r>
                </w:p>
              </w:tc>
              <w:tc>
                <w:tcPr/>
                <w:p>
                  <w:pPr>
                    <w:pStyle w:val="Compact"/>
                    <w:jc w:val="right"/>
                    <w:jc w:val="center"/>
                  </w:pPr>
                  <w:r>
                    <w:t xml:space="preserve">[0.0016, 0.0268]</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0.0062</w:t>
                  </w:r>
                </w:p>
              </w:tc>
              <w:tc>
                <w:tcPr/>
                <w:p>
                  <w:pPr>
                    <w:pStyle w:val="Compact"/>
                    <w:jc w:val="right"/>
                    <w:jc w:val="center"/>
                  </w:pPr>
                  <w:r>
                    <w:t xml:space="preserve">[-0.0058, 0.0181]</w:t>
                  </w:r>
                </w:p>
              </w:tc>
              <w:tc>
                <w:tcPr/>
                <w:p>
                  <w:pPr>
                    <w:pStyle w:val="Compact"/>
                    <w:jc w:val="right"/>
                    <w:jc w:val="center"/>
                  </w:pPr>
                  <w:r>
                    <w:t xml:space="preserve">.84</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0.0082</w:t>
                  </w:r>
                </w:p>
              </w:tc>
              <w:tc>
                <w:tcPr/>
                <w:p>
                  <w:pPr>
                    <w:pStyle w:val="Compact"/>
                    <w:jc w:val="right"/>
                    <w:jc w:val="center"/>
                  </w:pPr>
                  <w:r>
                    <w:t xml:space="preserve">[-0.0091, 0.0253]</w:t>
                  </w:r>
                </w:p>
              </w:tc>
              <w:tc>
                <w:tcPr/>
                <w:p>
                  <w:pPr>
                    <w:pStyle w:val="Compact"/>
                    <w:jc w:val="right"/>
                    <w:jc w:val="center"/>
                  </w:pPr>
                  <w:r>
                    <w:t xml:space="preserve">.82</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0.0155</w:t>
                  </w:r>
                </w:p>
              </w:tc>
              <w:tc>
                <w:tcPr/>
                <w:p>
                  <w:pPr>
                    <w:pStyle w:val="Compact"/>
                    <w:jc w:val="right"/>
                    <w:jc w:val="center"/>
                  </w:pPr>
                  <w:r>
                    <w:t xml:space="preserve">[0.0092, 0.0217]</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0.0119</w:t>
                  </w:r>
                </w:p>
              </w:tc>
              <w:tc>
                <w:tcPr/>
                <w:p>
                  <w:pPr>
                    <w:pStyle w:val="Compact"/>
                    <w:jc w:val="right"/>
                    <w:jc w:val="center"/>
                  </w:pPr>
                  <w:r>
                    <w:t xml:space="preserve">[0.0027, 0.0208]</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0.0190</w:t>
                  </w:r>
                </w:p>
              </w:tc>
              <w:tc>
                <w:tcPr/>
                <w:p>
                  <w:pPr>
                    <w:pStyle w:val="Compact"/>
                    <w:jc w:val="right"/>
                    <w:jc w:val="center"/>
                  </w:pPr>
                  <w:r>
                    <w:t xml:space="preserve">[0.0103, 0.0277]</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-0.0071</w:t>
                  </w:r>
                </w:p>
              </w:tc>
              <w:tc>
                <w:tcPr/>
                <w:p>
                  <w:pPr>
                    <w:pStyle w:val="Compact"/>
                    <w:jc w:val="right"/>
                    <w:jc w:val="center"/>
                  </w:pPr>
                  <w:r>
                    <w:t xml:space="preserve">[-0.0198, 0.0054]</w:t>
                  </w:r>
                </w:p>
              </w:tc>
              <w:tc>
                <w:tcPr/>
                <w:p>
                  <w:pPr>
                    <w:pStyle w:val="Compact"/>
                    <w:jc w:val="right"/>
                    <w:jc w:val="center"/>
                  </w:pPr>
                  <w:r>
                    <w:t xml:space="preserve">.87</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0.0190</w:t>
                  </w:r>
                </w:p>
              </w:tc>
              <w:tc>
                <w:tcPr/>
                <w:p>
                  <w:pPr>
                    <w:pStyle w:val="Compact"/>
                    <w:jc w:val="right"/>
                    <w:jc w:val="center"/>
                  </w:pPr>
                  <w:r>
                    <w:t xml:space="preserve">[0.0101, 0.0280]</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0.0189</w:t>
                  </w:r>
                </w:p>
              </w:tc>
              <w:tc>
                <w:tcPr/>
                <w:p>
                  <w:pPr>
                    <w:pStyle w:val="Compact"/>
                    <w:jc w:val="right"/>
                    <w:jc w:val="center"/>
                  </w:pPr>
                  <w:r>
                    <w:t xml:space="preserve">[0.0058, 0.0321]</w:t>
                  </w:r>
                </w:p>
              </w:tc>
              <w:tc>
                <w:tcPr/>
                <w:p>
                  <w:pPr>
                    <w:pStyle w:val="Compact"/>
                    <w:jc w:val="right"/>
                    <w:jc w:val="center"/>
                  </w:pPr>
                  <w:r>
                    <w:t xml:space="preserve">.998</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0.0191</w:t>
                  </w:r>
                </w:p>
              </w:tc>
              <w:tc>
                <w:tcPr/>
                <w:p>
                  <w:pPr>
                    <w:pStyle w:val="Compact"/>
                    <w:jc w:val="right"/>
                    <w:jc w:val="center"/>
                  </w:pPr>
                  <w:r>
                    <w:t xml:space="preserve">[0.0067, 0.0316]</w:t>
                  </w:r>
                </w:p>
              </w:tc>
              <w:tc>
                <w:tcPr/>
                <w:p>
                  <w:pPr>
                    <w:pStyle w:val="Compact"/>
                    <w:jc w:val="right"/>
                    <w:jc w:val="center"/>
                  </w:pPr>
                  <w:r>
                    <w:t xml:space="preserve">.999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-0.0002</w:t>
                  </w:r>
                </w:p>
              </w:tc>
              <w:tc>
                <w:tcPr/>
                <w:p>
                  <w:pPr>
                    <w:pStyle w:val="Compact"/>
                    <w:jc w:val="right"/>
                    <w:jc w:val="center"/>
                  </w:pPr>
                  <w:r>
                    <w:t xml:space="preserve">[-0.0184, 0.0179]</w:t>
                  </w:r>
                </w:p>
              </w:tc>
              <w:tc>
                <w:tcPr/>
                <w:p>
                  <w:pPr>
                    <w:pStyle w:val="Compact"/>
                    <w:jc w:val="right"/>
                    <w:jc w:val="center"/>
                  </w:pPr>
                  <w:r>
                    <w:t xml:space="preserve">.51</w:t>
                  </w:r>
                </w:p>
              </w:tc>
            </w:tr>
            <w:tr>
              <w:tc>
                <w:tcPr/>
                <w:p>
                  <w:pPr>
                    <w:pStyle w:val="Compact"/>
                    <w:jc w:val="left"/>
                    <w:jc w:val="center"/>
                  </w:pPr>
                  <w:r>
                    <w:t xml:space="preserve">Gender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Overall</w:t>
                  </w:r>
                </w:p>
              </w:tc>
              <w:tc>
                <w:tcPr/>
                <w:p>
                  <w:pPr>
                    <w:pStyle w:val="Compact"/>
                    <w:jc w:val="right"/>
                    <w:jc w:val="center"/>
                  </w:pPr>
                  <w:r>
                    <w:t xml:space="preserve">0.19</w:t>
                  </w:r>
                </w:p>
              </w:tc>
              <w:tc>
                <w:tcPr/>
                <w:p>
                  <w:pPr>
                    <w:pStyle w:val="Compact"/>
                    <w:jc w:val="right"/>
                    <w:jc w:val="center"/>
                  </w:pPr>
                  <w:r>
                    <w:t xml:space="preserve">[0.12, 0.26]</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Mini Norwegian</w:t>
                  </w:r>
                </w:p>
              </w:tc>
              <w:tc>
                <w:tcPr/>
                <w:p>
                  <w:pPr>
                    <w:pStyle w:val="Compact"/>
                    <w:jc w:val="right"/>
                    <w:jc w:val="center"/>
                  </w:pPr>
                  <w:r>
                    <w:t xml:space="preserve">0.34</w:t>
                  </w:r>
                </w:p>
              </w:tc>
              <w:tc>
                <w:tcPr/>
                <w:p>
                  <w:pPr>
                    <w:pStyle w:val="Compact"/>
                    <w:jc w:val="right"/>
                    <w:jc w:val="center"/>
                  </w:pPr>
                  <w:r>
                    <w:t xml:space="preserve">[0.26, 0.43]</w:t>
                  </w:r>
                </w:p>
              </w:tc>
              <w:tc>
                <w:tcPr/>
                <w:p>
                  <w:pPr>
                    <w:pStyle w:val="Compact"/>
                    <w:jc w:val="right"/>
                    <w:jc w:val="center"/>
                  </w:pPr>
                  <w:r>
                    <w:t xml:space="preserve">&gt; .999</w:t>
                  </w:r>
                </w:p>
              </w:tc>
            </w:tr>
            <w:tr>
              <w:tc>
                <w:tcPr/>
                <w:p>
                  <w:pPr>
                    <w:pStyle w:val="Compact"/>
                    <w:jc w:val="left"/>
                    <w:jc w:val="center"/>
                  </w:pPr>
                  <w:r>
                    <w:t xml:space="preserve">Gender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Mini English</w:t>
                  </w:r>
                </w:p>
              </w:tc>
              <w:tc>
                <w:tcPr/>
                <w:p>
                  <w:pPr>
                    <w:pStyle w:val="Compact"/>
                    <w:jc w:val="right"/>
                    <w:jc w:val="center"/>
                  </w:pPr>
                  <w:r>
                    <w:t xml:space="preserve">0.04</w:t>
                  </w:r>
                </w:p>
              </w:tc>
              <w:tc>
                <w:tcPr/>
                <w:p>
                  <w:pPr>
                    <w:pStyle w:val="Compact"/>
                    <w:jc w:val="right"/>
                    <w:jc w:val="center"/>
                  </w:pPr>
                  <w:r>
                    <w:t xml:space="preserve">[-0.07, 0.14]</w:t>
                  </w:r>
                </w:p>
              </w:tc>
              <w:tc>
                <w:tcPr/>
                <w:p>
                  <w:pPr>
                    <w:pStyle w:val="Compact"/>
                    <w:jc w:val="right"/>
                    <w:jc w:val="center"/>
                  </w:pPr>
                  <w:r>
                    <w:t xml:space="preserve">.76</w:t>
                  </w:r>
                </w:p>
              </w:tc>
            </w:tr>
            <w:tr>
              <w:tc>
                <w:tcPr/>
                <w:p>
                  <w:pPr>
                    <w:pStyle w:val="Compact"/>
                    <w:jc w:val="left"/>
                    <w:jc w:val="center"/>
                  </w:pPr>
                  <w:r>
                    <w:t xml:space="preserve">Gender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Between languages</w:t>
                  </w:r>
                </w:p>
              </w:tc>
              <w:tc>
                <w:tcPr/>
                <w:p>
                  <w:pPr>
                    <w:pStyle w:val="Compact"/>
                    <w:jc w:val="right"/>
                    <w:jc w:val="center"/>
                  </w:pPr>
                  <w:r>
                    <w:t xml:space="preserve">0.30</w:t>
                  </w:r>
                </w:p>
              </w:tc>
              <w:tc>
                <w:tcPr/>
                <w:p>
                  <w:pPr>
                    <w:pStyle w:val="Compact"/>
                    <w:jc w:val="right"/>
                    <w:jc w:val="center"/>
                  </w:pPr>
                  <w:r>
                    <w:t xml:space="preserve">[0.17, 0.44]</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-0.0033</w:t>
                  </w:r>
                </w:p>
              </w:tc>
              <w:tc>
                <w:tcPr/>
                <w:p>
                  <w:pPr>
                    <w:pStyle w:val="Compact"/>
                    <w:jc w:val="right"/>
                    <w:jc w:val="center"/>
                  </w:pPr>
                  <w:r>
                    <w:t xml:space="preserve">[-0.0133, 0.0067]</w:t>
                  </w:r>
                </w:p>
              </w:tc>
              <w:tc>
                <w:tcPr/>
                <w:p>
                  <w:pPr>
                    <w:pStyle w:val="Compact"/>
                    <w:jc w:val="right"/>
                    <w:jc w:val="center"/>
                  </w:pPr>
                  <w:r>
                    <w:t xml:space="preserve">.74</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-0.0130</w:t>
                  </w:r>
                </w:p>
              </w:tc>
              <w:tc>
                <w:tcPr/>
                <w:p>
                  <w:pPr>
                    <w:pStyle w:val="Compact"/>
                    <w:jc w:val="right"/>
                    <w:jc w:val="center"/>
                  </w:pPr>
                  <w:r>
                    <w:t xml:space="preserve">[-0.0274, 0.0014]</w:t>
                  </w:r>
                </w:p>
              </w:tc>
              <w:tc>
                <w:tcPr/>
                <w:p>
                  <w:pPr>
                    <w:pStyle w:val="Compact"/>
                    <w:jc w:val="right"/>
                    <w:jc w:val="center"/>
                  </w:pPr>
                  <w:r>
                    <w:t xml:space="preserve">.96</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0.0068</w:t>
                  </w:r>
                </w:p>
              </w:tc>
              <w:tc>
                <w:tcPr/>
                <w:p>
                  <w:pPr>
                    <w:pStyle w:val="Compact"/>
                    <w:jc w:val="right"/>
                    <w:jc w:val="center"/>
                  </w:pPr>
                  <w:r>
                    <w:t xml:space="preserve">[-0.0069, 0.0204]</w:t>
                  </w:r>
                </w:p>
              </w:tc>
              <w:tc>
                <w:tcPr/>
                <w:p>
                  <w:pPr>
                    <w:pStyle w:val="Compact"/>
                    <w:jc w:val="right"/>
                    <w:jc w:val="center"/>
                  </w:pPr>
                  <w:r>
                    <w:t xml:space="preserve">.83</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-0.0197</w:t>
                  </w:r>
                </w:p>
              </w:tc>
              <w:tc>
                <w:tcPr/>
                <w:p>
                  <w:pPr>
                    <w:pStyle w:val="Compact"/>
                    <w:jc w:val="right"/>
                    <w:jc w:val="center"/>
                  </w:pPr>
                  <w:r>
                    <w:t xml:space="preserve">[-0.0395, 0.0002]</w:t>
                  </w:r>
                </w:p>
              </w:tc>
              <w:tc>
                <w:tcPr/>
                <w:p>
                  <w:pPr>
                    <w:pStyle w:val="Compact"/>
                    <w:jc w:val="right"/>
                    <w:jc w:val="center"/>
                  </w:pPr>
                  <w:r>
                    <w:t xml:space="preserve">.97</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-0.0129</w:t>
                  </w:r>
                </w:p>
              </w:tc>
              <w:tc>
                <w:tcPr/>
                <w:p>
                  <w:pPr>
                    <w:pStyle w:val="Compact"/>
                    <w:jc w:val="right"/>
                    <w:jc w:val="center"/>
                  </w:pPr>
                  <w:r>
                    <w:t xml:space="preserve">[-0.0271, 0.0012]</w:t>
                  </w:r>
                </w:p>
              </w:tc>
              <w:tc>
                <w:tcPr/>
                <w:p>
                  <w:pPr>
                    <w:pStyle w:val="Compact"/>
                    <w:jc w:val="right"/>
                    <w:jc w:val="center"/>
                  </w:pPr>
                  <w:r>
                    <w:t xml:space="preserve">.96</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-0.0177</w:t>
                  </w:r>
                </w:p>
              </w:tc>
              <w:tc>
                <w:tcPr/>
                <w:p>
                  <w:pPr>
                    <w:pStyle w:val="Compact"/>
                    <w:jc w:val="right"/>
                    <w:jc w:val="center"/>
                  </w:pPr>
                  <w:r>
                    <w:t xml:space="preserve">[-0.0385, 0.0031]</w:t>
                  </w:r>
                </w:p>
              </w:tc>
              <w:tc>
                <w:tcPr/>
                <w:p>
                  <w:pPr>
                    <w:pStyle w:val="Compact"/>
                    <w:jc w:val="right"/>
                    <w:jc w:val="center"/>
                  </w:pPr>
                  <w:r>
                    <w:t xml:space="preserve">.95</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-0.0082</w:t>
                  </w:r>
                </w:p>
              </w:tc>
              <w:tc>
                <w:tcPr/>
                <w:p>
                  <w:pPr>
                    <w:pStyle w:val="Compact"/>
                    <w:jc w:val="right"/>
                    <w:jc w:val="center"/>
                  </w:pPr>
                  <w:r>
                    <w:t xml:space="preserve">[-0.0275, 0.0113]</w:t>
                  </w:r>
                </w:p>
              </w:tc>
              <w:tc>
                <w:tcPr/>
                <w:p>
                  <w:pPr>
                    <w:pStyle w:val="Compact"/>
                    <w:jc w:val="right"/>
                    <w:jc w:val="center"/>
                  </w:pPr>
                  <w:r>
                    <w:t xml:space="preserve">.80</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-0.0095</w:t>
                  </w:r>
                </w:p>
              </w:tc>
              <w:tc>
                <w:tcPr/>
                <w:p>
                  <w:pPr>
                    <w:pStyle w:val="Compact"/>
                    <w:jc w:val="right"/>
                    <w:jc w:val="center"/>
                  </w:pPr>
                  <w:r>
                    <w:t xml:space="preserve">[-0.0382, 0.0187]</w:t>
                  </w:r>
                </w:p>
              </w:tc>
              <w:tc>
                <w:tcPr/>
                <w:p>
                  <w:pPr>
                    <w:pStyle w:val="Compact"/>
                    <w:jc w:val="right"/>
                    <w:jc w:val="center"/>
                  </w:pPr>
                  <w:r>
                    <w:t xml:space="preserve">.74</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0.0042</w:t>
                  </w:r>
                </w:p>
              </w:tc>
              <w:tc>
                <w:tcPr/>
                <w:p>
                  <w:pPr>
                    <w:pStyle w:val="Compact"/>
                    <w:jc w:val="right"/>
                    <w:jc w:val="center"/>
                  </w:pPr>
                  <w:r>
                    <w:t xml:space="preserve">[-0.0062, 0.0147]</w:t>
                  </w:r>
                </w:p>
              </w:tc>
              <w:tc>
                <w:tcPr/>
                <w:p>
                  <w:pPr>
                    <w:pStyle w:val="Compact"/>
                    <w:jc w:val="right"/>
                    <w:jc w:val="center"/>
                  </w:pPr>
                  <w:r>
                    <w:t xml:space="preserve">.79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-0.0072</w:t>
                  </w:r>
                </w:p>
              </w:tc>
              <w:tc>
                <w:tcPr/>
                <w:p>
                  <w:pPr>
                    <w:pStyle w:val="Compact"/>
                    <w:jc w:val="right"/>
                    <w:jc w:val="center"/>
                  </w:pPr>
                  <w:r>
                    <w:t xml:space="preserve">[-0.0222, 0.0078]</w:t>
                  </w:r>
                </w:p>
              </w:tc>
              <w:tc>
                <w:tcPr/>
                <w:p>
                  <w:pPr>
                    <w:pStyle w:val="Compact"/>
                    <w:jc w:val="right"/>
                    <w:jc w:val="center"/>
                  </w:pPr>
                  <w:r>
                    <w:t xml:space="preserve">.83</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0.0160</w:t>
                  </w:r>
                </w:p>
              </w:tc>
              <w:tc>
                <w:tcPr/>
                <w:p>
                  <w:pPr>
                    <w:pStyle w:val="Compact"/>
                    <w:jc w:val="right"/>
                    <w:jc w:val="center"/>
                  </w:pPr>
                  <w:r>
                    <w:t xml:space="preserve">[0.0015, 0.0304]</w:t>
                  </w:r>
                </w:p>
              </w:tc>
              <w:tc>
                <w:tcPr/>
                <w:p>
                  <w:pPr>
                    <w:pStyle w:val="Compact"/>
                    <w:jc w:val="right"/>
                    <w:jc w:val="center"/>
                  </w:pPr>
                  <w:r>
                    <w:t xml:space="preserve">.99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-0.0231</w:t>
                  </w:r>
                </w:p>
              </w:tc>
              <w:tc>
                <w:tcPr/>
                <w:p>
                  <w:pPr>
                    <w:pStyle w:val="Compact"/>
                    <w:jc w:val="right"/>
                    <w:jc w:val="center"/>
                  </w:pPr>
                  <w:r>
                    <w:t xml:space="preserve">[-0.0437, -0.0026]</w:t>
                  </w:r>
                </w:p>
              </w:tc>
              <w:tc>
                <w:tcPr/>
                <w:p>
                  <w:pPr>
                    <w:pStyle w:val="Compact"/>
                    <w:jc w:val="right"/>
                    <w:jc w:val="center"/>
                  </w:pPr>
                  <w:r>
                    <w:t xml:space="preserve">.99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-0.0015</w:t>
                  </w:r>
                </w:p>
              </w:tc>
              <w:tc>
                <w:tcPr/>
                <w:p>
                  <w:pPr>
                    <w:pStyle w:val="Compact"/>
                    <w:jc w:val="right"/>
                    <w:jc w:val="center"/>
                  </w:pPr>
                  <w:r>
                    <w:t xml:space="preserve">[-0.0162, 0.0130]</w:t>
                  </w:r>
                </w:p>
              </w:tc>
              <w:tc>
                <w:tcPr/>
                <w:p>
                  <w:pPr>
                    <w:pStyle w:val="Compact"/>
                    <w:jc w:val="right"/>
                    <w:jc w:val="center"/>
                  </w:pPr>
                  <w:r>
                    <w:t xml:space="preserve">.58</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-0.0065</w:t>
                  </w:r>
                </w:p>
              </w:tc>
              <w:tc>
                <w:tcPr/>
                <w:p>
                  <w:pPr>
                    <w:pStyle w:val="Compact"/>
                    <w:jc w:val="right"/>
                    <w:jc w:val="center"/>
                  </w:pPr>
                  <w:r>
                    <w:t xml:space="preserve">[-0.0280, 0.0146]</w:t>
                  </w:r>
                </w:p>
              </w:tc>
              <w:tc>
                <w:tcPr/>
                <w:p>
                  <w:pPr>
                    <w:pStyle w:val="Compact"/>
                    <w:jc w:val="right"/>
                    <w:jc w:val="center"/>
                  </w:pPr>
                  <w:r>
                    <w:t xml:space="preserve">.73</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0.0036</w:t>
                  </w:r>
                </w:p>
              </w:tc>
              <w:tc>
                <w:tcPr/>
                <w:p>
                  <w:pPr>
                    <w:pStyle w:val="Compact"/>
                    <w:jc w:val="right"/>
                    <w:jc w:val="center"/>
                  </w:pPr>
                  <w:r>
                    <w:t xml:space="preserve">[-0.0165, 0.0235]</w:t>
                  </w:r>
                </w:p>
              </w:tc>
              <w:tc>
                <w:tcPr/>
                <w:p>
                  <w:pPr>
                    <w:pStyle w:val="Compact"/>
                    <w:jc w:val="right"/>
                    <w:jc w:val="center"/>
                  </w:pPr>
                  <w:r>
                    <w:t xml:space="preserve">.64</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-0.0103</w:t>
                  </w:r>
                </w:p>
              </w:tc>
              <w:tc>
                <w:tcPr/>
                <w:p>
                  <w:pPr>
                    <w:pStyle w:val="Compact"/>
                    <w:jc w:val="right"/>
                    <w:jc w:val="center"/>
                  </w:pPr>
                  <w:r>
                    <w:t xml:space="preserve">[-0.0396, 0.0188]</w:t>
                  </w:r>
                </w:p>
              </w:tc>
              <w:tc>
                <w:tcPr/>
                <w:p>
                  <w:pPr>
                    <w:pStyle w:val="Compact"/>
                    <w:jc w:val="right"/>
                    <w:jc w:val="center"/>
                  </w:pPr>
                  <w:r>
                    <w:t xml:space="preserve">.75</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0.0064</w:t>
                  </w:r>
                </w:p>
              </w:tc>
              <w:tc>
                <w:tcPr/>
                <w:p>
                  <w:pPr>
                    <w:pStyle w:val="Compact"/>
                    <w:jc w:val="right"/>
                    <w:jc w:val="center"/>
                  </w:pPr>
                  <w:r>
                    <w:t xml:space="preserve">[-0.0042, 0.0171]</w:t>
                  </w:r>
                </w:p>
              </w:tc>
              <w:tc>
                <w:tcPr/>
                <w:p>
                  <w:pPr>
                    <w:pStyle w:val="Compact"/>
                    <w:jc w:val="right"/>
                    <w:jc w:val="center"/>
                  </w:pPr>
                  <w:r>
                    <w:t xml:space="preserve">.88</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-0.0081</w:t>
                  </w:r>
                </w:p>
              </w:tc>
              <w:tc>
                <w:tcPr/>
                <w:p>
                  <w:pPr>
                    <w:pStyle w:val="Compact"/>
                    <w:jc w:val="right"/>
                    <w:jc w:val="center"/>
                  </w:pPr>
                  <w:r>
                    <w:t xml:space="preserve">[-0.0235, 0.0073]</w:t>
                  </w:r>
                </w:p>
              </w:tc>
              <w:tc>
                <w:tcPr/>
                <w:p>
                  <w:pPr>
                    <w:pStyle w:val="Compact"/>
                    <w:jc w:val="right"/>
                    <w:jc w:val="center"/>
                  </w:pPr>
                  <w:r>
                    <w:t xml:space="preserve">.85</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0.0214</w:t>
                  </w:r>
                </w:p>
              </w:tc>
              <w:tc>
                <w:tcPr/>
                <w:p>
                  <w:pPr>
                    <w:pStyle w:val="Compact"/>
                    <w:jc w:val="right"/>
                    <w:jc w:val="center"/>
                  </w:pPr>
                  <w:r>
                    <w:t xml:space="preserve">[0.0067, 0.0360]</w:t>
                  </w:r>
                </w:p>
              </w:tc>
              <w:tc>
                <w:tcPr/>
                <w:p>
                  <w:pPr>
                    <w:pStyle w:val="Compact"/>
                    <w:jc w:val="right"/>
                    <w:jc w:val="center"/>
                  </w:pPr>
                  <w:r>
                    <w:t xml:space="preserve">.998</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-0.0295</w:t>
                  </w:r>
                </w:p>
              </w:tc>
              <w:tc>
                <w:tcPr/>
                <w:p>
                  <w:pPr>
                    <w:pStyle w:val="Compact"/>
                    <w:jc w:val="right"/>
                    <w:jc w:val="center"/>
                  </w:pPr>
                  <w:r>
                    <w:t xml:space="preserve">[-0.0507, -0.0081]</w:t>
                  </w:r>
                </w:p>
              </w:tc>
              <w:tc>
                <w:tcPr/>
                <w:p>
                  <w:pPr>
                    <w:pStyle w:val="Compact"/>
                    <w:jc w:val="right"/>
                    <w:jc w:val="center"/>
                  </w:pPr>
                  <w:r>
                    <w:t xml:space="preserve">.997</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-0.0022</w:t>
                  </w:r>
                </w:p>
              </w:tc>
              <w:tc>
                <w:tcPr/>
                <w:p>
                  <w:pPr>
                    <w:pStyle w:val="Compact"/>
                    <w:jc w:val="right"/>
                    <w:jc w:val="center"/>
                  </w:pPr>
                  <w:r>
                    <w:t xml:space="preserve">[-0.0172, 0.0129]</w:t>
                  </w:r>
                </w:p>
              </w:tc>
              <w:tc>
                <w:tcPr/>
                <w:p>
                  <w:pPr>
                    <w:pStyle w:val="Compact"/>
                    <w:jc w:val="right"/>
                    <w:jc w:val="center"/>
                  </w:pPr>
                  <w:r>
                    <w:t xml:space="preserve">.61</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-0.0105</w:t>
                  </w:r>
                </w:p>
              </w:tc>
              <w:tc>
                <w:tcPr/>
                <w:p>
                  <w:pPr>
                    <w:pStyle w:val="Compact"/>
                    <w:jc w:val="right"/>
                    <w:jc w:val="center"/>
                  </w:pPr>
                  <w:r>
                    <w:t xml:space="preserve">[-0.0319, 0.0112]</w:t>
                  </w:r>
                </w:p>
              </w:tc>
              <w:tc>
                <w:tcPr/>
                <w:p>
                  <w:pPr>
                    <w:pStyle w:val="Compact"/>
                    <w:jc w:val="right"/>
                    <w:jc w:val="center"/>
                  </w:pPr>
                  <w:r>
                    <w:t xml:space="preserve">.83</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0.0063</w:t>
                  </w:r>
                </w:p>
              </w:tc>
              <w:tc>
                <w:tcPr/>
                <w:p>
                  <w:pPr>
                    <w:pStyle w:val="Compact"/>
                    <w:jc w:val="right"/>
                    <w:jc w:val="center"/>
                  </w:pPr>
                  <w:r>
                    <w:t xml:space="preserve">[-0.0143, 0.0271]</w:t>
                  </w:r>
                </w:p>
              </w:tc>
              <w:tc>
                <w:tcPr/>
                <w:p>
                  <w:pPr>
                    <w:pStyle w:val="Compact"/>
                    <w:jc w:val="right"/>
                    <w:jc w:val="center"/>
                  </w:pPr>
                  <w:r>
                    <w:t xml:space="preserve">.73</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-0.0169</w:t>
                  </w:r>
                </w:p>
              </w:tc>
              <w:tc>
                <w:tcPr/>
                <w:p>
                  <w:pPr>
                    <w:pStyle w:val="Compact"/>
                    <w:jc w:val="right"/>
                    <w:jc w:val="center"/>
                  </w:pPr>
                  <w:r>
                    <w:t xml:space="preserve">[-0.0465, 0.0129]</w:t>
                  </w:r>
                </w:p>
              </w:tc>
              <w:tc>
                <w:tcPr/>
                <w:p>
                  <w:pPr>
                    <w:pStyle w:val="Compact"/>
                    <w:jc w:val="right"/>
                    <w:jc w:val="center"/>
                  </w:pPr>
                  <w:r>
                    <w:t xml:space="preserve">.86</w:t>
                  </w:r>
                </w:p>
              </w:tc>
            </w:tr>
            <w:tr>
              <w:tc>
                <w:tcPr/>
                <w:p>
                  <w:pPr>
                    <w:pStyle w:val="Compact"/>
                    <w:jc w:val="left"/>
                    <w:jc w:val="center"/>
                  </w:pPr>
                  <w:r>
                    <w:t xml:space="preserve">Object marking</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Overall</w:t>
                  </w:r>
                </w:p>
              </w:tc>
              <w:tc>
                <w:tcPr/>
                <w:p>
                  <w:pPr>
                    <w:pStyle w:val="Compact"/>
                    <w:jc w:val="right"/>
                    <w:jc w:val="center"/>
                  </w:pPr>
                  <w:r>
                    <w:t xml:space="preserve">-0.31</w:t>
                  </w:r>
                </w:p>
              </w:tc>
              <w:tc>
                <w:tcPr/>
                <w:p>
                  <w:pPr>
                    <w:pStyle w:val="Compact"/>
                    <w:jc w:val="right"/>
                    <w:jc w:val="center"/>
                  </w:pPr>
                  <w:r>
                    <w:t xml:space="preserve">[-0.41, -0.21]</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Mini Norwegian</w:t>
                  </w:r>
                </w:p>
              </w:tc>
              <w:tc>
                <w:tcPr/>
                <w:p>
                  <w:pPr>
                    <w:pStyle w:val="Compact"/>
                    <w:jc w:val="right"/>
                    <w:jc w:val="center"/>
                  </w:pPr>
                  <w:r>
                    <w:t xml:space="preserve">-0.22</w:t>
                  </w:r>
                </w:p>
              </w:tc>
              <w:tc>
                <w:tcPr/>
                <w:p>
                  <w:pPr>
                    <w:pStyle w:val="Compact"/>
                    <w:jc w:val="right"/>
                    <w:jc w:val="center"/>
                  </w:pPr>
                  <w:r>
                    <w:t xml:space="preserve">[-0.35, -0.10]</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Mini English</w:t>
                  </w:r>
                </w:p>
              </w:tc>
              <w:tc>
                <w:tcPr/>
                <w:p>
                  <w:pPr>
                    <w:pStyle w:val="Compact"/>
                    <w:jc w:val="right"/>
                    <w:jc w:val="center"/>
                  </w:pPr>
                  <w:r>
                    <w:t xml:space="preserve">-0.40</w:t>
                  </w:r>
                </w:p>
              </w:tc>
              <w:tc>
                <w:tcPr/>
                <w:p>
                  <w:pPr>
                    <w:pStyle w:val="Compact"/>
                    <w:jc w:val="right"/>
                    <w:jc w:val="center"/>
                  </w:pPr>
                  <w:r>
                    <w:t xml:space="preserve">[-0.57, -0.24]</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Between languages</w:t>
                  </w:r>
                </w:p>
              </w:tc>
              <w:tc>
                <w:tcPr/>
                <w:p>
                  <w:pPr>
                    <w:pStyle w:val="Compact"/>
                    <w:jc w:val="right"/>
                    <w:jc w:val="center"/>
                  </w:pPr>
                  <w:r>
                    <w:t xml:space="preserve">0.18</w:t>
                  </w:r>
                </w:p>
              </w:tc>
              <w:tc>
                <w:tcPr/>
                <w:p>
                  <w:pPr>
                    <w:pStyle w:val="Compact"/>
                    <w:jc w:val="right"/>
                    <w:jc w:val="center"/>
                  </w:pPr>
                  <w:r>
                    <w:t xml:space="preserve">[-0.02, 0.39]</w:t>
                  </w:r>
                </w:p>
              </w:tc>
              <w:tc>
                <w:tcPr/>
                <w:p>
                  <w:pPr>
                    <w:pStyle w:val="Compact"/>
                    <w:jc w:val="right"/>
                    <w:jc w:val="center"/>
                  </w:pPr>
                  <w:r>
                    <w:t xml:space="preserve">.96</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0.0108</w:t>
                  </w:r>
                </w:p>
              </w:tc>
              <w:tc>
                <w:tcPr/>
                <w:p>
                  <w:pPr>
                    <w:pStyle w:val="Compact"/>
                    <w:jc w:val="right"/>
                    <w:jc w:val="center"/>
                  </w:pPr>
                  <w:r>
                    <w:t xml:space="preserve">[-0.0096, 0.0310]</w:t>
                  </w:r>
                </w:p>
              </w:tc>
              <w:tc>
                <w:tcPr/>
                <w:p>
                  <w:pPr>
                    <w:pStyle w:val="Compact"/>
                    <w:jc w:val="right"/>
                    <w:jc w:val="center"/>
                  </w:pPr>
                  <w:r>
                    <w:t xml:space="preserve">.85</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0.0187</w:t>
                  </w:r>
                </w:p>
              </w:tc>
              <w:tc>
                <w:tcPr/>
                <w:p>
                  <w:pPr>
                    <w:pStyle w:val="Compact"/>
                    <w:jc w:val="right"/>
                    <w:jc w:val="center"/>
                  </w:pPr>
                  <w:r>
                    <w:t xml:space="preserve">[-0.0100, 0.0477]</w:t>
                  </w:r>
                </w:p>
              </w:tc>
              <w:tc>
                <w:tcPr/>
                <w:p>
                  <w:pPr>
                    <w:pStyle w:val="Compact"/>
                    <w:jc w:val="right"/>
                    <w:jc w:val="center"/>
                  </w:pPr>
                  <w:r>
                    <w:t xml:space="preserve">.90</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0.0022</w:t>
                  </w:r>
                </w:p>
              </w:tc>
              <w:tc>
                <w:tcPr/>
                <w:p>
                  <w:pPr>
                    <w:pStyle w:val="Compact"/>
                    <w:jc w:val="right"/>
                    <w:jc w:val="center"/>
                  </w:pPr>
                  <w:r>
                    <w:t xml:space="preserve">[-0.0267, 0.0311]</w:t>
                  </w:r>
                </w:p>
              </w:tc>
              <w:tc>
                <w:tcPr/>
                <w:p>
                  <w:pPr>
                    <w:pStyle w:val="Compact"/>
                    <w:jc w:val="right"/>
                    <w:jc w:val="center"/>
                  </w:pPr>
                  <w:r>
                    <w:t xml:space="preserve">.56</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0.0164</w:t>
                  </w:r>
                </w:p>
              </w:tc>
              <w:tc>
                <w:tcPr/>
                <w:p>
                  <w:pPr>
                    <w:pStyle w:val="Compact"/>
                    <w:jc w:val="right"/>
                    <w:jc w:val="center"/>
                  </w:pPr>
                  <w:r>
                    <w:t xml:space="preserve">[-0.0244, 0.0575]</w:t>
                  </w:r>
                </w:p>
              </w:tc>
              <w:tc>
                <w:tcPr/>
                <w:p>
                  <w:pPr>
                    <w:pStyle w:val="Compact"/>
                    <w:jc w:val="right"/>
                    <w:jc w:val="center"/>
                  </w:pPr>
                  <w:r>
                    <w:t xml:space="preserve">.79</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-0.0016</w:t>
                  </w:r>
                </w:p>
              </w:tc>
              <w:tc>
                <w:tcPr/>
                <w:p>
                  <w:pPr>
                    <w:pStyle w:val="Compact"/>
                    <w:jc w:val="right"/>
                    <w:jc w:val="center"/>
                  </w:pPr>
                  <w:r>
                    <w:t xml:space="preserve">[-0.0303, 0.0273]</w:t>
                  </w:r>
                </w:p>
              </w:tc>
              <w:tc>
                <w:tcPr/>
                <w:p>
                  <w:pPr>
                    <w:pStyle w:val="Compact"/>
                    <w:jc w:val="right"/>
                    <w:jc w:val="center"/>
                  </w:pPr>
                  <w:r>
                    <w:t xml:space="preserve">.54</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0.0047</w:t>
                  </w:r>
                </w:p>
              </w:tc>
              <w:tc>
                <w:tcPr/>
                <w:p>
                  <w:pPr>
                    <w:pStyle w:val="Compact"/>
                    <w:jc w:val="right"/>
                    <w:jc w:val="center"/>
                  </w:pPr>
                  <w:r>
                    <w:t xml:space="preserve">[-0.0360, 0.0451]</w:t>
                  </w:r>
                </w:p>
              </w:tc>
              <w:tc>
                <w:tcPr/>
                <w:p>
                  <w:pPr>
                    <w:pStyle w:val="Compact"/>
                    <w:jc w:val="right"/>
                    <w:jc w:val="center"/>
                  </w:pPr>
                  <w:r>
                    <w:t xml:space="preserve">.59</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-0.0081</w:t>
                  </w:r>
                </w:p>
              </w:tc>
              <w:tc>
                <w:tcPr/>
                <w:p>
                  <w:pPr>
                    <w:pStyle w:val="Compact"/>
                    <w:jc w:val="right"/>
                    <w:jc w:val="center"/>
                  </w:pPr>
                  <w:r>
                    <w:t xml:space="preserve">[-0.0485, 0.0327]</w:t>
                  </w:r>
                </w:p>
              </w:tc>
              <w:tc>
                <w:tcPr/>
                <w:p>
                  <w:pPr>
                    <w:pStyle w:val="Compact"/>
                    <w:jc w:val="right"/>
                    <w:jc w:val="center"/>
                  </w:pPr>
                  <w:r>
                    <w:t xml:space="preserve">.65</w:t>
                  </w:r>
                </w:p>
              </w:tc>
            </w:tr>
            <w:tr>
              <w:tc>
                <w:tcPr/>
                <w:p>
                  <w:pPr>
                    <w:pStyle w:val="Compact"/>
                    <w:jc w:val="left"/>
                    <w:jc w:val="center"/>
                  </w:pPr>
                  <w:r>
                    <w:t xml:space="preserve">Number agreement</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0.0127</w:t>
                  </w:r>
                </w:p>
              </w:tc>
              <w:tc>
                <w:tcPr/>
                <w:p>
                  <w:pPr>
                    <w:pStyle w:val="Compact"/>
                    <w:jc w:val="right"/>
                    <w:jc w:val="center"/>
                  </w:pPr>
                  <w:r>
                    <w:t xml:space="preserve">[-0.0449, 0.0705]</w:t>
                  </w:r>
                </w:p>
              </w:tc>
              <w:tc>
                <w:tcPr/>
                <w:p>
                  <w:pPr>
                    <w:pStyle w:val="Compact"/>
                    <w:jc w:val="right"/>
                    <w:jc w:val="center"/>
                  </w:pPr>
                  <w:r>
                    <w:t xml:space="preserve">.67</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0.0136</w:t>
                  </w:r>
                </w:p>
              </w:tc>
              <w:tc>
                <w:tcPr/>
                <w:p>
                  <w:pPr>
                    <w:pStyle w:val="Compact"/>
                    <w:jc w:val="right"/>
                    <w:jc w:val="center"/>
                  </w:pPr>
                  <w:r>
                    <w:t xml:space="preserve">[-0.0075, 0.0348]</w:t>
                  </w:r>
                </w:p>
              </w:tc>
              <w:tc>
                <w:tcPr/>
                <w:p>
                  <w:pPr>
                    <w:pStyle w:val="Compact"/>
                    <w:jc w:val="right"/>
                    <w:jc w:val="center"/>
                  </w:pPr>
                  <w:r>
                    <w:t xml:space="preserve">.90</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0.0191</w:t>
                  </w:r>
                </w:p>
              </w:tc>
              <w:tc>
                <w:tcPr/>
                <w:p>
                  <w:pPr>
                    <w:pStyle w:val="Compact"/>
                    <w:jc w:val="right"/>
                    <w:jc w:val="center"/>
                  </w:pPr>
                  <w:r>
                    <w:t xml:space="preserve">[-0.0106, 0.0494]</w:t>
                  </w:r>
                </w:p>
              </w:tc>
              <w:tc>
                <w:tcPr/>
                <w:p>
                  <w:pPr>
                    <w:pStyle w:val="Compact"/>
                    <w:jc w:val="right"/>
                    <w:jc w:val="center"/>
                  </w:pPr>
                  <w:r>
                    <w:t xml:space="preserve">.89</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0.0078</w:t>
                  </w:r>
                </w:p>
              </w:tc>
              <w:tc>
                <w:tcPr/>
                <w:p>
                  <w:pPr>
                    <w:pStyle w:val="Compact"/>
                    <w:jc w:val="right"/>
                    <w:jc w:val="center"/>
                  </w:pPr>
                  <w:r>
                    <w:t xml:space="preserve">[-0.0217, 0.0375]</w:t>
                  </w:r>
                </w:p>
              </w:tc>
              <w:tc>
                <w:tcPr/>
                <w:p>
                  <w:pPr>
                    <w:pStyle w:val="Compact"/>
                    <w:jc w:val="right"/>
                    <w:jc w:val="center"/>
                  </w:pPr>
                  <w:r>
                    <w:t xml:space="preserve">.69</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0.0112</w:t>
                  </w:r>
                </w:p>
              </w:tc>
              <w:tc>
                <w:tcPr/>
                <w:p>
                  <w:pPr>
                    <w:pStyle w:val="Compact"/>
                    <w:jc w:val="right"/>
                    <w:jc w:val="center"/>
                  </w:pPr>
                  <w:r>
                    <w:t xml:space="preserve">[-0.0303, 0.0539]</w:t>
                  </w:r>
                </w:p>
              </w:tc>
              <w:tc>
                <w:tcPr/>
                <w:p>
                  <w:pPr>
                    <w:pStyle w:val="Compact"/>
                    <w:jc w:val="right"/>
                    <w:jc w:val="center"/>
                  </w:pPr>
                  <w:r>
                    <w:t xml:space="preserve">.70</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0.0074</w:t>
                  </w:r>
                </w:p>
              </w:tc>
              <w:tc>
                <w:tcPr/>
                <w:p>
                  <w:pPr>
                    <w:pStyle w:val="Compact"/>
                    <w:jc w:val="right"/>
                    <w:jc w:val="center"/>
                  </w:pPr>
                  <w:r>
                    <w:t xml:space="preserve">[-0.0222, 0.0365]</w:t>
                  </w:r>
                </w:p>
              </w:tc>
              <w:tc>
                <w:tcPr/>
                <w:p>
                  <w:pPr>
                    <w:pStyle w:val="Compact"/>
                    <w:jc w:val="right"/>
                    <w:jc w:val="center"/>
                  </w:pPr>
                  <w:r>
                    <w:t xml:space="preserve">.68</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0.0137</w:t>
                  </w:r>
                </w:p>
              </w:tc>
              <w:tc>
                <w:tcPr/>
                <w:p>
                  <w:pPr>
                    <w:pStyle w:val="Compact"/>
                    <w:jc w:val="right"/>
                    <w:jc w:val="center"/>
                  </w:pPr>
                  <w:r>
                    <w:t xml:space="preserve">[-0.0283, 0.0558]</w:t>
                  </w:r>
                </w:p>
              </w:tc>
              <w:tc>
                <w:tcPr/>
                <w:p>
                  <w:pPr>
                    <w:pStyle w:val="Compact"/>
                    <w:jc w:val="right"/>
                    <w:jc w:val="center"/>
                  </w:pPr>
                  <w:r>
                    <w:t xml:space="preserve">.74</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0.0005</w:t>
                  </w:r>
                </w:p>
              </w:tc>
              <w:tc>
                <w:tcPr/>
                <w:p>
                  <w:pPr>
                    <w:pStyle w:val="Compact"/>
                    <w:jc w:val="right"/>
                    <w:jc w:val="center"/>
                  </w:pPr>
                  <w:r>
                    <w:t xml:space="preserve">[-0.0414, 0.0421]</w:t>
                  </w:r>
                </w:p>
              </w:tc>
              <w:tc>
                <w:tcPr/>
                <w:p>
                  <w:pPr>
                    <w:pStyle w:val="Compact"/>
                    <w:jc w:val="right"/>
                    <w:jc w:val="center"/>
                  </w:pPr>
                  <w:r>
                    <w:t xml:space="preserve">.51</w:t>
                  </w:r>
                </w:p>
              </w:tc>
            </w:tr>
            <w:tr>
              <w:tc>
                <w:tcPr/>
                <w:p>
                  <w:pPr>
                    <w:pStyle w:val="Compact"/>
                    <w:jc w:val="left"/>
                    <w:jc w:val="center"/>
                  </w:pPr>
                  <w:r>
                    <w:t xml:space="preserve">Number agreement</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0.0135</w:t>
                  </w:r>
                </w:p>
              </w:tc>
              <w:tc>
                <w:tcPr/>
                <w:p>
                  <w:pPr>
                    <w:pStyle w:val="Compact"/>
                    <w:jc w:val="right"/>
                    <w:jc w:val="center"/>
                  </w:pPr>
                  <w:r>
                    <w:t xml:space="preserve">[-0.0460, 0.0731]</w:t>
                  </w:r>
                </w:p>
              </w:tc>
              <w:tc>
                <w:tcPr/>
                <w:p>
                  <w:pPr>
                    <w:pStyle w:val="Compact"/>
                    <w:jc w:val="right"/>
                    <w:jc w:val="center"/>
                  </w:pPr>
                  <w:r>
                    <w:t xml:space="preserve">.67</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0.0305</w:t>
                  </w:r>
                </w:p>
              </w:tc>
              <w:tc>
                <w:tcPr/>
                <w:p>
                  <w:pPr>
                    <w:pStyle w:val="Compact"/>
                    <w:jc w:val="right"/>
                    <w:jc w:val="center"/>
                  </w:pPr>
                  <w:r>
                    <w:t xml:space="preserve">[0.0084, 0.0526]</w:t>
                  </w:r>
                </w:p>
              </w:tc>
              <w:tc>
                <w:tcPr/>
                <w:p>
                  <w:pPr>
                    <w:pStyle w:val="Compact"/>
                    <w:jc w:val="right"/>
                    <w:jc w:val="center"/>
                  </w:pPr>
                  <w:r>
                    <w:t xml:space="preserve">.997</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0.0551</w:t>
                  </w:r>
                </w:p>
              </w:tc>
              <w:tc>
                <w:tcPr/>
                <w:p>
                  <w:pPr>
                    <w:pStyle w:val="Compact"/>
                    <w:jc w:val="right"/>
                    <w:jc w:val="center"/>
                  </w:pPr>
                  <w:r>
                    <w:t xml:space="preserve">[0.0241, 0.0866]</w:t>
                  </w:r>
                </w:p>
              </w:tc>
              <w:tc>
                <w:tcPr/>
                <w:p>
                  <w:pPr>
                    <w:pStyle w:val="Compact"/>
                    <w:jc w:val="right"/>
                    <w:jc w:val="center"/>
                  </w:pPr>
                  <w:r>
                    <w:t xml:space="preserve">&gt; .999</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0.0043</w:t>
                  </w:r>
                </w:p>
              </w:tc>
              <w:tc>
                <w:tcPr/>
                <w:p>
                  <w:pPr>
                    <w:pStyle w:val="Compact"/>
                    <w:jc w:val="right"/>
                    <w:jc w:val="center"/>
                  </w:pPr>
                  <w:r>
                    <w:t xml:space="preserve">[-0.0271, 0.0357]</w:t>
                  </w:r>
                </w:p>
              </w:tc>
              <w:tc>
                <w:tcPr/>
                <w:p>
                  <w:pPr>
                    <w:pStyle w:val="Compact"/>
                    <w:jc w:val="right"/>
                    <w:jc w:val="center"/>
                  </w:pPr>
                  <w:r>
                    <w:t xml:space="preserve">.61</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0.0508</w:t>
                  </w:r>
                </w:p>
              </w:tc>
              <w:tc>
                <w:tcPr/>
                <w:p>
                  <w:pPr>
                    <w:pStyle w:val="Compact"/>
                    <w:jc w:val="right"/>
                    <w:jc w:val="center"/>
                  </w:pPr>
                  <w:r>
                    <w:t xml:space="preserve">[0.0066, 0.0955]</w:t>
                  </w:r>
                </w:p>
              </w:tc>
              <w:tc>
                <w:tcPr/>
                <w:p>
                  <w:pPr>
                    <w:pStyle w:val="Compact"/>
                    <w:jc w:val="right"/>
                    <w:jc w:val="center"/>
                  </w:pPr>
                  <w:r>
                    <w:t xml:space="preserve">.99</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Overall</w:t>
                  </w:r>
                </w:p>
              </w:tc>
              <w:tc>
                <w:tcPr/>
                <w:p>
                  <w:pPr>
                    <w:pStyle w:val="Compact"/>
                    <w:jc w:val="right"/>
                    <w:jc w:val="center"/>
                  </w:pPr>
                  <w:r>
                    <w:t xml:space="preserve">0.0300</w:t>
                  </w:r>
                </w:p>
              </w:tc>
              <w:tc>
                <w:tcPr/>
                <w:p>
                  <w:pPr>
                    <w:pStyle w:val="Compact"/>
                    <w:jc w:val="right"/>
                    <w:jc w:val="center"/>
                  </w:pPr>
                  <w:r>
                    <w:t xml:space="preserve">[-0.0017, 0.0612]</w:t>
                  </w:r>
                </w:p>
              </w:tc>
              <w:tc>
                <w:tcPr/>
                <w:p>
                  <w:pPr>
                    <w:pStyle w:val="Compact"/>
                    <w:jc w:val="right"/>
                    <w:jc w:val="center"/>
                  </w:pPr>
                  <w:r>
                    <w:t xml:space="preserve">.97</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Norwegian</w:t>
                  </w:r>
                </w:p>
              </w:tc>
              <w:tc>
                <w:tcPr/>
                <w:p>
                  <w:pPr>
                    <w:pStyle w:val="Compact"/>
                    <w:jc w:val="right"/>
                    <w:jc w:val="center"/>
                  </w:pPr>
                  <w:r>
                    <w:t xml:space="preserve">0.0546</w:t>
                  </w:r>
                </w:p>
              </w:tc>
              <w:tc>
                <w:tcPr/>
                <w:p>
                  <w:pPr>
                    <w:pStyle w:val="Compact"/>
                    <w:jc w:val="right"/>
                    <w:jc w:val="center"/>
                  </w:pPr>
                  <w:r>
                    <w:t xml:space="preserve">[0.0107, 0.0988]</w:t>
                  </w:r>
                </w:p>
              </w:tc>
              <w:tc>
                <w:tcPr/>
                <w:p>
                  <w:pPr>
                    <w:pStyle w:val="Compact"/>
                    <w:jc w:val="right"/>
                    <w:jc w:val="center"/>
                  </w:pPr>
                  <w:r>
                    <w:t xml:space="preserve">.99</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Mini English</w:t>
                  </w:r>
                </w:p>
              </w:tc>
              <w:tc>
                <w:tcPr/>
                <w:p>
                  <w:pPr>
                    <w:pStyle w:val="Compact"/>
                    <w:jc w:val="right"/>
                    <w:jc w:val="center"/>
                  </w:pPr>
                  <w:r>
                    <w:t xml:space="preserve">0.0039</w:t>
                  </w:r>
                </w:p>
              </w:tc>
              <w:tc>
                <w:tcPr/>
                <w:p>
                  <w:pPr>
                    <w:pStyle w:val="Compact"/>
                    <w:jc w:val="right"/>
                    <w:jc w:val="center"/>
                  </w:pPr>
                  <w:r>
                    <w:t xml:space="preserve">[-0.0409, 0.0475]</w:t>
                  </w:r>
                </w:p>
              </w:tc>
              <w:tc>
                <w:tcPr/>
                <w:p>
                  <w:pPr>
                    <w:pStyle w:val="Compact"/>
                    <w:jc w:val="right"/>
                    <w:jc w:val="center"/>
                  </w:pPr>
                  <w:r>
                    <w:t xml:space="preserve">.57</w:t>
                  </w:r>
                </w:p>
              </w:tc>
            </w:tr>
            <w:tr>
              <w:tc>
                <w:tcPr/>
                <w:p>
                  <w:pPr>
                    <w:pStyle w:val="Compact"/>
                    <w:jc w:val="left"/>
                    <w:jc w:val="center"/>
                  </w:pPr>
                  <w:r>
                    <w:t xml:space="preserve">Number agreement</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ERP</w:t>
                  </w:r>
                </w:p>
              </w:tc>
              <w:tc>
                <w:tcPr/>
                <w:p>
                  <w:pPr>
                    <w:pStyle w:val="Compact"/>
                    <w:jc w:val="left"/>
                    <w:jc w:val="center"/>
                  </w:pPr>
                  <w:r>
                    <w:t xml:space="preserve">Between languages</w:t>
                  </w:r>
                </w:p>
              </w:tc>
              <w:tc>
                <w:tcPr/>
                <w:p>
                  <w:pPr>
                    <w:pStyle w:val="Compact"/>
                    <w:jc w:val="right"/>
                    <w:jc w:val="center"/>
                  </w:pPr>
                  <w:r>
                    <w:t xml:space="preserve">0.0509</w:t>
                  </w:r>
                </w:p>
              </w:tc>
              <w:tc>
                <w:tcPr/>
                <w:p>
                  <w:pPr>
                    <w:pStyle w:val="Compact"/>
                    <w:jc w:val="right"/>
                    <w:jc w:val="center"/>
                  </w:pPr>
                  <w:r>
                    <w:t xml:space="preserve">[-0.0110, 0.1138]</w:t>
                  </w:r>
                </w:p>
              </w:tc>
              <w:tc>
                <w:tcPr/>
                <w:p>
                  <w:pPr>
                    <w:pStyle w:val="Compact"/>
                    <w:jc w:val="right"/>
                    <w:jc w:val="center"/>
                  </w:pPr>
                  <w:r>
                    <w:t xml:space="preserve">.95</w:t>
                  </w:r>
                </w:p>
              </w:tc>
            </w:tr>
            <w:tr>
              <w:tc>
                <w:tcPr/>
                <w:p>
                  <w:pPr>
                    <w:pStyle w:val="Compact"/>
                    <w:jc w:val="left"/>
                    <w:jc w:val="center"/>
                  </w:pPr>
                  <w:r>
                    <w:t xml:space="preserve">Number agreement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Overall</w:t>
                  </w:r>
                </w:p>
              </w:tc>
              <w:tc>
                <w:tcPr/>
                <w:p>
                  <w:pPr>
                    <w:pStyle w:val="Compact"/>
                    <w:jc w:val="right"/>
                    <w:jc w:val="center"/>
                  </w:pPr>
                  <w:r>
                    <w:t xml:space="preserve">-0.11</w:t>
                  </w:r>
                </w:p>
              </w:tc>
              <w:tc>
                <w:tcPr/>
                <w:p>
                  <w:pPr>
                    <w:pStyle w:val="Compact"/>
                    <w:jc w:val="right"/>
                    <w:jc w:val="center"/>
                  </w:pPr>
                  <w:r>
                    <w:t xml:space="preserve">[-0.27, 0.06]</w:t>
                  </w:r>
                </w:p>
              </w:tc>
              <w:tc>
                <w:tcPr/>
                <w:p>
                  <w:pPr>
                    <w:pStyle w:val="Compact"/>
                    <w:jc w:val="right"/>
                    <w:jc w:val="center"/>
                  </w:pPr>
                  <w:r>
                    <w:t xml:space="preserve">.89</w:t>
                  </w:r>
                </w:p>
              </w:tc>
            </w:tr>
            <w:tr>
              <w:tc>
                <w:tcPr/>
                <w:p>
                  <w:pPr>
                    <w:pStyle w:val="Compact"/>
                    <w:jc w:val="left"/>
                    <w:jc w:val="center"/>
                  </w:pPr>
                  <w:r>
                    <w:t xml:space="preserve">Number agreement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Mini Norwegian</w:t>
                  </w:r>
                </w:p>
              </w:tc>
              <w:tc>
                <w:tcPr/>
                <w:p>
                  <w:pPr>
                    <w:pStyle w:val="Compact"/>
                    <w:jc w:val="right"/>
                    <w:jc w:val="center"/>
                  </w:pPr>
                  <w:r>
                    <w:t xml:space="preserve">-0.02</w:t>
                  </w:r>
                </w:p>
              </w:tc>
              <w:tc>
                <w:tcPr/>
                <w:p>
                  <w:pPr>
                    <w:pStyle w:val="Compact"/>
                    <w:jc w:val="right"/>
                    <w:jc w:val="center"/>
                  </w:pPr>
                  <w:r>
                    <w:t xml:space="preserve">[-0.25, 0.21]</w:t>
                  </w:r>
                </w:p>
              </w:tc>
              <w:tc>
                <w:tcPr/>
                <w:p>
                  <w:pPr>
                    <w:pStyle w:val="Compact"/>
                    <w:jc w:val="right"/>
                    <w:jc w:val="center"/>
                  </w:pPr>
                  <w:r>
                    <w:t xml:space="preserve">.57</w:t>
                  </w:r>
                </w:p>
              </w:tc>
            </w:tr>
            <w:tr>
              <w:tc>
                <w:tcPr/>
                <w:p>
                  <w:pPr>
                    <w:pStyle w:val="Compact"/>
                    <w:jc w:val="left"/>
                    <w:jc w:val="center"/>
                  </w:pPr>
                  <w:r>
                    <w:t xml:space="preserve">Number agreement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Mini English</w:t>
                  </w:r>
                </w:p>
              </w:tc>
              <w:tc>
                <w:tcPr/>
                <w:p>
                  <w:pPr>
                    <w:pStyle w:val="Compact"/>
                    <w:jc w:val="right"/>
                    <w:jc w:val="center"/>
                  </w:pPr>
                  <w:r>
                    <w:t xml:space="preserve">-0.20</w:t>
                  </w:r>
                </w:p>
              </w:tc>
              <w:tc>
                <w:tcPr/>
                <w:p>
                  <w:pPr>
                    <w:pStyle w:val="Compact"/>
                    <w:jc w:val="right"/>
                    <w:jc w:val="center"/>
                  </w:pPr>
                  <w:r>
                    <w:t xml:space="preserve">[-0.44, 0.04]</w:t>
                  </w:r>
                </w:p>
              </w:tc>
              <w:tc>
                <w:tcPr/>
                <w:p>
                  <w:pPr>
                    <w:pStyle w:val="Compact"/>
                    <w:jc w:val="right"/>
                    <w:jc w:val="center"/>
                  </w:pPr>
                  <w:r>
                    <w:t xml:space="preserve">.95</w:t>
                  </w:r>
                </w:p>
              </w:tc>
            </w:tr>
            <w:tr>
              <w:tc>
                <w:tcPr/>
                <w:p>
                  <w:pPr>
                    <w:pStyle w:val="Compact"/>
                    <w:jc w:val="left"/>
                    <w:jc w:val="center"/>
                  </w:pPr>
                  <w:r>
                    <w:t xml:space="preserve">Number agreement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Accuracy</w:t>
                  </w:r>
                </w:p>
              </w:tc>
              <w:tc>
                <w:tcPr/>
                <w:p>
                  <w:pPr>
                    <w:pStyle w:val="Compact"/>
                    <w:jc w:val="left"/>
                    <w:jc w:val="center"/>
                  </w:pPr>
                  <w:r>
                    <w:t xml:space="preserve">Between languages</w:t>
                  </w:r>
                </w:p>
              </w:tc>
              <w:tc>
                <w:tcPr/>
                <w:p>
                  <w:pPr>
                    <w:pStyle w:val="Compact"/>
                    <w:jc w:val="right"/>
                    <w:jc w:val="center"/>
                  </w:pPr>
                  <w:r>
                    <w:t xml:space="preserve">0.18</w:t>
                  </w:r>
                </w:p>
              </w:tc>
              <w:tc>
                <w:tcPr/>
                <w:p>
                  <w:pPr>
                    <w:pStyle w:val="Compact"/>
                    <w:jc w:val="right"/>
                    <w:jc w:val="center"/>
                  </w:pPr>
                  <w:r>
                    <w:t xml:space="preserve">[-0.15, 0.51]</w:t>
                  </w:r>
                </w:p>
              </w:tc>
              <w:tc>
                <w:tcPr/>
                <w:p>
                  <w:pPr>
                    <w:pStyle w:val="Compact"/>
                    <w:jc w:val="right"/>
                    <w:jc w:val="center"/>
                  </w:pPr>
                  <w:r>
                    <w:t xml:space="preserve">.86</w:t>
                  </w:r>
                </w:p>
              </w:tc>
            </w:tr>
          </w:tbl>
          <w:bookmarkEnd w:id="1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tbl-retention-free"/>
          <w:p>
            <w:pPr>
              <w:jc w:val="center"/>
            </w:pPr>
            <w:pPr>
              <w:jc w:val="left"/>
              <w:spacing w:before="200"/>
              <w:pStyle w:val="ImageCaption"/>
            </w:pPr>
            <w:r>
              <w:t xml:space="preserve">Table 3: Retention-Free Contrasts From the Refits Carrying an Explicit Retention Indicator</w:t>
            </w:r>
          </w:p>
          <w:tbl>
            <w:tblPr>
              <w:tblStyle w:val="Table"/>
              <w:tblW w:type="pct" w:w="5000"/>
              <w:tblLayout w:type="fixed"/>
              <w:tblLook w:firstRow="1" w:lastRow="0" w:firstColumn="0" w:lastColumn="0" w:noHBand="0" w:noVBand="0" w:val="0020"/>
            </w:tblPr>
            <w:tblGrid>
              <w:gridCol w:w="1425"/>
              <w:gridCol w:w="871"/>
              <w:gridCol w:w="712"/>
              <w:gridCol w:w="1425"/>
              <w:gridCol w:w="792"/>
              <w:gridCol w:w="2217"/>
              <w:gridCol w:w="475"/>
            </w:tblGrid>
            <w:tr>
              <w:trPr>
                <w:tblHeader w:val="on"/>
              </w:trPr>
              <w:tc>
                <w:tcPr/>
                <w:p>
                  <w:pPr>
                    <w:pStyle w:val="Compact"/>
                    <w:jc w:val="left"/>
                    <w:jc w:val="center"/>
                  </w:pPr>
                  <w:r>
                    <w:t xml:space="preserve">Property</w:t>
                  </w:r>
                </w:p>
              </w:tc>
              <w:tc>
                <w:tcPr/>
                <w:p>
                  <w:pPr>
                    <w:pStyle w:val="Compact"/>
                    <w:jc w:val="left"/>
                    <w:jc w:val="center"/>
                  </w:pPr>
                  <w:r>
                    <w:t xml:space="preserve">Window (ms)</w:t>
                  </w:r>
                </w:p>
              </w:tc>
              <w:tc>
                <w:tcPr/>
                <w:p>
                  <w:pPr>
                    <w:pStyle w:val="Compact"/>
                    <w:jc w:val="left"/>
                    <w:jc w:val="center"/>
                  </w:pPr>
                  <w:r>
                    <w:t xml:space="preserve">Region</w:t>
                  </w:r>
                </w:p>
              </w:tc>
              <w:tc>
                <w:tcPr/>
                <w:p>
                  <w:pPr>
                    <w:pStyle w:val="Compact"/>
                    <w:jc w:val="left"/>
                    <w:jc w:val="center"/>
                  </w:pPr>
                  <w:r>
                    <w:t xml:space="preserve">Contrast</w:t>
                  </w:r>
                </w:p>
              </w:tc>
              <w:tc>
                <w:tcPr/>
                <w:p>
                  <w:pPr>
                    <w:pStyle w:val="Compact"/>
                    <w:jc w:val="right"/>
                    <w:jc w:val="center"/>
                  </w:pPr>
                  <w:r>
                    <w:t xml:space="preserve">Median</w:t>
                  </w:r>
                </w:p>
              </w:tc>
              <w:tc>
                <w:tcPr/>
                <w:p>
                  <w:pPr>
                    <w:pStyle w:val="Compact"/>
                    <w:jc w:val="right"/>
                    <w:jc w:val="center"/>
                  </w:pPr>
                  <w:r>
                    <w:t xml:space="preserve">95% CrI</w:t>
                  </w:r>
                </w:p>
              </w:tc>
              <w:tc>
                <w:tcPr/>
                <w:p>
                  <w:pPr>
                    <w:pStyle w:val="Compact"/>
                    <w:jc w:val="right"/>
                    <w:jc w:val="center"/>
                  </w:pPr>
                  <m:oMath>
                    <m:sSub>
                      <m:e>
                        <m:r>
                          <m:t>p</m:t>
                        </m:r>
                      </m:e>
                      <m:sub>
                        <m:r>
                          <m:t>d</m:t>
                        </m:r>
                      </m:sub>
                    </m:sSub>
                  </m:oMath>
                  <w:r>
                    <w:t xml:space="preserve">​</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Overall</w:t>
                  </w:r>
                </w:p>
              </w:tc>
              <w:tc>
                <w:tcPr/>
                <w:p>
                  <w:pPr>
                    <w:pStyle w:val="Compact"/>
                    <w:jc w:val="right"/>
                    <w:jc w:val="center"/>
                  </w:pPr>
                  <w:r>
                    <w:t xml:space="preserve">0.003</w:t>
                  </w:r>
                </w:p>
              </w:tc>
              <w:tc>
                <w:tcPr/>
                <w:p>
                  <w:pPr>
                    <w:pStyle w:val="Compact"/>
                    <w:jc w:val="right"/>
                    <w:jc w:val="center"/>
                  </w:pPr>
                  <w:r>
                    <w:t xml:space="preserve">[-0.020, 0.027]</w:t>
                  </w:r>
                </w:p>
              </w:tc>
              <w:tc>
                <w:tcPr/>
                <w:p>
                  <w:pPr>
                    <w:pStyle w:val="Compact"/>
                    <w:jc w:val="right"/>
                    <w:jc w:val="center"/>
                  </w:pPr>
                  <w:r>
                    <w:t xml:space="preserve">.61</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Mini Norwegian</w:t>
                  </w:r>
                </w:p>
              </w:tc>
              <w:tc>
                <w:tcPr/>
                <w:p>
                  <w:pPr>
                    <w:pStyle w:val="Compact"/>
                    <w:jc w:val="right"/>
                    <w:jc w:val="center"/>
                  </w:pPr>
                  <w:r>
                    <w:t xml:space="preserve">0.027</w:t>
                  </w:r>
                </w:p>
              </w:tc>
              <w:tc>
                <w:tcPr/>
                <w:p>
                  <w:pPr>
                    <w:pStyle w:val="Compact"/>
                    <w:jc w:val="right"/>
                    <w:jc w:val="center"/>
                  </w:pPr>
                  <w:r>
                    <w:t xml:space="preserve">[-0.006, 0.061]</w:t>
                  </w:r>
                </w:p>
              </w:tc>
              <w:tc>
                <w:tcPr/>
                <w:p>
                  <w:pPr>
                    <w:pStyle w:val="Compact"/>
                    <w:jc w:val="right"/>
                    <w:jc w:val="center"/>
                  </w:pPr>
                  <w:r>
                    <w:t xml:space="preserve">.95</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Mini English</w:t>
                  </w:r>
                </w:p>
              </w:tc>
              <w:tc>
                <w:tcPr/>
                <w:p>
                  <w:pPr>
                    <w:pStyle w:val="Compact"/>
                    <w:jc w:val="right"/>
                    <w:jc w:val="center"/>
                  </w:pPr>
                  <w:r>
                    <w:t xml:space="preserve">-0.020</w:t>
                  </w:r>
                </w:p>
              </w:tc>
              <w:tc>
                <w:tcPr/>
                <w:p>
                  <w:pPr>
                    <w:pStyle w:val="Compact"/>
                    <w:jc w:val="right"/>
                    <w:jc w:val="center"/>
                  </w:pPr>
                  <w:r>
                    <w:t xml:space="preserve">[-0.053, 0.013]</w:t>
                  </w:r>
                </w:p>
              </w:tc>
              <w:tc>
                <w:tcPr/>
                <w:p>
                  <w:pPr>
                    <w:pStyle w:val="Compact"/>
                    <w:jc w:val="right"/>
                    <w:jc w:val="center"/>
                  </w:pPr>
                  <w:r>
                    <w:t xml:space="preserve">.89</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Between languages</w:t>
                  </w:r>
                </w:p>
              </w:tc>
              <w:tc>
                <w:tcPr/>
                <w:p>
                  <w:pPr>
                    <w:pStyle w:val="Compact"/>
                    <w:jc w:val="right"/>
                    <w:jc w:val="center"/>
                  </w:pPr>
                  <w:r>
                    <w:t xml:space="preserve">0.048</w:t>
                  </w:r>
                </w:p>
              </w:tc>
              <w:tc>
                <w:tcPr/>
                <w:p>
                  <w:pPr>
                    <w:pStyle w:val="Compact"/>
                    <w:jc w:val="right"/>
                    <w:jc w:val="center"/>
                  </w:pPr>
                  <w:r>
                    <w:t xml:space="preserve">[0.001, 0.095]</w:t>
                  </w:r>
                </w:p>
              </w:tc>
              <w:tc>
                <w:tcPr/>
                <w:p>
                  <w:pPr>
                    <w:pStyle w:val="Compact"/>
                    <w:jc w:val="right"/>
                    <w:jc w:val="center"/>
                  </w:pPr>
                  <w:r>
                    <w:t xml:space="preserve">.98</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Overall</w:t>
                  </w:r>
                </w:p>
              </w:tc>
              <w:tc>
                <w:tcPr/>
                <w:p>
                  <w:pPr>
                    <w:pStyle w:val="Compact"/>
                    <w:jc w:val="right"/>
                    <w:jc w:val="center"/>
                  </w:pPr>
                  <w:r>
                    <w:t xml:space="preserve">0.011</w:t>
                  </w:r>
                </w:p>
              </w:tc>
              <w:tc>
                <w:tcPr/>
                <w:p>
                  <w:pPr>
                    <w:pStyle w:val="Compact"/>
                    <w:jc w:val="right"/>
                    <w:jc w:val="center"/>
                  </w:pPr>
                  <w:r>
                    <w:t xml:space="preserve">[-0.023, 0.045]</w:t>
                  </w:r>
                </w:p>
              </w:tc>
              <w:tc>
                <w:tcPr/>
                <w:p>
                  <w:pPr>
                    <w:pStyle w:val="Compact"/>
                    <w:jc w:val="right"/>
                    <w:jc w:val="center"/>
                  </w:pPr>
                  <w:r>
                    <w:t xml:space="preserve">.73</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Mini Norwegian</w:t>
                  </w:r>
                </w:p>
              </w:tc>
              <w:tc>
                <w:tcPr/>
                <w:p>
                  <w:pPr>
                    <w:pStyle w:val="Compact"/>
                    <w:jc w:val="right"/>
                    <w:jc w:val="center"/>
                  </w:pPr>
                  <w:r>
                    <w:t xml:space="preserve">0.051</w:t>
                  </w:r>
                </w:p>
              </w:tc>
              <w:tc>
                <w:tcPr/>
                <w:p>
                  <w:pPr>
                    <w:pStyle w:val="Compact"/>
                    <w:jc w:val="right"/>
                    <w:jc w:val="center"/>
                  </w:pPr>
                  <w:r>
                    <w:t xml:space="preserve">[0.002, 0.100]</w:t>
                  </w:r>
                </w:p>
              </w:tc>
              <w:tc>
                <w:tcPr/>
                <w:p>
                  <w:pPr>
                    <w:pStyle w:val="Compact"/>
                    <w:jc w:val="right"/>
                    <w:jc w:val="center"/>
                  </w:pPr>
                  <w:r>
                    <w:t xml:space="preserve">.98</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Mini English</w:t>
                  </w:r>
                </w:p>
              </w:tc>
              <w:tc>
                <w:tcPr/>
                <w:p>
                  <w:pPr>
                    <w:pStyle w:val="Compact"/>
                    <w:jc w:val="right"/>
                    <w:jc w:val="center"/>
                  </w:pPr>
                  <w:r>
                    <w:t xml:space="preserve">-0.029</w:t>
                  </w:r>
                </w:p>
              </w:tc>
              <w:tc>
                <w:tcPr/>
                <w:p>
                  <w:pPr>
                    <w:pStyle w:val="Compact"/>
                    <w:jc w:val="right"/>
                    <w:jc w:val="center"/>
                  </w:pPr>
                  <w:r>
                    <w:t xml:space="preserve">[-0.077, 0.019]</w:t>
                  </w:r>
                </w:p>
              </w:tc>
              <w:tc>
                <w:tcPr/>
                <w:p>
                  <w:pPr>
                    <w:pStyle w:val="Compact"/>
                    <w:jc w:val="right"/>
                    <w:jc w:val="center"/>
                  </w:pPr>
                  <w:r>
                    <w:t xml:space="preserve">.88</w:t>
                  </w:r>
                </w:p>
              </w:tc>
            </w:tr>
            <w:tr>
              <w:tc>
                <w:tcPr/>
                <w:p>
                  <w:pPr>
                    <w:pStyle w:val="Compact"/>
                    <w:jc w:val="left"/>
                    <w:jc w:val="center"/>
                  </w:pPr>
                  <w:r>
                    <w:t xml:space="preserve">Gender</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Between languages</w:t>
                  </w:r>
                </w:p>
              </w:tc>
              <w:tc>
                <w:tcPr/>
                <w:p>
                  <w:pPr>
                    <w:pStyle w:val="Compact"/>
                    <w:jc w:val="right"/>
                    <w:jc w:val="center"/>
                  </w:pPr>
                  <w:r>
                    <w:t xml:space="preserve">0.080</w:t>
                  </w:r>
                </w:p>
              </w:tc>
              <w:tc>
                <w:tcPr/>
                <w:p>
                  <w:pPr>
                    <w:pStyle w:val="Compact"/>
                    <w:jc w:val="right"/>
                    <w:jc w:val="center"/>
                  </w:pPr>
                  <w:r>
                    <w:t xml:space="preserve">[0.011, 0.149]</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Overall</w:t>
                  </w:r>
                </w:p>
              </w:tc>
              <w:tc>
                <w:tcPr/>
                <w:p>
                  <w:pPr>
                    <w:pStyle w:val="Compact"/>
                    <w:jc w:val="right"/>
                    <w:jc w:val="center"/>
                  </w:pPr>
                  <w:r>
                    <w:t xml:space="preserve">0.001</w:t>
                  </w:r>
                </w:p>
              </w:tc>
              <w:tc>
                <w:tcPr/>
                <w:p>
                  <w:pPr>
                    <w:pStyle w:val="Compact"/>
                    <w:jc w:val="right"/>
                    <w:jc w:val="center"/>
                  </w:pPr>
                  <w:r>
                    <w:t xml:space="preserve">[-0.023, 0.026]</w:t>
                  </w:r>
                </w:p>
              </w:tc>
              <w:tc>
                <w:tcPr/>
                <w:p>
                  <w:pPr>
                    <w:pStyle w:val="Compact"/>
                    <w:jc w:val="right"/>
                    <w:jc w:val="center"/>
                  </w:pPr>
                  <w:r>
                    <w:t xml:space="preserve">.55</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Mini Norwegian</w:t>
                  </w:r>
                </w:p>
              </w:tc>
              <w:tc>
                <w:tcPr/>
                <w:p>
                  <w:pPr>
                    <w:pStyle w:val="Compact"/>
                    <w:jc w:val="right"/>
                    <w:jc w:val="center"/>
                  </w:pPr>
                  <w:r>
                    <w:t xml:space="preserve">0.030</w:t>
                  </w:r>
                </w:p>
              </w:tc>
              <w:tc>
                <w:tcPr/>
                <w:p>
                  <w:pPr>
                    <w:pStyle w:val="Compact"/>
                    <w:jc w:val="right"/>
                    <w:jc w:val="center"/>
                  </w:pPr>
                  <w:r>
                    <w:t xml:space="preserve">[-0.005, 0.065]</w:t>
                  </w:r>
                </w:p>
              </w:tc>
              <w:tc>
                <w:tcPr/>
                <w:p>
                  <w:pPr>
                    <w:pStyle w:val="Compact"/>
                    <w:jc w:val="right"/>
                    <w:jc w:val="center"/>
                  </w:pPr>
                  <w:r>
                    <w:t xml:space="preserve">.96</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Mini English</w:t>
                  </w:r>
                </w:p>
              </w:tc>
              <w:tc>
                <w:tcPr/>
                <w:p>
                  <w:pPr>
                    <w:pStyle w:val="Compact"/>
                    <w:jc w:val="right"/>
                    <w:jc w:val="center"/>
                  </w:pPr>
                  <w:r>
                    <w:t xml:space="preserve">-0.027</w:t>
                  </w:r>
                </w:p>
              </w:tc>
              <w:tc>
                <w:tcPr/>
                <w:p>
                  <w:pPr>
                    <w:pStyle w:val="Compact"/>
                    <w:jc w:val="right"/>
                    <w:jc w:val="center"/>
                  </w:pPr>
                  <w:r>
                    <w:t xml:space="preserve">[-0.061, 0.008]</w:t>
                  </w:r>
                </w:p>
              </w:tc>
              <w:tc>
                <w:tcPr/>
                <w:p>
                  <w:pPr>
                    <w:pStyle w:val="Compact"/>
                    <w:jc w:val="right"/>
                    <w:jc w:val="center"/>
                  </w:pPr>
                  <w:r>
                    <w:t xml:space="preserve">.94</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Between languages</w:t>
                  </w:r>
                </w:p>
              </w:tc>
              <w:tc>
                <w:tcPr/>
                <w:p>
                  <w:pPr>
                    <w:pStyle w:val="Compact"/>
                    <w:jc w:val="right"/>
                    <w:jc w:val="center"/>
                  </w:pPr>
                  <w:r>
                    <w:t xml:space="preserve">0.057</w:t>
                  </w:r>
                </w:p>
              </w:tc>
              <w:tc>
                <w:tcPr/>
                <w:p>
                  <w:pPr>
                    <w:pStyle w:val="Compact"/>
                    <w:jc w:val="right"/>
                    <w:jc w:val="center"/>
                  </w:pPr>
                  <w:r>
                    <w:t xml:space="preserve">[0.008, 0.106]</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Overall</w:t>
                  </w:r>
                </w:p>
              </w:tc>
              <w:tc>
                <w:tcPr/>
                <w:p>
                  <w:pPr>
                    <w:pStyle w:val="Compact"/>
                    <w:jc w:val="right"/>
                    <w:jc w:val="center"/>
                  </w:pPr>
                  <w:r>
                    <w:t xml:space="preserve">0.006</w:t>
                  </w:r>
                </w:p>
              </w:tc>
              <w:tc>
                <w:tcPr/>
                <w:p>
                  <w:pPr>
                    <w:pStyle w:val="Compact"/>
                    <w:jc w:val="right"/>
                    <w:jc w:val="center"/>
                  </w:pPr>
                  <w:r>
                    <w:t xml:space="preserve">[-0.028, 0.041]</w:t>
                  </w:r>
                </w:p>
              </w:tc>
              <w:tc>
                <w:tcPr/>
                <w:p>
                  <w:pPr>
                    <w:pStyle w:val="Compact"/>
                    <w:jc w:val="right"/>
                    <w:jc w:val="center"/>
                  </w:pPr>
                  <w:r>
                    <w:t xml:space="preserve">.64</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Mini Norwegian</w:t>
                  </w:r>
                </w:p>
              </w:tc>
              <w:tc>
                <w:tcPr/>
                <w:p>
                  <w:pPr>
                    <w:pStyle w:val="Compact"/>
                    <w:jc w:val="right"/>
                    <w:jc w:val="center"/>
                  </w:pPr>
                  <w:r>
                    <w:t xml:space="preserve">0.058</w:t>
                  </w:r>
                </w:p>
              </w:tc>
              <w:tc>
                <w:tcPr/>
                <w:p>
                  <w:pPr>
                    <w:pStyle w:val="Compact"/>
                    <w:jc w:val="right"/>
                    <w:jc w:val="center"/>
                  </w:pPr>
                  <w:r>
                    <w:t xml:space="preserve">[0.008, 0.109]</w:t>
                  </w:r>
                </w:p>
              </w:tc>
              <w:tc>
                <w:tcPr/>
                <w:p>
                  <w:pPr>
                    <w:pStyle w:val="Compact"/>
                    <w:jc w:val="right"/>
                    <w:jc w:val="center"/>
                  </w:pPr>
                  <w:r>
                    <w:t xml:space="preserve">.99</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Mini English</w:t>
                  </w:r>
                </w:p>
              </w:tc>
              <w:tc>
                <w:tcPr/>
                <w:p>
                  <w:pPr>
                    <w:pStyle w:val="Compact"/>
                    <w:jc w:val="right"/>
                    <w:jc w:val="center"/>
                  </w:pPr>
                  <w:r>
                    <w:t xml:space="preserve">-0.044</w:t>
                  </w:r>
                </w:p>
              </w:tc>
              <w:tc>
                <w:tcPr/>
                <w:p>
                  <w:pPr>
                    <w:pStyle w:val="Compact"/>
                    <w:jc w:val="right"/>
                    <w:jc w:val="center"/>
                  </w:pPr>
                  <w:r>
                    <w:t xml:space="preserve">[-0.092, 0.005]</w:t>
                  </w:r>
                </w:p>
              </w:tc>
              <w:tc>
                <w:tcPr/>
                <w:p>
                  <w:pPr>
                    <w:pStyle w:val="Compact"/>
                    <w:jc w:val="right"/>
                    <w:jc w:val="center"/>
                  </w:pPr>
                  <w:r>
                    <w:t xml:space="preserve">.96</w:t>
                  </w:r>
                </w:p>
              </w:tc>
            </w:tr>
            <w:tr>
              <w:tc>
                <w:tcPr/>
                <w:p>
                  <w:pPr>
                    <w:pStyle w:val="Compact"/>
                    <w:jc w:val="left"/>
                    <w:jc w:val="center"/>
                  </w:pPr>
                  <w:r>
                    <w:t xml:space="preserve">Gender</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Between languages</w:t>
                  </w:r>
                </w:p>
              </w:tc>
              <w:tc>
                <w:tcPr/>
                <w:p>
                  <w:pPr>
                    <w:pStyle w:val="Compact"/>
                    <w:jc w:val="right"/>
                    <w:jc w:val="center"/>
                  </w:pPr>
                  <w:r>
                    <w:t xml:space="preserve">0.102</w:t>
                  </w:r>
                </w:p>
              </w:tc>
              <w:tc>
                <w:tcPr/>
                <w:p>
                  <w:pPr>
                    <w:pStyle w:val="Compact"/>
                    <w:jc w:val="right"/>
                    <w:jc w:val="center"/>
                  </w:pPr>
                  <w:r>
                    <w:t xml:space="preserve">[0.031, 0.173]</w:t>
                  </w:r>
                </w:p>
              </w:tc>
              <w:tc>
                <w:tcPr/>
                <w:p>
                  <w:pPr>
                    <w:pStyle w:val="Compact"/>
                    <w:jc w:val="right"/>
                    <w:jc w:val="center"/>
                  </w:pPr>
                  <w:r>
                    <w:t xml:space="preserve">.998</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Overall</w:t>
                  </w:r>
                </w:p>
              </w:tc>
              <w:tc>
                <w:tcPr/>
                <w:p>
                  <w:pPr>
                    <w:pStyle w:val="Compact"/>
                    <w:jc w:val="right"/>
                    <w:jc w:val="center"/>
                  </w:pPr>
                  <w:r>
                    <w:t xml:space="preserve">0.001</w:t>
                  </w:r>
                </w:p>
              </w:tc>
              <w:tc>
                <w:tcPr/>
                <w:p>
                  <w:pPr>
                    <w:pStyle w:val="Compact"/>
                    <w:jc w:val="right"/>
                    <w:jc w:val="center"/>
                  </w:pPr>
                  <w:r>
                    <w:t xml:space="preserve">[-0.025, 0.026]</w:t>
                  </w:r>
                </w:p>
              </w:tc>
              <w:tc>
                <w:tcPr/>
                <w:p>
                  <w:pPr>
                    <w:pStyle w:val="Compact"/>
                    <w:jc w:val="right"/>
                    <w:jc w:val="center"/>
                  </w:pPr>
                  <w:r>
                    <w:t xml:space="preserve">.52</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Mini Norwegian</w:t>
                  </w:r>
                </w:p>
              </w:tc>
              <w:tc>
                <w:tcPr/>
                <w:p>
                  <w:pPr>
                    <w:pStyle w:val="Compact"/>
                    <w:jc w:val="right"/>
                    <w:jc w:val="center"/>
                  </w:pPr>
                  <w:r>
                    <w:t xml:space="preserve">0.024</w:t>
                  </w:r>
                </w:p>
              </w:tc>
              <w:tc>
                <w:tcPr/>
                <w:p>
                  <w:pPr>
                    <w:pStyle w:val="Compact"/>
                    <w:jc w:val="right"/>
                    <w:jc w:val="center"/>
                  </w:pPr>
                  <w:r>
                    <w:t xml:space="preserve">[-0.012, 0.060]</w:t>
                  </w:r>
                </w:p>
              </w:tc>
              <w:tc>
                <w:tcPr/>
                <w:p>
                  <w:pPr>
                    <w:pStyle w:val="Compact"/>
                    <w:jc w:val="right"/>
                    <w:jc w:val="center"/>
                  </w:pPr>
                  <w:r>
                    <w:t xml:space="preserve">.91</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Mini English</w:t>
                  </w:r>
                </w:p>
              </w:tc>
              <w:tc>
                <w:tcPr/>
                <w:p>
                  <w:pPr>
                    <w:pStyle w:val="Compact"/>
                    <w:jc w:val="right"/>
                    <w:jc w:val="center"/>
                  </w:pPr>
                  <w:r>
                    <w:t xml:space="preserve">-0.022</w:t>
                  </w:r>
                </w:p>
              </w:tc>
              <w:tc>
                <w:tcPr/>
                <w:p>
                  <w:pPr>
                    <w:pStyle w:val="Compact"/>
                    <w:jc w:val="right"/>
                    <w:jc w:val="center"/>
                  </w:pPr>
                  <w:r>
                    <w:t xml:space="preserve">[-0.058, 0.013]</w:t>
                  </w:r>
                </w:p>
              </w:tc>
              <w:tc>
                <w:tcPr/>
                <w:p>
                  <w:pPr>
                    <w:pStyle w:val="Compact"/>
                    <w:jc w:val="right"/>
                    <w:jc w:val="center"/>
                  </w:pPr>
                  <w:r>
                    <w:t xml:space="preserve">.89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Between languages</w:t>
                  </w:r>
                </w:p>
              </w:tc>
              <w:tc>
                <w:tcPr/>
                <w:p>
                  <w:pPr>
                    <w:pStyle w:val="Compact"/>
                    <w:jc w:val="right"/>
                    <w:jc w:val="center"/>
                  </w:pPr>
                  <w:r>
                    <w:t xml:space="preserve">0.047</w:t>
                  </w:r>
                </w:p>
              </w:tc>
              <w:tc>
                <w:tcPr/>
                <w:p>
                  <w:pPr>
                    <w:pStyle w:val="Compact"/>
                    <w:jc w:val="right"/>
                    <w:jc w:val="center"/>
                  </w:pPr>
                  <w:r>
                    <w:t xml:space="preserve">[-0.005, 0.097]</w:t>
                  </w:r>
                </w:p>
              </w:tc>
              <w:tc>
                <w:tcPr/>
                <w:p>
                  <w:pPr>
                    <w:pStyle w:val="Compact"/>
                    <w:jc w:val="right"/>
                    <w:jc w:val="center"/>
                  </w:pPr>
                  <w:r>
                    <w:t xml:space="preserve">.96</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Overall</w:t>
                  </w:r>
                </w:p>
              </w:tc>
              <w:tc>
                <w:tcPr/>
                <w:p>
                  <w:pPr>
                    <w:pStyle w:val="Compact"/>
                    <w:jc w:val="right"/>
                    <w:jc w:val="center"/>
                  </w:pPr>
                  <w:r>
                    <w:t xml:space="preserve">-0.012</w:t>
                  </w:r>
                </w:p>
              </w:tc>
              <w:tc>
                <w:tcPr/>
                <w:p>
                  <w:pPr>
                    <w:pStyle w:val="Compact"/>
                    <w:jc w:val="right"/>
                    <w:jc w:val="center"/>
                  </w:pPr>
                  <w:r>
                    <w:t xml:space="preserve">[-0.048, 0.024]</w:t>
                  </w:r>
                </w:p>
              </w:tc>
              <w:tc>
                <w:tcPr/>
                <w:p>
                  <w:pPr>
                    <w:pStyle w:val="Compact"/>
                    <w:jc w:val="right"/>
                    <w:jc w:val="center"/>
                  </w:pPr>
                  <w:r>
                    <w:t xml:space="preserve">.74</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Mini Norwegian</w:t>
                  </w:r>
                </w:p>
              </w:tc>
              <w:tc>
                <w:tcPr/>
                <w:p>
                  <w:pPr>
                    <w:pStyle w:val="Compact"/>
                    <w:jc w:val="right"/>
                    <w:jc w:val="center"/>
                  </w:pPr>
                  <w:r>
                    <w:t xml:space="preserve">0.033</w:t>
                  </w:r>
                </w:p>
              </w:tc>
              <w:tc>
                <w:tcPr/>
                <w:p>
                  <w:pPr>
                    <w:pStyle w:val="Compact"/>
                    <w:jc w:val="right"/>
                    <w:jc w:val="center"/>
                  </w:pPr>
                  <w:r>
                    <w:t xml:space="preserve">[-0.019, 0.085]</w:t>
                  </w:r>
                </w:p>
              </w:tc>
              <w:tc>
                <w:tcPr/>
                <w:p>
                  <w:pPr>
                    <w:pStyle w:val="Compact"/>
                    <w:jc w:val="right"/>
                    <w:jc w:val="center"/>
                  </w:pPr>
                  <w:r>
                    <w:t xml:space="preserve">.89</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Mini English</w:t>
                  </w:r>
                </w:p>
              </w:tc>
              <w:tc>
                <w:tcPr/>
                <w:p>
                  <w:pPr>
                    <w:pStyle w:val="Compact"/>
                    <w:jc w:val="right"/>
                    <w:jc w:val="center"/>
                  </w:pPr>
                  <w:r>
                    <w:t xml:space="preserve">-0.055</w:t>
                  </w:r>
                </w:p>
              </w:tc>
              <w:tc>
                <w:tcPr/>
                <w:p>
                  <w:pPr>
                    <w:pStyle w:val="Compact"/>
                    <w:jc w:val="right"/>
                    <w:jc w:val="center"/>
                  </w:pPr>
                  <w:r>
                    <w:t xml:space="preserve">[-0.106, -0.004]</w:t>
                  </w:r>
                </w:p>
              </w:tc>
              <w:tc>
                <w:tcPr/>
                <w:p>
                  <w:pPr>
                    <w:pStyle w:val="Compact"/>
                    <w:jc w:val="right"/>
                    <w:jc w:val="center"/>
                  </w:pPr>
                  <w:r>
                    <w:t xml:space="preserve">.98</w:t>
                  </w:r>
                </w:p>
              </w:tc>
            </w:tr>
            <w:tr>
              <w:tc>
                <w:tcPr/>
                <w:p>
                  <w:pPr>
                    <w:pStyle w:val="Compact"/>
                    <w:jc w:val="left"/>
                    <w:jc w:val="center"/>
                  </w:pPr>
                  <w:r>
                    <w:t xml:space="preserve">Gender</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Between languages</w:t>
                  </w:r>
                </w:p>
              </w:tc>
              <w:tc>
                <w:tcPr/>
                <w:p>
                  <w:pPr>
                    <w:pStyle w:val="Compact"/>
                    <w:jc w:val="right"/>
                    <w:jc w:val="center"/>
                  </w:pPr>
                  <w:r>
                    <w:t xml:space="preserve">0.088</w:t>
                  </w:r>
                </w:p>
              </w:tc>
              <w:tc>
                <w:tcPr/>
                <w:p>
                  <w:pPr>
                    <w:pStyle w:val="Compact"/>
                    <w:jc w:val="right"/>
                    <w:jc w:val="center"/>
                  </w:pPr>
                  <w:r>
                    <w:t xml:space="preserve">[0.014, 0.161]</w:t>
                  </w:r>
                </w:p>
              </w:tc>
              <w:tc>
                <w:tcPr/>
                <w:p>
                  <w:pPr>
                    <w:pStyle w:val="Compact"/>
                    <w:jc w:val="right"/>
                    <w:jc w:val="center"/>
                  </w:pPr>
                  <w:r>
                    <w:t xml:space="preserve">.99</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Overall</w:t>
                  </w:r>
                </w:p>
              </w:tc>
              <w:tc>
                <w:tcPr/>
                <w:p>
                  <w:pPr>
                    <w:pStyle w:val="Compact"/>
                    <w:jc w:val="right"/>
                    <w:jc w:val="center"/>
                  </w:pPr>
                  <w:r>
                    <w:t xml:space="preserve">-0.020</w:t>
                  </w:r>
                </w:p>
              </w:tc>
              <w:tc>
                <w:tcPr/>
                <w:p>
                  <w:pPr>
                    <w:pStyle w:val="Compact"/>
                    <w:jc w:val="right"/>
                    <w:jc w:val="center"/>
                  </w:pPr>
                  <w:r>
                    <w:t xml:space="preserve">[-0.051, 0.010]</w:t>
                  </w:r>
                </w:p>
              </w:tc>
              <w:tc>
                <w:tcPr/>
                <w:p>
                  <w:pPr>
                    <w:pStyle w:val="Compact"/>
                    <w:jc w:val="right"/>
                    <w:jc w:val="center"/>
                  </w:pPr>
                  <w:r>
                    <w:t xml:space="preserve">.90</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Mini Norwegian</w:t>
                  </w:r>
                </w:p>
              </w:tc>
              <w:tc>
                <w:tcPr/>
                <w:p>
                  <w:pPr>
                    <w:pStyle w:val="Compact"/>
                    <w:jc w:val="right"/>
                    <w:jc w:val="center"/>
                  </w:pPr>
                  <w:r>
                    <w:t xml:space="preserve">-0.064</w:t>
                  </w:r>
                </w:p>
              </w:tc>
              <w:tc>
                <w:tcPr/>
                <w:p>
                  <w:pPr>
                    <w:pStyle w:val="Compact"/>
                    <w:jc w:val="right"/>
                    <w:jc w:val="center"/>
                  </w:pPr>
                  <w:r>
                    <w:t xml:space="preserve">[-0.107, -0.022]</w:t>
                  </w:r>
                </w:p>
              </w:tc>
              <w:tc>
                <w:tcPr/>
                <w:p>
                  <w:pPr>
                    <w:pStyle w:val="Compact"/>
                    <w:jc w:val="right"/>
                    <w:jc w:val="center"/>
                  </w:pPr>
                  <w:r>
                    <w:t xml:space="preserve">.999</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Mini English</w:t>
                  </w:r>
                </w:p>
              </w:tc>
              <w:tc>
                <w:tcPr/>
                <w:p>
                  <w:pPr>
                    <w:pStyle w:val="Compact"/>
                    <w:jc w:val="right"/>
                    <w:jc w:val="center"/>
                  </w:pPr>
                  <w:r>
                    <w:t xml:space="preserve">0.025</w:t>
                  </w:r>
                </w:p>
              </w:tc>
              <w:tc>
                <w:tcPr/>
                <w:p>
                  <w:pPr>
                    <w:pStyle w:val="Compact"/>
                    <w:jc w:val="right"/>
                    <w:jc w:val="center"/>
                  </w:pPr>
                  <w:r>
                    <w:t xml:space="preserve">[-0.019, 0.070]</w:t>
                  </w:r>
                </w:p>
              </w:tc>
              <w:tc>
                <w:tcPr/>
                <w:p>
                  <w:pPr>
                    <w:pStyle w:val="Compact"/>
                    <w:jc w:val="right"/>
                    <w:jc w:val="center"/>
                  </w:pPr>
                  <w:r>
                    <w:t xml:space="preserve">.87</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Lateral</w:t>
                  </w:r>
                </w:p>
              </w:tc>
              <w:tc>
                <w:tcPr/>
                <w:p>
                  <w:pPr>
                    <w:pStyle w:val="Compact"/>
                    <w:jc w:val="left"/>
                    <w:jc w:val="center"/>
                  </w:pPr>
                  <w:r>
                    <w:t xml:space="preserve">Between languages</w:t>
                  </w:r>
                </w:p>
              </w:tc>
              <w:tc>
                <w:tcPr/>
                <w:p>
                  <w:pPr>
                    <w:pStyle w:val="Compact"/>
                    <w:jc w:val="right"/>
                    <w:jc w:val="center"/>
                  </w:pPr>
                  <w:r>
                    <w:t xml:space="preserve">-0.090</w:t>
                  </w:r>
                </w:p>
              </w:tc>
              <w:tc>
                <w:tcPr/>
                <w:p>
                  <w:pPr>
                    <w:pStyle w:val="Compact"/>
                    <w:jc w:val="right"/>
                    <w:jc w:val="center"/>
                  </w:pPr>
                  <w:r>
                    <w:t xml:space="preserve">[-0.151, -0.028]</w:t>
                  </w:r>
                </w:p>
              </w:tc>
              <w:tc>
                <w:tcPr/>
                <w:p>
                  <w:pPr>
                    <w:pStyle w:val="Compact"/>
                    <w:jc w:val="right"/>
                    <w:jc w:val="center"/>
                  </w:pPr>
                  <w:r>
                    <w:t xml:space="preserve">.998</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Overall</w:t>
                  </w:r>
                </w:p>
              </w:tc>
              <w:tc>
                <w:tcPr/>
                <w:p>
                  <w:pPr>
                    <w:pStyle w:val="Compact"/>
                    <w:jc w:val="right"/>
                    <w:jc w:val="center"/>
                  </w:pPr>
                  <w:r>
                    <w:t xml:space="preserve">-0.041</w:t>
                  </w:r>
                </w:p>
              </w:tc>
              <w:tc>
                <w:tcPr/>
                <w:p>
                  <w:pPr>
                    <w:pStyle w:val="Compact"/>
                    <w:jc w:val="right"/>
                    <w:jc w:val="center"/>
                  </w:pPr>
                  <w:r>
                    <w:t xml:space="preserve">[-0.084, 0.004]</w:t>
                  </w:r>
                </w:p>
              </w:tc>
              <w:tc>
                <w:tcPr/>
                <w:p>
                  <w:pPr>
                    <w:pStyle w:val="Compact"/>
                    <w:jc w:val="right"/>
                    <w:jc w:val="center"/>
                  </w:pPr>
                  <w:r>
                    <w:t xml:space="preserve">.96</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Mini Norwegian</w:t>
                  </w:r>
                </w:p>
              </w:tc>
              <w:tc>
                <w:tcPr/>
                <w:p>
                  <w:pPr>
                    <w:pStyle w:val="Compact"/>
                    <w:jc w:val="right"/>
                    <w:jc w:val="center"/>
                  </w:pPr>
                  <w:r>
                    <w:t xml:space="preserve">-0.135</w:t>
                  </w:r>
                </w:p>
              </w:tc>
              <w:tc>
                <w:tcPr/>
                <w:p>
                  <w:pPr>
                    <w:pStyle w:val="Compact"/>
                    <w:jc w:val="right"/>
                    <w:jc w:val="center"/>
                  </w:pPr>
                  <w:r>
                    <w:t xml:space="preserve">[-0.196, -0.074]</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Mini English</w:t>
                  </w:r>
                </w:p>
              </w:tc>
              <w:tc>
                <w:tcPr/>
                <w:p>
                  <w:pPr>
                    <w:pStyle w:val="Compact"/>
                    <w:jc w:val="right"/>
                    <w:jc w:val="center"/>
                  </w:pPr>
                  <w:r>
                    <w:t xml:space="preserve">0.057</w:t>
                  </w:r>
                </w:p>
              </w:tc>
              <w:tc>
                <w:tcPr/>
                <w:p>
                  <w:pPr>
                    <w:pStyle w:val="Compact"/>
                    <w:jc w:val="right"/>
                    <w:jc w:val="center"/>
                  </w:pPr>
                  <w:r>
                    <w:t xml:space="preserve">[-0.005, 0.119]</w:t>
                  </w:r>
                </w:p>
              </w:tc>
              <w:tc>
                <w:tcPr/>
                <w:p>
                  <w:pPr>
                    <w:pStyle w:val="Compact"/>
                    <w:jc w:val="right"/>
                    <w:jc w:val="center"/>
                  </w:pPr>
                  <w:r>
                    <w:t xml:space="preserve">.96</w:t>
                  </w:r>
                </w:p>
              </w:tc>
            </w:tr>
            <w:tr>
              <w:tc>
                <w:tcPr/>
                <w:p>
                  <w:pPr>
                    <w:pStyle w:val="Compact"/>
                    <w:jc w:val="left"/>
                    <w:jc w:val="center"/>
                  </w:pPr>
                  <w:r>
                    <w:t xml:space="preserve">Object marking</w:t>
                  </w:r>
                </w:p>
              </w:tc>
              <w:tc>
                <w:tcPr/>
                <w:p>
                  <w:pPr>
                    <w:pStyle w:val="Compact"/>
                    <w:jc w:val="left"/>
                    <w:jc w:val="center"/>
                  </w:pPr>
                  <w:r>
                    <w:t xml:space="preserve">200 to 500</w:t>
                  </w:r>
                </w:p>
              </w:tc>
              <w:tc>
                <w:tcPr/>
                <w:p>
                  <w:pPr>
                    <w:pStyle w:val="Compact"/>
                    <w:jc w:val="left"/>
                    <w:jc w:val="center"/>
                  </w:pPr>
                  <w:r>
                    <w:t xml:space="preserve">Midline</w:t>
                  </w:r>
                </w:p>
              </w:tc>
              <w:tc>
                <w:tcPr/>
                <w:p>
                  <w:pPr>
                    <w:pStyle w:val="Compact"/>
                    <w:jc w:val="left"/>
                    <w:jc w:val="center"/>
                  </w:pPr>
                  <w:r>
                    <w:t xml:space="preserve">Between languages</w:t>
                  </w:r>
                </w:p>
              </w:tc>
              <w:tc>
                <w:tcPr/>
                <w:p>
                  <w:pPr>
                    <w:pStyle w:val="Compact"/>
                    <w:jc w:val="right"/>
                    <w:jc w:val="center"/>
                  </w:pPr>
                  <w:r>
                    <w:t xml:space="preserve">-0.191</w:t>
                  </w:r>
                </w:p>
              </w:tc>
              <w:tc>
                <w:tcPr/>
                <w:p>
                  <w:pPr>
                    <w:pStyle w:val="Compact"/>
                    <w:jc w:val="right"/>
                    <w:jc w:val="center"/>
                  </w:pPr>
                  <w:r>
                    <w:t xml:space="preserve">[-0.279, -0.104]</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Overall</w:t>
                  </w:r>
                </w:p>
              </w:tc>
              <w:tc>
                <w:tcPr/>
                <w:p>
                  <w:pPr>
                    <w:pStyle w:val="Compact"/>
                    <w:jc w:val="right"/>
                    <w:jc w:val="center"/>
                  </w:pPr>
                  <w:r>
                    <w:t xml:space="preserve">-0.020</w:t>
                  </w:r>
                </w:p>
              </w:tc>
              <w:tc>
                <w:tcPr/>
                <w:p>
                  <w:pPr>
                    <w:pStyle w:val="Compact"/>
                    <w:jc w:val="right"/>
                    <w:jc w:val="center"/>
                  </w:pPr>
                  <w:r>
                    <w:t xml:space="preserve">[-0.052, 0.012]</w:t>
                  </w:r>
                </w:p>
              </w:tc>
              <w:tc>
                <w:tcPr/>
                <w:p>
                  <w:pPr>
                    <w:pStyle w:val="Compact"/>
                    <w:jc w:val="right"/>
                    <w:jc w:val="center"/>
                  </w:pPr>
                  <w:r>
                    <w:t xml:space="preserve">.89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Mini Norwegian</w:t>
                  </w:r>
                </w:p>
              </w:tc>
              <w:tc>
                <w:tcPr/>
                <w:p>
                  <w:pPr>
                    <w:pStyle w:val="Compact"/>
                    <w:jc w:val="right"/>
                    <w:jc w:val="center"/>
                  </w:pPr>
                  <w:r>
                    <w:t xml:space="preserve">-0.053</w:t>
                  </w:r>
                </w:p>
              </w:tc>
              <w:tc>
                <w:tcPr/>
                <w:p>
                  <w:pPr>
                    <w:pStyle w:val="Compact"/>
                    <w:jc w:val="right"/>
                    <w:jc w:val="center"/>
                  </w:pPr>
                  <w:r>
                    <w:t xml:space="preserve">[-0.098, -0.009]</w:t>
                  </w:r>
                </w:p>
              </w:tc>
              <w:tc>
                <w:tcPr/>
                <w:p>
                  <w:pPr>
                    <w:pStyle w:val="Compact"/>
                    <w:jc w:val="right"/>
                    <w:jc w:val="center"/>
                  </w:pPr>
                  <w:r>
                    <w:t xml:space="preserve">.99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Mini English</w:t>
                  </w:r>
                </w:p>
              </w:tc>
              <w:tc>
                <w:tcPr/>
                <w:p>
                  <w:pPr>
                    <w:pStyle w:val="Compact"/>
                    <w:jc w:val="right"/>
                    <w:jc w:val="center"/>
                  </w:pPr>
                  <w:r>
                    <w:t xml:space="preserve">0.014</w:t>
                  </w:r>
                </w:p>
              </w:tc>
              <w:tc>
                <w:tcPr/>
                <w:p>
                  <w:pPr>
                    <w:pStyle w:val="Compact"/>
                    <w:jc w:val="right"/>
                    <w:jc w:val="center"/>
                  </w:pPr>
                  <w:r>
                    <w:t xml:space="preserve">[-0.031, 0.060]</w:t>
                  </w:r>
                </w:p>
              </w:tc>
              <w:tc>
                <w:tcPr/>
                <w:p>
                  <w:pPr>
                    <w:pStyle w:val="Compact"/>
                    <w:jc w:val="right"/>
                    <w:jc w:val="center"/>
                  </w:pPr>
                  <w:r>
                    <w:t xml:space="preserve">.74</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Lateral</w:t>
                  </w:r>
                </w:p>
              </w:tc>
              <w:tc>
                <w:tcPr/>
                <w:p>
                  <w:pPr>
                    <w:pStyle w:val="Compact"/>
                    <w:jc w:val="left"/>
                    <w:jc w:val="center"/>
                  </w:pPr>
                  <w:r>
                    <w:t xml:space="preserve">Between languages</w:t>
                  </w:r>
                </w:p>
              </w:tc>
              <w:tc>
                <w:tcPr/>
                <w:p>
                  <w:pPr>
                    <w:pStyle w:val="Compact"/>
                    <w:jc w:val="right"/>
                    <w:jc w:val="center"/>
                  </w:pPr>
                  <w:r>
                    <w:t xml:space="preserve">-0.068</w:t>
                  </w:r>
                </w:p>
              </w:tc>
              <w:tc>
                <w:tcPr/>
                <w:p>
                  <w:pPr>
                    <w:pStyle w:val="Compact"/>
                    <w:jc w:val="right"/>
                    <w:jc w:val="center"/>
                  </w:pPr>
                  <w:r>
                    <w:t xml:space="preserve">[-0.131, -0.004]</w:t>
                  </w:r>
                </w:p>
              </w:tc>
              <w:tc>
                <w:tcPr/>
                <w:p>
                  <w:pPr>
                    <w:pStyle w:val="Compact"/>
                    <w:jc w:val="right"/>
                    <w:jc w:val="center"/>
                  </w:pPr>
                  <w:r>
                    <w:t xml:space="preserve">.98</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Overall</w:t>
                  </w:r>
                </w:p>
              </w:tc>
              <w:tc>
                <w:tcPr/>
                <w:p>
                  <w:pPr>
                    <w:pStyle w:val="Compact"/>
                    <w:jc w:val="right"/>
                    <w:jc w:val="center"/>
                  </w:pPr>
                  <w:r>
                    <w:t xml:space="preserve">-0.042</w:t>
                  </w:r>
                </w:p>
              </w:tc>
              <w:tc>
                <w:tcPr/>
                <w:p>
                  <w:pPr>
                    <w:pStyle w:val="Compact"/>
                    <w:jc w:val="right"/>
                    <w:jc w:val="center"/>
                  </w:pPr>
                  <w:r>
                    <w:t xml:space="preserve">[-0.088, 0.004]</w:t>
                  </w:r>
                </w:p>
              </w:tc>
              <w:tc>
                <w:tcPr/>
                <w:p>
                  <w:pPr>
                    <w:pStyle w:val="Compact"/>
                    <w:jc w:val="right"/>
                    <w:jc w:val="center"/>
                  </w:pPr>
                  <w:r>
                    <w:t xml:space="preserve">.96</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Mini Norwegian</w:t>
                  </w:r>
                </w:p>
              </w:tc>
              <w:tc>
                <w:tcPr/>
                <w:p>
                  <w:pPr>
                    <w:pStyle w:val="Compact"/>
                    <w:jc w:val="right"/>
                    <w:jc w:val="center"/>
                  </w:pPr>
                  <w:r>
                    <w:t xml:space="preserve">-0.132</w:t>
                  </w:r>
                </w:p>
              </w:tc>
              <w:tc>
                <w:tcPr/>
                <w:p>
                  <w:pPr>
                    <w:pStyle w:val="Compact"/>
                    <w:jc w:val="right"/>
                    <w:jc w:val="center"/>
                  </w:pPr>
                  <w:r>
                    <w:t xml:space="preserve">[-0.195, -0.068]</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Mini English</w:t>
                  </w:r>
                </w:p>
              </w:tc>
              <w:tc>
                <w:tcPr/>
                <w:p>
                  <w:pPr>
                    <w:pStyle w:val="Compact"/>
                    <w:jc w:val="right"/>
                    <w:jc w:val="center"/>
                  </w:pPr>
                  <w:r>
                    <w:t xml:space="preserve">0.050</w:t>
                  </w:r>
                </w:p>
              </w:tc>
              <w:tc>
                <w:tcPr/>
                <w:p>
                  <w:pPr>
                    <w:pStyle w:val="Compact"/>
                    <w:jc w:val="right"/>
                    <w:jc w:val="center"/>
                  </w:pPr>
                  <w:r>
                    <w:t xml:space="preserve">[-0.015, 0.115]</w:t>
                  </w:r>
                </w:p>
              </w:tc>
              <w:tc>
                <w:tcPr/>
                <w:p>
                  <w:pPr>
                    <w:pStyle w:val="Compact"/>
                    <w:jc w:val="right"/>
                    <w:jc w:val="center"/>
                  </w:pPr>
                  <w:r>
                    <w:t xml:space="preserve">.94</w:t>
                  </w:r>
                </w:p>
              </w:tc>
            </w:tr>
            <w:tr>
              <w:tc>
                <w:tcPr/>
                <w:p>
                  <w:pPr>
                    <w:pStyle w:val="Compact"/>
                    <w:jc w:val="left"/>
                    <w:jc w:val="center"/>
                  </w:pPr>
                  <w:r>
                    <w:t xml:space="preserve">Object marking</w:t>
                  </w:r>
                </w:p>
              </w:tc>
              <w:tc>
                <w:tcPr/>
                <w:p>
                  <w:pPr>
                    <w:pStyle w:val="Compact"/>
                    <w:jc w:val="left"/>
                    <w:jc w:val="center"/>
                  </w:pPr>
                  <w:r>
                    <w:t xml:space="preserve">300 to 600</w:t>
                  </w:r>
                </w:p>
              </w:tc>
              <w:tc>
                <w:tcPr/>
                <w:p>
                  <w:pPr>
                    <w:pStyle w:val="Compact"/>
                    <w:jc w:val="left"/>
                    <w:jc w:val="center"/>
                  </w:pPr>
                  <w:r>
                    <w:t xml:space="preserve">Midline</w:t>
                  </w:r>
                </w:p>
              </w:tc>
              <w:tc>
                <w:tcPr/>
                <w:p>
                  <w:pPr>
                    <w:pStyle w:val="Compact"/>
                    <w:jc w:val="left"/>
                    <w:jc w:val="center"/>
                  </w:pPr>
                  <w:r>
                    <w:t xml:space="preserve">Between languages</w:t>
                  </w:r>
                </w:p>
              </w:tc>
              <w:tc>
                <w:tcPr/>
                <w:p>
                  <w:pPr>
                    <w:pStyle w:val="Compact"/>
                    <w:jc w:val="right"/>
                    <w:jc w:val="center"/>
                  </w:pPr>
                  <w:r>
                    <w:t xml:space="preserve">-0.182</w:t>
                  </w:r>
                </w:p>
              </w:tc>
              <w:tc>
                <w:tcPr/>
                <w:p>
                  <w:pPr>
                    <w:pStyle w:val="Compact"/>
                    <w:jc w:val="right"/>
                    <w:jc w:val="center"/>
                  </w:pPr>
                  <w:r>
                    <w:t xml:space="preserve">[-0.271, -0.092]</w:t>
                  </w:r>
                </w:p>
              </w:tc>
              <w:tc>
                <w:tcPr/>
                <w:p>
                  <w:pPr>
                    <w:pStyle w:val="Compact"/>
                    <w:jc w:val="right"/>
                    <w:jc w:val="center"/>
                  </w:pPr>
                  <w:r>
                    <w:t xml:space="preserve">&gt; .999</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Overall</w:t>
                  </w:r>
                </w:p>
              </w:tc>
              <w:tc>
                <w:tcPr/>
                <w:p>
                  <w:pPr>
                    <w:pStyle w:val="Compact"/>
                    <w:jc w:val="right"/>
                    <w:jc w:val="center"/>
                  </w:pPr>
                  <w:r>
                    <w:t xml:space="preserve">0.015</w:t>
                  </w:r>
                </w:p>
              </w:tc>
              <w:tc>
                <w:tcPr/>
                <w:p>
                  <w:pPr>
                    <w:pStyle w:val="Compact"/>
                    <w:jc w:val="right"/>
                    <w:jc w:val="center"/>
                  </w:pPr>
                  <w:r>
                    <w:t xml:space="preserve">[-0.018, 0.048]</w:t>
                  </w:r>
                </w:p>
              </w:tc>
              <w:tc>
                <w:tcPr/>
                <w:p>
                  <w:pPr>
                    <w:pStyle w:val="Compact"/>
                    <w:jc w:val="right"/>
                    <w:jc w:val="center"/>
                  </w:pPr>
                  <w:r>
                    <w:t xml:space="preserve">.81</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Mini Norwegian</w:t>
                  </w:r>
                </w:p>
              </w:tc>
              <w:tc>
                <w:tcPr/>
                <w:p>
                  <w:pPr>
                    <w:pStyle w:val="Compact"/>
                    <w:jc w:val="right"/>
                    <w:jc w:val="center"/>
                  </w:pPr>
                  <w:r>
                    <w:t xml:space="preserve">-0.007</w:t>
                  </w:r>
                </w:p>
              </w:tc>
              <w:tc>
                <w:tcPr/>
                <w:p>
                  <w:pPr>
                    <w:pStyle w:val="Compact"/>
                    <w:jc w:val="right"/>
                    <w:jc w:val="center"/>
                  </w:pPr>
                  <w:r>
                    <w:t xml:space="preserve">[-0.053, 0.039]</w:t>
                  </w:r>
                </w:p>
              </w:tc>
              <w:tc>
                <w:tcPr/>
                <w:p>
                  <w:pPr>
                    <w:pStyle w:val="Compact"/>
                    <w:jc w:val="right"/>
                    <w:jc w:val="center"/>
                  </w:pPr>
                  <w:r>
                    <w:t xml:space="preserve">.62</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Mini English</w:t>
                  </w:r>
                </w:p>
              </w:tc>
              <w:tc>
                <w:tcPr/>
                <w:p>
                  <w:pPr>
                    <w:pStyle w:val="Compact"/>
                    <w:jc w:val="right"/>
                    <w:jc w:val="center"/>
                  </w:pPr>
                  <w:r>
                    <w:t xml:space="preserve">0.038</w:t>
                  </w:r>
                </w:p>
              </w:tc>
              <w:tc>
                <w:tcPr/>
                <w:p>
                  <w:pPr>
                    <w:pStyle w:val="Compact"/>
                    <w:jc w:val="right"/>
                    <w:jc w:val="center"/>
                  </w:pPr>
                  <w:r>
                    <w:t xml:space="preserve">[-0.010, 0.084]</w:t>
                  </w:r>
                </w:p>
              </w:tc>
              <w:tc>
                <w:tcPr/>
                <w:p>
                  <w:pPr>
                    <w:pStyle w:val="Compact"/>
                    <w:jc w:val="right"/>
                    <w:jc w:val="center"/>
                  </w:pPr>
                  <w:r>
                    <w:t xml:space="preserve">.94</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Lateral</w:t>
                  </w:r>
                </w:p>
              </w:tc>
              <w:tc>
                <w:tcPr/>
                <w:p>
                  <w:pPr>
                    <w:pStyle w:val="Compact"/>
                    <w:jc w:val="left"/>
                    <w:jc w:val="center"/>
                  </w:pPr>
                  <w:r>
                    <w:t xml:space="preserve">Between languages</w:t>
                  </w:r>
                </w:p>
              </w:tc>
              <w:tc>
                <w:tcPr/>
                <w:p>
                  <w:pPr>
                    <w:pStyle w:val="Compact"/>
                    <w:jc w:val="right"/>
                    <w:jc w:val="center"/>
                  </w:pPr>
                  <w:r>
                    <w:t xml:space="preserve">-0.045</w:t>
                  </w:r>
                </w:p>
              </w:tc>
              <w:tc>
                <w:tcPr/>
                <w:p>
                  <w:pPr>
                    <w:pStyle w:val="Compact"/>
                    <w:jc w:val="right"/>
                    <w:jc w:val="center"/>
                  </w:pPr>
                  <w:r>
                    <w:t xml:space="preserve">[-0.109, 0.022]</w:t>
                  </w:r>
                </w:p>
              </w:tc>
              <w:tc>
                <w:tcPr/>
                <w:p>
                  <w:pPr>
                    <w:pStyle w:val="Compact"/>
                    <w:jc w:val="right"/>
                    <w:jc w:val="center"/>
                  </w:pPr>
                  <w:r>
                    <w:t xml:space="preserve">.91</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Overall</w:t>
                  </w:r>
                </w:p>
              </w:tc>
              <w:tc>
                <w:tcPr/>
                <w:p>
                  <w:pPr>
                    <w:pStyle w:val="Compact"/>
                    <w:jc w:val="right"/>
                    <w:jc w:val="center"/>
                  </w:pPr>
                  <w:r>
                    <w:t xml:space="preserve">0.002</w:t>
                  </w:r>
                </w:p>
              </w:tc>
              <w:tc>
                <w:tcPr/>
                <w:p>
                  <w:pPr>
                    <w:pStyle w:val="Compact"/>
                    <w:jc w:val="right"/>
                    <w:jc w:val="center"/>
                  </w:pPr>
                  <w:r>
                    <w:t xml:space="preserve">[-0.044, 0.049]</w:t>
                  </w:r>
                </w:p>
              </w:tc>
              <w:tc>
                <w:tcPr/>
                <w:p>
                  <w:pPr>
                    <w:pStyle w:val="Compact"/>
                    <w:jc w:val="right"/>
                    <w:jc w:val="center"/>
                  </w:pPr>
                  <w:r>
                    <w:t xml:space="preserve">.54</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Mini Norwegian</w:t>
                  </w:r>
                </w:p>
              </w:tc>
              <w:tc>
                <w:tcPr/>
                <w:p>
                  <w:pPr>
                    <w:pStyle w:val="Compact"/>
                    <w:jc w:val="right"/>
                    <w:jc w:val="center"/>
                  </w:pPr>
                  <w:r>
                    <w:t xml:space="preserve">-0.075</w:t>
                  </w:r>
                </w:p>
              </w:tc>
              <w:tc>
                <w:tcPr/>
                <w:p>
                  <w:pPr>
                    <w:pStyle w:val="Compact"/>
                    <w:jc w:val="right"/>
                    <w:jc w:val="center"/>
                  </w:pPr>
                  <w:r>
                    <w:t xml:space="preserve">[-0.140, -0.010]</w:t>
                  </w:r>
                </w:p>
              </w:tc>
              <w:tc>
                <w:tcPr/>
                <w:p>
                  <w:pPr>
                    <w:pStyle w:val="Compact"/>
                    <w:jc w:val="right"/>
                    <w:jc w:val="center"/>
                  </w:pPr>
                  <w:r>
                    <w:t xml:space="preserve">.99</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Mini English</w:t>
                  </w:r>
                </w:p>
              </w:tc>
              <w:tc>
                <w:tcPr/>
                <w:p>
                  <w:pPr>
                    <w:pStyle w:val="Compact"/>
                    <w:jc w:val="right"/>
                    <w:jc w:val="center"/>
                  </w:pPr>
                  <w:r>
                    <w:t xml:space="preserve">0.082</w:t>
                  </w:r>
                </w:p>
              </w:tc>
              <w:tc>
                <w:tcPr/>
                <w:p>
                  <w:pPr>
                    <w:pStyle w:val="Compact"/>
                    <w:jc w:val="right"/>
                    <w:jc w:val="center"/>
                  </w:pPr>
                  <w:r>
                    <w:t xml:space="preserve">[0.016, 0.150]</w:t>
                  </w:r>
                </w:p>
              </w:tc>
              <w:tc>
                <w:tcPr/>
                <w:p>
                  <w:pPr>
                    <w:pStyle w:val="Compact"/>
                    <w:jc w:val="right"/>
                    <w:jc w:val="center"/>
                  </w:pPr>
                  <w:r>
                    <w:t xml:space="preserve">.99</w:t>
                  </w:r>
                </w:p>
              </w:tc>
            </w:tr>
            <w:tr>
              <w:tc>
                <w:tcPr/>
                <w:p>
                  <w:pPr>
                    <w:pStyle w:val="Compact"/>
                    <w:jc w:val="left"/>
                    <w:jc w:val="center"/>
                  </w:pPr>
                  <w:r>
                    <w:t xml:space="preserve">Object marking</w:t>
                  </w:r>
                </w:p>
              </w:tc>
              <w:tc>
                <w:tcPr/>
                <w:p>
                  <w:pPr>
                    <w:pStyle w:val="Compact"/>
                    <w:jc w:val="left"/>
                    <w:jc w:val="center"/>
                  </w:pPr>
                  <w:r>
                    <w:t xml:space="preserve">400 to 900</w:t>
                  </w:r>
                </w:p>
              </w:tc>
              <w:tc>
                <w:tcPr/>
                <w:p>
                  <w:pPr>
                    <w:pStyle w:val="Compact"/>
                    <w:jc w:val="left"/>
                    <w:jc w:val="center"/>
                  </w:pPr>
                  <w:r>
                    <w:t xml:space="preserve">Midline</w:t>
                  </w:r>
                </w:p>
              </w:tc>
              <w:tc>
                <w:tcPr/>
                <w:p>
                  <w:pPr>
                    <w:pStyle w:val="Compact"/>
                    <w:jc w:val="left"/>
                    <w:jc w:val="center"/>
                  </w:pPr>
                  <w:r>
                    <w:t xml:space="preserve">Between languages</w:t>
                  </w:r>
                </w:p>
              </w:tc>
              <w:tc>
                <w:tcPr/>
                <w:p>
                  <w:pPr>
                    <w:pStyle w:val="Compact"/>
                    <w:jc w:val="right"/>
                    <w:jc w:val="center"/>
                  </w:pPr>
                  <w:r>
                    <w:t xml:space="preserve">-0.157</w:t>
                  </w:r>
                </w:p>
              </w:tc>
              <w:tc>
                <w:tcPr/>
                <w:p>
                  <w:pPr>
                    <w:pStyle w:val="Compact"/>
                    <w:jc w:val="right"/>
                    <w:jc w:val="center"/>
                  </w:pPr>
                  <w:r>
                    <w:t xml:space="preserve">[-0.251, -0.063]</w:t>
                  </w:r>
                </w:p>
              </w:tc>
              <w:tc>
                <w:tcPr/>
                <w:p>
                  <w:pPr>
                    <w:pStyle w:val="Compact"/>
                    <w:jc w:val="right"/>
                    <w:jc w:val="center"/>
                  </w:pPr>
                  <w:r>
                    <w:t xml:space="preserve">.999</w:t>
                  </w:r>
                </w:p>
              </w:tc>
            </w:tr>
          </w:tbl>
          <w:bookmarkEnd w:id="101"/>
          <w:p/>
        </w:tc>
      </w:tr>
    </w:tbl>
    <w:bookmarkEnd w:id="102"/>
    <w:bookmarkStart w:id="104" w:name="apx-prior-specifications"/>
    <w:p>
      <w:pPr>
        <w:pStyle w:val="Heading1"/>
      </w:pPr>
      <w:r>
        <w:t xml:space="preserve">Prior specifications</w:t>
      </w:r>
    </w:p>
    <w:p>
      <w:pPr>
        <w:pStyle w:val="FirstParagraph"/>
      </w:pPr>
      <w:r>
        <w:t xml:space="preserve">The reasoning behind each prior is given in the Method, under</w:t>
      </w:r>
      <w:r>
        <w:t xml:space="preserve"> </w:t>
      </w:r>
      <w:r>
        <w:rPr>
          <w:i/>
          <w:iCs/>
        </w:rPr>
        <w:t xml:space="preserve">Priors</w:t>
      </w:r>
      <w:r>
        <w:t xml:space="preserve">. What follows is the</w:t>
      </w:r>
      <w:r>
        <w:t xml:space="preserve"> </w:t>
      </w:r>
      <w:r>
        <w:t xml:space="preserve">specification itself. Every mean and standard deviation is on the standardised scale, so a</w:t>
      </w:r>
      <w:r>
        <w:t xml:space="preserve"> </w:t>
      </w:r>
      <w:r>
        <w:t xml:space="preserve">coefficient is in standard-deviation units, within participant for the ERP models. Prior</w:t>
      </w:r>
      <w:r>
        <w:t xml:space="preserve"> </w:t>
      </w:r>
      <w:r>
        <w:t xml:space="preserve">means encode a direction and a regularised magnitude only, never a literature effect size,</w:t>
      </w:r>
      <w:r>
        <w:t xml:space="preserve"> </w:t>
      </w:r>
      <w:r>
        <w:t xml:space="preserve">because the sources do not supply a transferable one. A directional prior is placed only</w:t>
      </w:r>
      <w:r>
        <w:t xml:space="preserve"> </w:t>
      </w:r>
      <w:r>
        <w:t xml:space="preserve">where the literature supports a sign. Everything else, including the grammaticality slope</w:t>
      </w:r>
      <w:r>
        <w:t xml:space="preserve"> </w:t>
      </w:r>
      <w:r>
        <w:t xml:space="preserve">in the 200–500 ms window, differential object marking at 300–600 ms, the hemisphere</w:t>
      </w:r>
      <w:r>
        <w:t xml:space="preserve"> </w:t>
      </w:r>
      <w:r>
        <w:t xml:space="preserve">interactions and the transfer interaction under test, takes the model’s zero-centred</w:t>
      </w:r>
      <w:r>
        <w:t xml:space="preserve"> </w:t>
      </w:r>
      <w:r>
        <w:t xml:space="preserve">default.</w:t>
      </w:r>
    </w:p>
    <w:tbl>
      <w:tblPr>
        <w:tblStyle w:val="Table"/>
        <w:tblW w:type="pct" w:w="5000"/>
        <w:tblLayout w:type="fixed"/>
        <w:tblLook w:firstRow="0" w:lastRow="0" w:firstColumn="0" w:lastColumn="0" w:noHBand="0" w:noVBand="0" w:val="0000"/>
      </w:tblPr>
      <w:tblGrid>
        <w:gridCol w:w="7920"/>
      </w:tblGrid>
      <w:tr>
        <w:tc>
          <w:tcPr/>
          <w:bookmarkStart w:id="103" w:name="tbl-priors"/>
          <w:p>
            <w:pPr>
              <w:jc w:val="center"/>
            </w:pPr>
            <w:pPr>
              <w:jc w:val="left"/>
              <w:spacing w:before="200"/>
              <w:pStyle w:val="ImageCaption"/>
            </w:pPr>
            <w:r>
              <w:t xml:space="preserve">Table 4: Prior Distributions Placed on Each Parameter</w:t>
            </w:r>
          </w:p>
          <w:tbl>
            <w:tblPr>
              <w:tblStyle w:val="Table"/>
              <w:tblW w:type="pct" w:w="5000"/>
              <w:tblLayout w:type="fixed"/>
              <w:tblLook w:firstRow="1" w:lastRow="0" w:firstColumn="0" w:lastColumn="0" w:noHBand="0" w:noVBand="0" w:val="0020"/>
            </w:tblPr>
            <w:tblGrid>
              <w:gridCol w:w="2448"/>
              <w:gridCol w:w="4536"/>
              <w:gridCol w:w="936"/>
            </w:tblGrid>
            <w:tr>
              <w:trPr>
                <w:tblHeader w:val="on"/>
              </w:trPr>
              <w:tc>
                <w:tcPr/>
                <w:p>
                  <w:pPr>
                    <w:pStyle w:val="Compact"/>
                    <w:jc w:val="left"/>
                    <w:jc w:val="center"/>
                  </w:pPr>
                  <w:r>
                    <w:t xml:space="preserve">Parameter</w:t>
                  </w:r>
                </w:p>
              </w:tc>
              <w:tc>
                <w:tcPr/>
                <w:p>
                  <w:pPr>
                    <w:pStyle w:val="Compact"/>
                    <w:jc w:val="left"/>
                    <w:jc w:val="center"/>
                  </w:pPr>
                  <w:r>
                    <w:t xml:space="preserve">Model or window</w:t>
                  </w:r>
                </w:p>
              </w:tc>
              <w:tc>
                <w:tcPr/>
                <w:p>
                  <w:pPr>
                    <w:pStyle w:val="Compact"/>
                    <w:jc w:val="left"/>
                    <w:jc w:val="center"/>
                  </w:pPr>
                  <w:r>
                    <w:t xml:space="preserve">Prior</w:t>
                  </w:r>
                </w:p>
              </w:tc>
            </w:tr>
            <w:tr>
              <w:tc>
                <w:tcPr/>
                <w:p>
                  <w:pPr>
                    <w:pStyle w:val="Compact"/>
                    <w:jc w:val="left"/>
                    <w:jc w:val="center"/>
                  </w:pPr>
                  <w:r>
                    <w:t xml:space="preserve">All remaining coefficients</w:t>
                  </w:r>
                </w:p>
              </w:tc>
              <w:tc>
                <w:tcPr/>
                <w:p>
                  <w:pPr>
                    <w:pStyle w:val="Compact"/>
                    <w:jc w:val="left"/>
                    <w:jc w:val="center"/>
                  </w:pPr>
                  <w:r>
                    <w:t xml:space="preserve">all ERP models</w:t>
                  </w:r>
                </w:p>
              </w:tc>
              <w:tc>
                <w:tcPr/>
                <w:p>
                  <w:pPr>
                    <w:pStyle w:val="Compact"/>
                    <w:jc w:val="left"/>
                    <w:jc w:val="center"/>
                  </w:pPr>
                  <w:r>
                    <w:t xml:space="preserve">N(0, 0.5)</w:t>
                  </w:r>
                </w:p>
              </w:tc>
            </w:tr>
            <w:tr>
              <w:tc>
                <w:tcPr/>
                <w:p>
                  <w:pPr>
                    <w:pStyle w:val="Compact"/>
                    <w:jc w:val="left"/>
                    <w:jc w:val="center"/>
                  </w:pPr>
                  <w:r>
                    <w:t xml:space="preserve">Grammaticality</w:t>
                  </w:r>
                </w:p>
              </w:tc>
              <w:tc>
                <w:tcPr/>
                <w:p>
                  <w:pPr>
                    <w:pStyle w:val="Compact"/>
                    <w:jc w:val="left"/>
                    <w:jc w:val="center"/>
                  </w:pPr>
                  <w:r>
                    <w:t xml:space="preserve">300–600 ms, agreement properties</w:t>
                  </w:r>
                </w:p>
              </w:tc>
              <w:tc>
                <w:tcPr/>
                <w:p>
                  <w:pPr>
                    <w:pStyle w:val="Compact"/>
                    <w:jc w:val="left"/>
                    <w:jc w:val="center"/>
                  </w:pPr>
                  <w:r>
                    <w:t xml:space="preserve">N(-0.1, 0.3)</w:t>
                  </w:r>
                </w:p>
              </w:tc>
            </w:tr>
            <w:tr>
              <w:tc>
                <w:tcPr/>
                <w:p>
                  <w:pPr>
                    <w:pStyle w:val="Compact"/>
                    <w:jc w:val="left"/>
                    <w:jc w:val="center"/>
                  </w:pPr>
                  <w:r>
                    <w:t xml:space="preserve">Grammaticality</w:t>
                  </w:r>
                </w:p>
              </w:tc>
              <w:tc>
                <w:tcPr/>
                <w:p>
                  <w:pPr>
                    <w:pStyle w:val="Compact"/>
                    <w:jc w:val="left"/>
                    <w:jc w:val="center"/>
                  </w:pPr>
                  <w:r>
                    <w:t xml:space="preserve">400–900 ms, agreement properties</w:t>
                  </w:r>
                </w:p>
              </w:tc>
              <w:tc>
                <w:tcPr/>
                <w:p>
                  <w:pPr>
                    <w:pStyle w:val="Compact"/>
                    <w:jc w:val="left"/>
                    <w:jc w:val="center"/>
                  </w:pPr>
                  <w:r>
                    <w:t xml:space="preserve">N(-0.2, 0.3)</w:t>
                  </w:r>
                </w:p>
              </w:tc>
            </w:tr>
            <w:tr>
              <w:tc>
                <w:tcPr/>
                <w:p>
                  <w:pPr>
                    <w:pStyle w:val="Compact"/>
                    <w:jc w:val="left"/>
                    <w:jc w:val="center"/>
                  </w:pPr>
                  <w:r>
                    <w:t xml:space="preserve">Grammaticality</w:t>
                  </w:r>
                </w:p>
              </w:tc>
              <w:tc>
                <w:tcPr/>
                <w:p>
                  <w:pPr>
                    <w:pStyle w:val="Compact"/>
                    <w:jc w:val="left"/>
                    <w:jc w:val="center"/>
                  </w:pPr>
                  <w:r>
                    <w:t xml:space="preserve">400–900 ms, differential object marking</w:t>
                  </w:r>
                </w:p>
              </w:tc>
              <w:tc>
                <w:tcPr/>
                <w:p>
                  <w:pPr>
                    <w:pStyle w:val="Compact"/>
                    <w:jc w:val="left"/>
                    <w:jc w:val="center"/>
                  </w:pPr>
                  <w:r>
                    <w:t xml:space="preserve">N(-0.2, 0.4)</w:t>
                  </w:r>
                </w:p>
              </w:tc>
            </w:tr>
            <w:tr>
              <w:tc>
                <w:tcPr/>
                <w:p>
                  <w:pPr>
                    <w:pStyle w:val="Compact"/>
                    <w:jc w:val="left"/>
                    <w:jc w:val="center"/>
                  </w:pPr>
                  <w:r>
                    <w:t xml:space="preserve">Grammaticality x caudality</w:t>
                  </w:r>
                </w:p>
              </w:tc>
              <w:tc>
                <w:tcPr/>
                <w:p>
                  <w:pPr>
                    <w:pStyle w:val="Compact"/>
                    <w:jc w:val="left"/>
                    <w:jc w:val="center"/>
                  </w:pPr>
                  <w:r>
                    <w:t xml:space="preserve">300–600 ms, agreement properties; 400–900 ms, all properties</w:t>
                  </w:r>
                </w:p>
              </w:tc>
              <w:tc>
                <w:tcPr/>
                <w:p>
                  <w:pPr>
                    <w:pStyle w:val="Compact"/>
                    <w:jc w:val="left"/>
                    <w:jc w:val="center"/>
                  </w:pPr>
                  <w:r>
                    <w:t xml:space="preserve">N(0.1, 0.3)</w:t>
                  </w:r>
                </w:p>
              </w:tc>
            </w:tr>
            <w:tr>
              <w:tc>
                <w:tcPr/>
                <w:p>
                  <w:pPr>
                    <w:pStyle w:val="Compact"/>
                    <w:jc w:val="left"/>
                    <w:jc w:val="center"/>
                  </w:pPr>
                  <w:r>
                    <w:t xml:space="preserve">Intercept</w:t>
                  </w:r>
                </w:p>
              </w:tc>
              <w:tc>
                <w:tcPr/>
                <w:p>
                  <w:pPr>
                    <w:pStyle w:val="Compact"/>
                    <w:jc w:val="left"/>
                    <w:jc w:val="center"/>
                  </w:pPr>
                  <w:r>
                    <w:t xml:space="preserve">all ERP models</w:t>
                  </w:r>
                </w:p>
              </w:tc>
              <w:tc>
                <w:tcPr/>
                <w:p>
                  <w:pPr>
                    <w:pStyle w:val="Compact"/>
                    <w:jc w:val="left"/>
                    <w:jc w:val="center"/>
                  </w:pPr>
                  <w:r>
                    <w:t xml:space="preserve">N(0, 0.5)</w:t>
                  </w:r>
                </w:p>
              </w:tc>
            </w:tr>
            <w:tr>
              <w:tc>
                <w:tcPr/>
                <w:p>
                  <w:pPr>
                    <w:pStyle w:val="Compact"/>
                    <w:jc w:val="left"/>
                    <w:jc w:val="center"/>
                  </w:pPr>
                  <w:r>
                    <w:t xml:space="preserve">Random-effect correlations</w:t>
                  </w:r>
                </w:p>
              </w:tc>
              <w:tc>
                <w:tcPr/>
                <w:p>
                  <w:pPr>
                    <w:pStyle w:val="Compact"/>
                    <w:jc w:val="left"/>
                    <w:jc w:val="center"/>
                  </w:pPr>
                  <w:r>
                    <w:t xml:space="preserve">all ERP models</w:t>
                  </w:r>
                </w:p>
              </w:tc>
              <w:tc>
                <w:tcPr/>
                <w:p>
                  <w:pPr>
                    <w:pStyle w:val="Compact"/>
                    <w:jc w:val="left"/>
                    <w:jc w:val="center"/>
                  </w:pPr>
                  <w:r>
                    <w:t xml:space="preserve">LKJ(2)</w:t>
                  </w:r>
                </w:p>
              </w:tc>
            </w:tr>
            <w:tr>
              <w:tc>
                <w:tcPr/>
                <w:p>
                  <w:pPr>
                    <w:pStyle w:val="Compact"/>
                    <w:jc w:val="left"/>
                    <w:jc w:val="center"/>
                  </w:pPr>
                  <w:r>
                    <w:t xml:space="preserve">Random-effect standard deviations</w:t>
                  </w:r>
                </w:p>
              </w:tc>
              <w:tc>
                <w:tcPr/>
                <w:p>
                  <w:pPr>
                    <w:pStyle w:val="Compact"/>
                    <w:jc w:val="left"/>
                    <w:jc w:val="center"/>
                  </w:pPr>
                  <w:r>
                    <w:t xml:space="preserve">all ERP models</w:t>
                  </w:r>
                </w:p>
              </w:tc>
              <w:tc>
                <w:tcPr/>
                <w:p>
                  <w:pPr>
                    <w:pStyle w:val="Compact"/>
                    <w:jc w:val="left"/>
                    <w:jc w:val="center"/>
                  </w:pPr>
                  <w:r>
                    <w:t xml:space="preserve">t(3, 0, 2.5)</w:t>
                  </w:r>
                </w:p>
              </w:tc>
            </w:tr>
            <w:tr>
              <w:tc>
                <w:tcPr/>
                <w:p>
                  <w:pPr>
                    <w:pStyle w:val="Compact"/>
                    <w:jc w:val="left"/>
                    <w:jc w:val="center"/>
                  </w:pPr>
                  <w:r>
                    <w:t xml:space="preserve">Residual standard deviation</w:t>
                  </w:r>
                </w:p>
              </w:tc>
              <w:tc>
                <w:tcPr/>
                <w:p>
                  <w:pPr>
                    <w:pStyle w:val="Compact"/>
                    <w:jc w:val="left"/>
                    <w:jc w:val="center"/>
                  </w:pPr>
                  <w:r>
                    <w:t xml:space="preserve">all ERP models</w:t>
                  </w:r>
                </w:p>
              </w:tc>
              <w:tc>
                <w:tcPr/>
                <w:p>
                  <w:pPr>
                    <w:pStyle w:val="Compact"/>
                    <w:jc w:val="left"/>
                    <w:jc w:val="center"/>
                  </w:pPr>
                  <w:r>
                    <w:t xml:space="preserve">t(3, 0, 2.5)</w:t>
                  </w:r>
                </w:p>
              </w:tc>
            </w:tr>
            <w:tr>
              <w:tc>
                <w:tcPr/>
                <w:p>
                  <w:pPr>
                    <w:pStyle w:val="Compact"/>
                    <w:jc w:val="left"/>
                    <w:jc w:val="center"/>
                  </w:pPr>
                  <w:r>
                    <w:t xml:space="preserve">All remaining coefficients</w:t>
                  </w:r>
                </w:p>
              </w:tc>
              <w:tc>
                <w:tcPr/>
                <w:p>
                  <w:pPr>
                    <w:pStyle w:val="Compact"/>
                    <w:jc w:val="left"/>
                    <w:jc w:val="center"/>
                  </w:pPr>
                  <w:r>
                    <w:t xml:space="preserve">accuracy models</w:t>
                  </w:r>
                </w:p>
              </w:tc>
              <w:tc>
                <w:tcPr/>
                <w:p>
                  <w:pPr>
                    <w:pStyle w:val="Compact"/>
                    <w:jc w:val="left"/>
                    <w:jc w:val="center"/>
                  </w:pPr>
                  <w:r>
                    <w:t xml:space="preserve">N(0, 1)</w:t>
                  </w:r>
                </w:p>
              </w:tc>
            </w:tr>
            <w:tr>
              <w:tc>
                <w:tcPr/>
                <w:p>
                  <w:pPr>
                    <w:pStyle w:val="Compact"/>
                    <w:jc w:val="left"/>
                    <w:jc w:val="center"/>
                  </w:pPr>
                  <w:r>
                    <w:t xml:space="preserve">Intercept</w:t>
                  </w:r>
                </w:p>
              </w:tc>
              <w:tc>
                <w:tcPr/>
                <w:p>
                  <w:pPr>
                    <w:pStyle w:val="Compact"/>
                    <w:jc w:val="left"/>
                    <w:jc w:val="center"/>
                  </w:pPr>
                  <w:r>
                    <w:t xml:space="preserve">accuracy models</w:t>
                  </w:r>
                </w:p>
              </w:tc>
              <w:tc>
                <w:tcPr/>
                <w:p>
                  <w:pPr>
                    <w:pStyle w:val="Compact"/>
                    <w:jc w:val="left"/>
                    <w:jc w:val="center"/>
                  </w:pPr>
                  <w:r>
                    <w:t xml:space="preserve">N(1.5, 1)</w:t>
                  </w:r>
                </w:p>
              </w:tc>
            </w:tr>
            <w:tr>
              <w:tc>
                <w:tcPr/>
                <w:p>
                  <w:pPr>
                    <w:pStyle w:val="Compact"/>
                    <w:jc w:val="left"/>
                    <w:jc w:val="center"/>
                  </w:pPr>
                  <w:r>
                    <w:t xml:space="preserve">Random-effect correlations</w:t>
                  </w:r>
                </w:p>
              </w:tc>
              <w:tc>
                <w:tcPr/>
                <w:p>
                  <w:pPr>
                    <w:pStyle w:val="Compact"/>
                    <w:jc w:val="left"/>
                    <w:jc w:val="center"/>
                  </w:pPr>
                  <w:r>
                    <w:t xml:space="preserve">accuracy models</w:t>
                  </w:r>
                </w:p>
              </w:tc>
              <w:tc>
                <w:tcPr/>
                <w:p>
                  <w:pPr>
                    <w:pStyle w:val="Compact"/>
                    <w:jc w:val="left"/>
                    <w:jc w:val="center"/>
                  </w:pPr>
                  <w:r>
                    <w:t xml:space="preserve">LKJ(2)</w:t>
                  </w:r>
                </w:p>
              </w:tc>
            </w:tr>
            <w:tr>
              <w:tc>
                <w:tcPr/>
                <w:p>
                  <w:pPr>
                    <w:pStyle w:val="Compact"/>
                    <w:jc w:val="left"/>
                    <w:jc w:val="center"/>
                  </w:pPr>
                  <w:r>
                    <w:t xml:space="preserve">Random-effect standard deviations</w:t>
                  </w:r>
                </w:p>
              </w:tc>
              <w:tc>
                <w:tcPr/>
                <w:p>
                  <w:pPr>
                    <w:pStyle w:val="Compact"/>
                    <w:jc w:val="left"/>
                    <w:jc w:val="center"/>
                  </w:pPr>
                  <w:r>
                    <w:t xml:space="preserve">accuracy models</w:t>
                  </w:r>
                </w:p>
              </w:tc>
              <w:tc>
                <w:tcPr/>
                <w:p>
                  <w:pPr>
                    <w:pStyle w:val="Compact"/>
                    <w:jc w:val="left"/>
                    <w:jc w:val="center"/>
                  </w:pPr>
                  <w:r>
                    <w:t xml:space="preserve">t(3, 0, 2.5)</w:t>
                  </w:r>
                </w:p>
              </w:tc>
            </w:tr>
            <w:tr>
              <w:tc>
                <w:tcPr/>
                <w:p>
                  <w:pPr>
                    <w:pStyle w:val="Compact"/>
                    <w:jc w:val="left"/>
                    <w:jc w:val="center"/>
                  </w:pPr>
                  <w:r>
                    <w:t xml:space="preserve">Session</w:t>
                  </w:r>
                </w:p>
              </w:tc>
              <w:tc>
                <w:tcPr/>
                <w:p>
                  <w:pPr>
                    <w:pStyle w:val="Compact"/>
                    <w:jc w:val="left"/>
                    <w:jc w:val="center"/>
                  </w:pPr>
                  <w:r>
                    <w:t xml:space="preserve">accuracy models</w:t>
                  </w:r>
                </w:p>
              </w:tc>
              <w:tc>
                <w:tcPr/>
                <w:p>
                  <w:pPr>
                    <w:pStyle w:val="Compact"/>
                    <w:jc w:val="left"/>
                    <w:jc w:val="center"/>
                  </w:pPr>
                  <w:r>
                    <w:t xml:space="preserve">N(0.3, 0.5)</w:t>
                  </w:r>
                </w:p>
              </w:tc>
            </w:tr>
          </w:tbl>
          <w:bookmarkEnd w:id="103"/>
          <w:p/>
        </w:tc>
      </w:tr>
    </w:tbl>
    <w:bookmarkEnd w:id="104"/>
    <w:bookmarkStart w:id="106" w:name="apx-convergence-diagnostics"/>
    <w:p>
      <w:pPr>
        <w:pStyle w:val="Heading1"/>
      </w:pPr>
      <w:r>
        <w:t xml:space="preserve">Convergence diagnostics</w:t>
      </w:r>
    </w:p>
    <w:p>
      <w:pPr>
        <w:pStyle w:val="FirstParagraph"/>
      </w:pPr>
      <w:r>
        <w:t xml:space="preserve">This appendix reports the realised sampling diagnostics for every fitted model. Each of</w:t>
      </w:r>
      <w:r>
        <w:t xml:space="preserve"> </w:t>
      </w:r>
      <w:r>
        <w:t xml:space="preserve">the 18 ERP cells was fitted under two random-effect structures (base and maximal) and</w:t>
      </w:r>
      <w:r>
        <w:t xml:space="preserve"> </w:t>
      </w:r>
      <w:r>
        <w:t xml:space="preserve">two prior sets, the literature-derived informative priors reported throughout and the</w:t>
      </w:r>
      <w:r>
        <w:t xml:space="preserve"> </w:t>
      </w:r>
      <w:r>
        <w:t xml:space="preserve">weakly informative baseline used for the sensitivity analysis, giving</w:t>
      </w:r>
      <w:r>
        <w:t xml:space="preserve"> </w:t>
      </w:r>
      <w:r>
        <w:t xml:space="preserve">72 grid fits. Each of the</w:t>
      </w:r>
      <w:r>
        <w:t xml:space="preserve"> </w:t>
      </w:r>
      <w:r>
        <w:t xml:space="preserve">3 accuracy models was fitted under the two prior sets alone, having a single</w:t>
      </w:r>
      <w:r>
        <w:t xml:space="preserve"> </w:t>
      </w:r>
      <w:r>
        <w:t xml:space="preserve">random-effect structure because no by-item term is carried, giving</w:t>
      </w:r>
      <w:r>
        <w:t xml:space="preserve"> </w:t>
      </w:r>
      <w:r>
        <w:t xml:space="preserve">6 fits. The retention-free refits add</w:t>
      </w:r>
      <w:r>
        <w:t xml:space="preserve"> </w:t>
      </w:r>
      <w:r>
        <w:t xml:space="preserve">24 fits, the 12 gender-agreement and differential-object-marking</w:t>
      </w:r>
      <w:r>
        <w:t xml:space="preserve"> </w:t>
      </w:r>
      <w:r>
        <w:t xml:space="preserve">cells under both structures with the informative</w:t>
      </w:r>
      <w:r>
        <w:t xml:space="preserve"> </w:t>
      </w:r>
      <w:r>
        <w:t xml:space="preserve">priors.</w:t>
      </w:r>
      <w:r>
        <w:t xml:space="preserve"> </w:t>
      </w:r>
      <w:r>
        <w:t xml:space="preserve">In all, 102 models were fitted.</w:t>
      </w:r>
      <w:r>
        <w:t xml:space="preserve"> </w:t>
      </w:r>
      <w:hyperlink w:anchor="tbl-convergence-appendix">
        <w:r>
          <w:rPr>
            <w:rStyle w:val="Hyperlink"/>
          </w:rPr>
          <w:t xml:space="preserve">Table 5</w:t>
        </w:r>
      </w:hyperlink>
      <w:r>
        <w:t xml:space="preserve"> </w:t>
      </w:r>
      <w:r>
        <w:t xml:space="preserve">gives the realised diagnostics for every one, so a</w:t>
      </w:r>
      <w:r>
        <w:t xml:space="preserve"> </w:t>
      </w:r>
      <w:r>
        <w:t xml:space="preserve">model that converged comfortably can be told from one that converged marginally.</w:t>
      </w:r>
    </w:p>
    <w:tbl>
      <w:tblPr>
        <w:tblStyle w:val="Table"/>
        <w:tblW w:type="pct" w:w="5000"/>
        <w:tblLayout w:type="fixed"/>
        <w:tblLook w:firstRow="0" w:lastRow="0" w:firstColumn="0" w:lastColumn="0" w:noHBand="0" w:noVBand="0" w:val="0000"/>
      </w:tblPr>
      <w:tblGrid>
        <w:gridCol w:w="7920"/>
      </w:tblGrid>
      <w:tr>
        <w:tc>
          <w:tcPr/>
          <w:bookmarkStart w:id="105" w:name="tbl-convergence-appendix"/>
          <w:p>
            <w:pPr>
              <w:jc w:val="center"/>
            </w:pPr>
            <w:pPr>
              <w:jc w:val="left"/>
              <w:spacing w:before="200"/>
              <w:pStyle w:val="ImageCaption"/>
            </w:pPr>
            <w:r>
              <w:t xml:space="preserve">Table 5: Convergence Diagnostics for Every Fitted Model</w:t>
            </w:r>
          </w:p>
          <w:tbl>
            <w:tblPr>
              <w:tblStyle w:val="Table"/>
              <w:tblW w:type="pct" w:w="5000"/>
              <w:tblLayout w:type="fixed"/>
              <w:tblLook w:firstRow="1" w:lastRow="0" w:firstColumn="0" w:lastColumn="0" w:noHBand="0" w:noVBand="0" w:val="0020"/>
            </w:tblPr>
            <w:tblGrid>
              <w:gridCol w:w="1188"/>
              <w:gridCol w:w="950"/>
              <w:gridCol w:w="792"/>
              <w:gridCol w:w="950"/>
              <w:gridCol w:w="1029"/>
              <w:gridCol w:w="1188"/>
              <w:gridCol w:w="554"/>
              <w:gridCol w:w="633"/>
              <w:gridCol w:w="633"/>
            </w:tblGrid>
            <w:tr>
              <w:trPr>
                <w:tblHeader w:val="on"/>
              </w:trPr>
              <w:tc>
                <w:tcPr/>
                <w:p>
                  <w:pPr>
                    <w:pStyle w:val="Compact"/>
                    <w:jc w:val="left"/>
                    <w:jc w:val="center"/>
                  </w:pPr>
                  <w:r>
                    <w:t xml:space="preserve">Property</w:t>
                  </w:r>
                </w:p>
              </w:tc>
              <w:tc>
                <w:tcPr/>
                <w:p>
                  <w:pPr>
                    <w:pStyle w:val="Compact"/>
                    <w:jc w:val="left"/>
                    <w:jc w:val="center"/>
                  </w:pPr>
                  <w:r>
                    <w:t xml:space="preserve">Window (ms)</w:t>
                  </w:r>
                </w:p>
              </w:tc>
              <w:tc>
                <w:tcPr/>
                <w:p>
                  <w:pPr>
                    <w:pStyle w:val="Compact"/>
                    <w:jc w:val="left"/>
                    <w:jc w:val="center"/>
                  </w:pPr>
                  <w:r>
                    <w:t xml:space="preserve">Region</w:t>
                  </w:r>
                </w:p>
              </w:tc>
              <w:tc>
                <w:tcPr/>
                <w:p>
                  <w:pPr>
                    <w:pStyle w:val="Compact"/>
                    <w:jc w:val="left"/>
                    <w:jc w:val="center"/>
                  </w:pPr>
                  <w:r>
                    <w:t xml:space="preserve">Structure</w:t>
                  </w:r>
                </w:p>
              </w:tc>
              <w:tc>
                <w:tcPr/>
                <w:p>
                  <w:pPr>
                    <w:pStyle w:val="Compact"/>
                    <w:jc w:val="left"/>
                    <w:jc w:val="center"/>
                  </w:pPr>
                  <w:r>
                    <w:t xml:space="preserve">Priors</w:t>
                  </w:r>
                </w:p>
              </w:tc>
              <w:tc>
                <w:tcPr/>
                <w:p>
                  <w:pPr>
                    <w:pStyle w:val="Compact"/>
                    <w:jc w:val="left"/>
                    <w:jc w:val="center"/>
                  </w:pPr>
                  <w:r>
                    <w:t xml:space="preserve">Retention-free</w:t>
                  </w:r>
                </w:p>
              </w:tc>
              <w:tc>
                <w:tcPr/>
                <w:p>
                  <w:pPr>
                    <w:pStyle w:val="Compact"/>
                    <w:jc w:val="right"/>
                    <w:jc w:val="center"/>
                  </w:pPr>
                  <m:oMath>
                    <m:acc>
                      <m:accPr>
                        <m:chr m:val="̂"/>
                      </m:accPr>
                      <m:e>
                        <m:r>
                          <m:t>R</m:t>
                        </m:r>
                      </m:e>
                    </m:acc>
                  </m:oMath>
                  <w:r>
                    <w:t xml:space="preserve">​</w:t>
                  </w:r>
                </w:p>
              </w:tc>
              <w:tc>
                <w:tcPr/>
                <w:p>
                  <w:pPr>
                    <w:pStyle w:val="Compact"/>
                    <w:jc w:val="right"/>
                    <w:jc w:val="center"/>
                  </w:pPr>
                  <w:r>
                    <w:t xml:space="preserve">ESS (bulk)</w:t>
                  </w:r>
                </w:p>
              </w:tc>
              <w:tc>
                <w:tcPr/>
                <w:p>
                  <w:pPr>
                    <w:pStyle w:val="Compact"/>
                    <w:jc w:val="right"/>
                    <w:jc w:val="center"/>
                  </w:pPr>
                  <w:r>
                    <w:t xml:space="preserve">ESS (tail)</w:t>
                  </w:r>
                </w:p>
              </w:tc>
            </w:tr>
            <w:tr>
              <w:tc>
                <w:tcPr/>
                <w:p>
                  <w:pPr>
                    <w:pStyle w:val="Compact"/>
                    <w:jc w:val="left"/>
                    <w:jc w:val="center"/>
                  </w:pPr>
                  <w:r>
                    <w:t xml:space="preserve">Object marking</w:t>
                  </w:r>
                </w:p>
              </w:tc>
              <w:tc>
                <w:tcPr/>
                <w:p>
                  <w:pPr>
                    <w:pStyle w:val="Compact"/>
                  </w:pPr>
                </w:p>
              </w:tc>
              <w:tc>
                <w:tcPr/>
                <w:p>
                  <w:pPr>
                    <w:pStyle w:val="Compact"/>
                  </w:pP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5020</w:t>
                  </w:r>
                </w:p>
              </w:tc>
              <w:tc>
                <w:tcPr/>
                <w:p>
                  <w:pPr>
                    <w:pStyle w:val="Compact"/>
                    <w:jc w:val="right"/>
                    <w:jc w:val="center"/>
                  </w:pPr>
                  <w:r>
                    <w:t xml:space="preserve">8149</w:t>
                  </w:r>
                </w:p>
              </w:tc>
            </w:tr>
            <w:tr>
              <w:tc>
                <w:tcPr/>
                <w:p>
                  <w:pPr>
                    <w:pStyle w:val="Compact"/>
                    <w:jc w:val="left"/>
                    <w:jc w:val="center"/>
                  </w:pPr>
                  <w:r>
                    <w:t xml:space="preserve">Object marking</w:t>
                  </w:r>
                </w:p>
              </w:tc>
              <w:tc>
                <w:tcPr/>
                <w:p>
                  <w:pPr>
                    <w:pStyle w:val="Compact"/>
                  </w:pPr>
                </w:p>
              </w:tc>
              <w:tc>
                <w:tcPr/>
                <w:p>
                  <w:pPr>
                    <w:pStyle w:val="Compact"/>
                  </w:pP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4825</w:t>
                  </w:r>
                </w:p>
              </w:tc>
              <w:tc>
                <w:tcPr/>
                <w:p>
                  <w:pPr>
                    <w:pStyle w:val="Compact"/>
                    <w:jc w:val="right"/>
                    <w:jc w:val="center"/>
                  </w:pPr>
                  <w:r>
                    <w:t xml:space="preserve">7707</w:t>
                  </w:r>
                </w:p>
              </w:tc>
            </w:tr>
            <w:tr>
              <w:tc>
                <w:tcPr/>
                <w:p>
                  <w:pPr>
                    <w:pStyle w:val="Compact"/>
                    <w:jc w:val="left"/>
                    <w:jc w:val="center"/>
                  </w:pPr>
                  <w:r>
                    <w:t xml:space="preserve">Gender</w:t>
                  </w:r>
                </w:p>
              </w:tc>
              <w:tc>
                <w:tcPr/>
                <w:p>
                  <w:pPr>
                    <w:pStyle w:val="Compact"/>
                  </w:pPr>
                </w:p>
              </w:tc>
              <w:tc>
                <w:tcPr/>
                <w:p>
                  <w:pPr>
                    <w:pStyle w:val="Compact"/>
                  </w:pP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4086</w:t>
                  </w:r>
                </w:p>
              </w:tc>
              <w:tc>
                <w:tcPr/>
                <w:p>
                  <w:pPr>
                    <w:pStyle w:val="Compact"/>
                    <w:jc w:val="right"/>
                    <w:jc w:val="center"/>
                  </w:pPr>
                  <w:r>
                    <w:t xml:space="preserve">7874</w:t>
                  </w:r>
                </w:p>
              </w:tc>
            </w:tr>
            <w:tr>
              <w:tc>
                <w:tcPr/>
                <w:p>
                  <w:pPr>
                    <w:pStyle w:val="Compact"/>
                    <w:jc w:val="left"/>
                    <w:jc w:val="center"/>
                  </w:pPr>
                  <w:r>
                    <w:t xml:space="preserve">Gender</w:t>
                  </w:r>
                </w:p>
              </w:tc>
              <w:tc>
                <w:tcPr/>
                <w:p>
                  <w:pPr>
                    <w:pStyle w:val="Compact"/>
                  </w:pPr>
                </w:p>
              </w:tc>
              <w:tc>
                <w:tcPr/>
                <w:p>
                  <w:pPr>
                    <w:pStyle w:val="Compact"/>
                  </w:pP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3675</w:t>
                  </w:r>
                </w:p>
              </w:tc>
              <w:tc>
                <w:tcPr/>
                <w:p>
                  <w:pPr>
                    <w:pStyle w:val="Compact"/>
                    <w:jc w:val="right"/>
                    <w:jc w:val="center"/>
                  </w:pPr>
                  <w:r>
                    <w:t xml:space="preserve">7274</w:t>
                  </w:r>
                </w:p>
              </w:tc>
            </w:tr>
            <w:tr>
              <w:tc>
                <w:tcPr/>
                <w:p>
                  <w:pPr>
                    <w:pStyle w:val="Compact"/>
                    <w:jc w:val="left"/>
                    <w:jc w:val="center"/>
                  </w:pPr>
                  <w:r>
                    <w:t xml:space="preserve">Number agr.</w:t>
                  </w:r>
                </w:p>
              </w:tc>
              <w:tc>
                <w:tcPr/>
                <w:p>
                  <w:pPr>
                    <w:pStyle w:val="Compact"/>
                  </w:pPr>
                </w:p>
              </w:tc>
              <w:tc>
                <w:tcPr/>
                <w:p>
                  <w:pPr>
                    <w:pStyle w:val="Compact"/>
                  </w:pP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5673</w:t>
                  </w:r>
                </w:p>
              </w:tc>
              <w:tc>
                <w:tcPr/>
                <w:p>
                  <w:pPr>
                    <w:pStyle w:val="Compact"/>
                    <w:jc w:val="right"/>
                    <w:jc w:val="center"/>
                  </w:pPr>
                  <w:r>
                    <w:t xml:space="preserve">10553</w:t>
                  </w:r>
                </w:p>
              </w:tc>
            </w:tr>
            <w:tr>
              <w:tc>
                <w:tcPr/>
                <w:p>
                  <w:pPr>
                    <w:pStyle w:val="Compact"/>
                    <w:jc w:val="left"/>
                    <w:jc w:val="center"/>
                  </w:pPr>
                  <w:r>
                    <w:t xml:space="preserve">Number agr.</w:t>
                  </w:r>
                </w:p>
              </w:tc>
              <w:tc>
                <w:tcPr/>
                <w:p>
                  <w:pPr>
                    <w:pStyle w:val="Compact"/>
                  </w:pPr>
                </w:p>
              </w:tc>
              <w:tc>
                <w:tcPr/>
                <w:p>
                  <w:pPr>
                    <w:pStyle w:val="Compact"/>
                  </w:pP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5156</w:t>
                  </w:r>
                </w:p>
              </w:tc>
              <w:tc>
                <w:tcPr/>
                <w:p>
                  <w:pPr>
                    <w:pStyle w:val="Compact"/>
                    <w:jc w:val="right"/>
                    <w:jc w:val="center"/>
                  </w:pPr>
                  <w:r>
                    <w:t xml:space="preserve">9021</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830</w:t>
                  </w:r>
                </w:p>
              </w:tc>
              <w:tc>
                <w:tcPr/>
                <w:p>
                  <w:pPr>
                    <w:pStyle w:val="Compact"/>
                    <w:jc w:val="right"/>
                    <w:jc w:val="center"/>
                  </w:pPr>
                  <w:r>
                    <w:t xml:space="preserve">1808</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978</w:t>
                  </w:r>
                </w:p>
              </w:tc>
              <w:tc>
                <w:tcPr/>
                <w:p>
                  <w:pPr>
                    <w:pStyle w:val="Compact"/>
                    <w:jc w:val="right"/>
                    <w:jc w:val="center"/>
                  </w:pPr>
                  <w:r>
                    <w:t xml:space="preserve">1420</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1.006</w:t>
                  </w:r>
                </w:p>
              </w:tc>
              <w:tc>
                <w:tcPr/>
                <w:p>
                  <w:pPr>
                    <w:pStyle w:val="Compact"/>
                    <w:jc w:val="right"/>
                    <w:jc w:val="center"/>
                  </w:pPr>
                  <w:r>
                    <w:t xml:space="preserve">1105</w:t>
                  </w:r>
                </w:p>
              </w:tc>
              <w:tc>
                <w:tcPr/>
                <w:p>
                  <w:pPr>
                    <w:pStyle w:val="Compact"/>
                    <w:jc w:val="right"/>
                    <w:jc w:val="center"/>
                  </w:pPr>
                  <w:r>
                    <w:t xml:space="preserve">1474</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1.007</w:t>
                  </w:r>
                </w:p>
              </w:tc>
              <w:tc>
                <w:tcPr/>
                <w:p>
                  <w:pPr>
                    <w:pStyle w:val="Compact"/>
                    <w:jc w:val="right"/>
                    <w:jc w:val="center"/>
                  </w:pPr>
                  <w:r>
                    <w:t xml:space="preserve">840</w:t>
                  </w:r>
                </w:p>
              </w:tc>
              <w:tc>
                <w:tcPr/>
                <w:p>
                  <w:pPr>
                    <w:pStyle w:val="Compact"/>
                    <w:jc w:val="right"/>
                    <w:jc w:val="center"/>
                  </w:pPr>
                  <w:r>
                    <w:t xml:space="preserve">1519</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978</w:t>
                  </w:r>
                </w:p>
              </w:tc>
              <w:tc>
                <w:tcPr/>
                <w:p>
                  <w:pPr>
                    <w:pStyle w:val="Compact"/>
                    <w:jc w:val="right"/>
                    <w:jc w:val="center"/>
                  </w:pPr>
                  <w:r>
                    <w:t xml:space="preserve">1962</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1038</w:t>
                  </w:r>
                </w:p>
              </w:tc>
              <w:tc>
                <w:tcPr/>
                <w:p>
                  <w:pPr>
                    <w:pStyle w:val="Compact"/>
                    <w:jc w:val="right"/>
                    <w:jc w:val="center"/>
                  </w:pPr>
                  <w:r>
                    <w:t xml:space="preserve">1128</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874</w:t>
                  </w:r>
                </w:p>
              </w:tc>
              <w:tc>
                <w:tcPr/>
                <w:p>
                  <w:pPr>
                    <w:pStyle w:val="Compact"/>
                    <w:jc w:val="right"/>
                    <w:jc w:val="center"/>
                  </w:pPr>
                  <w:r>
                    <w:t xml:space="preserve">2408</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865</w:t>
                  </w:r>
                </w:p>
              </w:tc>
              <w:tc>
                <w:tcPr/>
                <w:p>
                  <w:pPr>
                    <w:pStyle w:val="Compact"/>
                    <w:jc w:val="right"/>
                    <w:jc w:val="center"/>
                  </w:pPr>
                  <w:r>
                    <w:t xml:space="preserve">2230</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1.007</w:t>
                  </w:r>
                </w:p>
              </w:tc>
              <w:tc>
                <w:tcPr/>
                <w:p>
                  <w:pPr>
                    <w:pStyle w:val="Compact"/>
                    <w:jc w:val="right"/>
                    <w:jc w:val="center"/>
                  </w:pPr>
                  <w:r>
                    <w:t xml:space="preserve">1016</w:t>
                  </w:r>
                </w:p>
              </w:tc>
              <w:tc>
                <w:tcPr/>
                <w:p>
                  <w:pPr>
                    <w:pStyle w:val="Compact"/>
                    <w:jc w:val="right"/>
                    <w:jc w:val="center"/>
                  </w:pPr>
                  <w:r>
                    <w:t xml:space="preserve">2520</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1.003</w:t>
                  </w:r>
                </w:p>
              </w:tc>
              <w:tc>
                <w:tcPr/>
                <w:p>
                  <w:pPr>
                    <w:pStyle w:val="Compact"/>
                    <w:jc w:val="right"/>
                    <w:jc w:val="center"/>
                  </w:pPr>
                  <w:r>
                    <w:t xml:space="preserve">776</w:t>
                  </w:r>
                </w:p>
              </w:tc>
              <w:tc>
                <w:tcPr/>
                <w:p>
                  <w:pPr>
                    <w:pStyle w:val="Compact"/>
                    <w:jc w:val="right"/>
                    <w:jc w:val="center"/>
                  </w:pPr>
                  <w:r>
                    <w:t xml:space="preserve">2204</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849</w:t>
                  </w:r>
                </w:p>
              </w:tc>
              <w:tc>
                <w:tcPr/>
                <w:p>
                  <w:pPr>
                    <w:pStyle w:val="Compact"/>
                    <w:jc w:val="right"/>
                    <w:jc w:val="center"/>
                  </w:pPr>
                  <w:r>
                    <w:t xml:space="preserve">2195</w:t>
                  </w:r>
                </w:p>
              </w:tc>
            </w:tr>
            <w:tr>
              <w:tc>
                <w:tcPr/>
                <w:p>
                  <w:pPr>
                    <w:pStyle w:val="Compact"/>
                    <w:jc w:val="left"/>
                    <w:jc w:val="center"/>
                  </w:pPr>
                  <w:r>
                    <w:t xml:space="preserve">Object marking</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868</w:t>
                  </w:r>
                </w:p>
              </w:tc>
              <w:tc>
                <w:tcPr/>
                <w:p>
                  <w:pPr>
                    <w:pStyle w:val="Compact"/>
                    <w:jc w:val="right"/>
                    <w:jc w:val="center"/>
                  </w:pPr>
                  <w:r>
                    <w:t xml:space="preserve">2310</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837</w:t>
                  </w:r>
                </w:p>
              </w:tc>
              <w:tc>
                <w:tcPr/>
                <w:p>
                  <w:pPr>
                    <w:pStyle w:val="Compact"/>
                    <w:jc w:val="right"/>
                    <w:jc w:val="center"/>
                  </w:pPr>
                  <w:r>
                    <w:t xml:space="preserve">1835</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809</w:t>
                  </w:r>
                </w:p>
              </w:tc>
              <w:tc>
                <w:tcPr/>
                <w:p>
                  <w:pPr>
                    <w:pStyle w:val="Compact"/>
                    <w:jc w:val="right"/>
                    <w:jc w:val="center"/>
                  </w:pPr>
                  <w:r>
                    <w:t xml:space="preserve">1671</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1.003</w:t>
                  </w:r>
                </w:p>
              </w:tc>
              <w:tc>
                <w:tcPr/>
                <w:p>
                  <w:pPr>
                    <w:pStyle w:val="Compact"/>
                    <w:jc w:val="right"/>
                    <w:jc w:val="center"/>
                  </w:pPr>
                  <w:r>
                    <w:t xml:space="preserve">732</w:t>
                  </w:r>
                </w:p>
              </w:tc>
              <w:tc>
                <w:tcPr/>
                <w:p>
                  <w:pPr>
                    <w:pStyle w:val="Compact"/>
                    <w:jc w:val="right"/>
                    <w:jc w:val="center"/>
                  </w:pPr>
                  <w:r>
                    <w:t xml:space="preserve">1401</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1.005</w:t>
                  </w:r>
                </w:p>
              </w:tc>
              <w:tc>
                <w:tcPr/>
                <w:p>
                  <w:pPr>
                    <w:pStyle w:val="Compact"/>
                    <w:jc w:val="right"/>
                    <w:jc w:val="center"/>
                  </w:pPr>
                  <w:r>
                    <w:t xml:space="preserve">885</w:t>
                  </w:r>
                </w:p>
              </w:tc>
              <w:tc>
                <w:tcPr/>
                <w:p>
                  <w:pPr>
                    <w:pStyle w:val="Compact"/>
                    <w:jc w:val="right"/>
                    <w:jc w:val="center"/>
                  </w:pPr>
                  <w:r>
                    <w:t xml:space="preserve">1909</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904</w:t>
                  </w:r>
                </w:p>
              </w:tc>
              <w:tc>
                <w:tcPr/>
                <w:p>
                  <w:pPr>
                    <w:pStyle w:val="Compact"/>
                    <w:jc w:val="right"/>
                    <w:jc w:val="center"/>
                  </w:pPr>
                  <w:r>
                    <w:t xml:space="preserve">1756</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1.007</w:t>
                  </w:r>
                </w:p>
              </w:tc>
              <w:tc>
                <w:tcPr/>
                <w:p>
                  <w:pPr>
                    <w:pStyle w:val="Compact"/>
                    <w:jc w:val="right"/>
                    <w:jc w:val="center"/>
                  </w:pPr>
                  <w:r>
                    <w:t xml:space="preserve">593</w:t>
                  </w:r>
                </w:p>
              </w:tc>
              <w:tc>
                <w:tcPr/>
                <w:p>
                  <w:pPr>
                    <w:pStyle w:val="Compact"/>
                    <w:jc w:val="right"/>
                    <w:jc w:val="center"/>
                  </w:pPr>
                  <w:r>
                    <w:t xml:space="preserve">1200</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1019</w:t>
                  </w:r>
                </w:p>
              </w:tc>
              <w:tc>
                <w:tcPr/>
                <w:p>
                  <w:pPr>
                    <w:pStyle w:val="Compact"/>
                    <w:jc w:val="right"/>
                    <w:jc w:val="center"/>
                  </w:pPr>
                  <w:r>
                    <w:t xml:space="preserve">2863</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1335</w:t>
                  </w:r>
                </w:p>
              </w:tc>
              <w:tc>
                <w:tcPr/>
                <w:p>
                  <w:pPr>
                    <w:pStyle w:val="Compact"/>
                    <w:jc w:val="right"/>
                    <w:jc w:val="center"/>
                  </w:pPr>
                  <w:r>
                    <w:t xml:space="preserve">2937</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1.004</w:t>
                  </w:r>
                </w:p>
              </w:tc>
              <w:tc>
                <w:tcPr/>
                <w:p>
                  <w:pPr>
                    <w:pStyle w:val="Compact"/>
                    <w:jc w:val="right"/>
                    <w:jc w:val="center"/>
                  </w:pPr>
                  <w:r>
                    <w:t xml:space="preserve">821</w:t>
                  </w:r>
                </w:p>
              </w:tc>
              <w:tc>
                <w:tcPr/>
                <w:p>
                  <w:pPr>
                    <w:pStyle w:val="Compact"/>
                    <w:jc w:val="right"/>
                    <w:jc w:val="center"/>
                  </w:pPr>
                  <w:r>
                    <w:t xml:space="preserve">2597</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1.003</w:t>
                  </w:r>
                </w:p>
              </w:tc>
              <w:tc>
                <w:tcPr/>
                <w:p>
                  <w:pPr>
                    <w:pStyle w:val="Compact"/>
                    <w:jc w:val="right"/>
                    <w:jc w:val="center"/>
                  </w:pPr>
                  <w:r>
                    <w:t xml:space="preserve">1134</w:t>
                  </w:r>
                </w:p>
              </w:tc>
              <w:tc>
                <w:tcPr/>
                <w:p>
                  <w:pPr>
                    <w:pStyle w:val="Compact"/>
                    <w:jc w:val="right"/>
                    <w:jc w:val="center"/>
                  </w:pPr>
                  <w:r>
                    <w:t xml:space="preserve">3108</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875</w:t>
                  </w:r>
                </w:p>
              </w:tc>
              <w:tc>
                <w:tcPr/>
                <w:p>
                  <w:pPr>
                    <w:pStyle w:val="Compact"/>
                    <w:jc w:val="right"/>
                    <w:jc w:val="center"/>
                  </w:pPr>
                  <w:r>
                    <w:t xml:space="preserve">2837</w:t>
                  </w:r>
                </w:p>
              </w:tc>
            </w:tr>
            <w:tr>
              <w:tc>
                <w:tcPr/>
                <w:p>
                  <w:pPr>
                    <w:pStyle w:val="Compact"/>
                    <w:jc w:val="left"/>
                    <w:jc w:val="center"/>
                  </w:pPr>
                  <w:r>
                    <w:t xml:space="preserve">Object marking</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1135</w:t>
                  </w:r>
                </w:p>
              </w:tc>
              <w:tc>
                <w:tcPr/>
                <w:p>
                  <w:pPr>
                    <w:pStyle w:val="Compact"/>
                    <w:jc w:val="right"/>
                    <w:jc w:val="center"/>
                  </w:pPr>
                  <w:r>
                    <w:t xml:space="preserve">3310</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4547</w:t>
                  </w:r>
                </w:p>
              </w:tc>
              <w:tc>
                <w:tcPr/>
                <w:p>
                  <w:pPr>
                    <w:pStyle w:val="Compact"/>
                    <w:jc w:val="right"/>
                    <w:jc w:val="center"/>
                  </w:pPr>
                  <w:r>
                    <w:t xml:space="preserve">7922</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3782</w:t>
                  </w:r>
                </w:p>
              </w:tc>
              <w:tc>
                <w:tcPr/>
                <w:p>
                  <w:pPr>
                    <w:pStyle w:val="Compact"/>
                    <w:jc w:val="right"/>
                    <w:jc w:val="center"/>
                  </w:pPr>
                  <w:r>
                    <w:t xml:space="preserve">6859</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5121</w:t>
                  </w:r>
                </w:p>
              </w:tc>
              <w:tc>
                <w:tcPr/>
                <w:p>
                  <w:pPr>
                    <w:pStyle w:val="Compact"/>
                    <w:jc w:val="right"/>
                    <w:jc w:val="center"/>
                  </w:pPr>
                  <w:r>
                    <w:t xml:space="preserve">8807</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5186</w:t>
                  </w:r>
                </w:p>
              </w:tc>
              <w:tc>
                <w:tcPr/>
                <w:p>
                  <w:pPr>
                    <w:pStyle w:val="Compact"/>
                    <w:jc w:val="right"/>
                    <w:jc w:val="center"/>
                  </w:pPr>
                  <w:r>
                    <w:t xml:space="preserve">10706</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4777</w:t>
                  </w:r>
                </w:p>
              </w:tc>
              <w:tc>
                <w:tcPr/>
                <w:p>
                  <w:pPr>
                    <w:pStyle w:val="Compact"/>
                    <w:jc w:val="right"/>
                    <w:jc w:val="center"/>
                  </w:pPr>
                  <w:r>
                    <w:t xml:space="preserve">8250</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3511</w:t>
                  </w:r>
                </w:p>
              </w:tc>
              <w:tc>
                <w:tcPr/>
                <w:p>
                  <w:pPr>
                    <w:pStyle w:val="Compact"/>
                    <w:jc w:val="right"/>
                    <w:jc w:val="center"/>
                  </w:pPr>
                  <w:r>
                    <w:t xml:space="preserve">7499</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1239</w:t>
                  </w:r>
                </w:p>
              </w:tc>
              <w:tc>
                <w:tcPr/>
                <w:p>
                  <w:pPr>
                    <w:pStyle w:val="Compact"/>
                    <w:jc w:val="right"/>
                    <w:jc w:val="center"/>
                  </w:pPr>
                  <w:r>
                    <w:t xml:space="preserve">1715</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1253</w:t>
                  </w:r>
                </w:p>
              </w:tc>
              <w:tc>
                <w:tcPr/>
                <w:p>
                  <w:pPr>
                    <w:pStyle w:val="Compact"/>
                    <w:jc w:val="right"/>
                    <w:jc w:val="center"/>
                  </w:pPr>
                  <w:r>
                    <w:t xml:space="preserve">1612</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1.003</w:t>
                  </w:r>
                </w:p>
              </w:tc>
              <w:tc>
                <w:tcPr/>
                <w:p>
                  <w:pPr>
                    <w:pStyle w:val="Compact"/>
                    <w:jc w:val="right"/>
                    <w:jc w:val="center"/>
                  </w:pPr>
                  <w:r>
                    <w:t xml:space="preserve">1927</w:t>
                  </w:r>
                </w:p>
              </w:tc>
              <w:tc>
                <w:tcPr/>
                <w:p>
                  <w:pPr>
                    <w:pStyle w:val="Compact"/>
                    <w:jc w:val="right"/>
                    <w:jc w:val="center"/>
                  </w:pPr>
                  <w:r>
                    <w:t xml:space="preserve">1615</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1835</w:t>
                  </w:r>
                </w:p>
              </w:tc>
              <w:tc>
                <w:tcPr/>
                <w:p>
                  <w:pPr>
                    <w:pStyle w:val="Compact"/>
                    <w:jc w:val="right"/>
                    <w:jc w:val="center"/>
                  </w:pPr>
                  <w:r>
                    <w:t xml:space="preserve">2101</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1206</w:t>
                  </w:r>
                </w:p>
              </w:tc>
              <w:tc>
                <w:tcPr/>
                <w:p>
                  <w:pPr>
                    <w:pStyle w:val="Compact"/>
                    <w:jc w:val="right"/>
                    <w:jc w:val="center"/>
                  </w:pPr>
                  <w:r>
                    <w:t xml:space="preserve">1241</w:t>
                  </w:r>
                </w:p>
              </w:tc>
            </w:tr>
            <w:tr>
              <w:tc>
                <w:tcPr/>
                <w:p>
                  <w:pPr>
                    <w:pStyle w:val="Compact"/>
                    <w:jc w:val="left"/>
                    <w:jc w:val="center"/>
                  </w:pPr>
                  <w:r>
                    <w:t xml:space="preserve">Object marking</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1247</w:t>
                  </w:r>
                </w:p>
              </w:tc>
              <w:tc>
                <w:tcPr/>
                <w:p>
                  <w:pPr>
                    <w:pStyle w:val="Compact"/>
                    <w:jc w:val="right"/>
                    <w:jc w:val="center"/>
                  </w:pPr>
                  <w:r>
                    <w:t xml:space="preserve">1456</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5641</w:t>
                  </w:r>
                </w:p>
              </w:tc>
              <w:tc>
                <w:tcPr/>
                <w:p>
                  <w:pPr>
                    <w:pStyle w:val="Compact"/>
                    <w:jc w:val="right"/>
                    <w:jc w:val="center"/>
                  </w:pPr>
                  <w:r>
                    <w:t xml:space="preserve">11270</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5281</w:t>
                  </w:r>
                </w:p>
              </w:tc>
              <w:tc>
                <w:tcPr/>
                <w:p>
                  <w:pPr>
                    <w:pStyle w:val="Compact"/>
                    <w:jc w:val="right"/>
                    <w:jc w:val="center"/>
                  </w:pPr>
                  <w:r>
                    <w:t xml:space="preserve">10703</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5031</w:t>
                  </w:r>
                </w:p>
              </w:tc>
              <w:tc>
                <w:tcPr/>
                <w:p>
                  <w:pPr>
                    <w:pStyle w:val="Compact"/>
                    <w:jc w:val="right"/>
                    <w:jc w:val="center"/>
                  </w:pPr>
                  <w:r>
                    <w:t xml:space="preserve">9582</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5070</w:t>
                  </w:r>
                </w:p>
              </w:tc>
              <w:tc>
                <w:tcPr/>
                <w:p>
                  <w:pPr>
                    <w:pStyle w:val="Compact"/>
                    <w:jc w:val="right"/>
                    <w:jc w:val="center"/>
                  </w:pPr>
                  <w:r>
                    <w:t xml:space="preserve">9953</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5998</w:t>
                  </w:r>
                </w:p>
              </w:tc>
              <w:tc>
                <w:tcPr/>
                <w:p>
                  <w:pPr>
                    <w:pStyle w:val="Compact"/>
                    <w:jc w:val="right"/>
                    <w:jc w:val="center"/>
                  </w:pPr>
                  <w:r>
                    <w:t xml:space="preserve">11427</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5835</w:t>
                  </w:r>
                </w:p>
              </w:tc>
              <w:tc>
                <w:tcPr/>
                <w:p>
                  <w:pPr>
                    <w:pStyle w:val="Compact"/>
                    <w:jc w:val="right"/>
                    <w:jc w:val="center"/>
                  </w:pPr>
                  <w:r>
                    <w:t xml:space="preserve">12599</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2105</w:t>
                  </w:r>
                </w:p>
              </w:tc>
              <w:tc>
                <w:tcPr/>
                <w:p>
                  <w:pPr>
                    <w:pStyle w:val="Compact"/>
                    <w:jc w:val="right"/>
                    <w:jc w:val="center"/>
                  </w:pPr>
                  <w:r>
                    <w:t xml:space="preserve">2281</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2354</w:t>
                  </w:r>
                </w:p>
              </w:tc>
              <w:tc>
                <w:tcPr/>
                <w:p>
                  <w:pPr>
                    <w:pStyle w:val="Compact"/>
                    <w:jc w:val="right"/>
                    <w:jc w:val="center"/>
                  </w:pPr>
                  <w:r>
                    <w:t xml:space="preserve">2691</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1.002</w:t>
                  </w:r>
                </w:p>
              </w:tc>
              <w:tc>
                <w:tcPr/>
                <w:p>
                  <w:pPr>
                    <w:pStyle w:val="Compact"/>
                    <w:jc w:val="right"/>
                    <w:jc w:val="center"/>
                  </w:pPr>
                  <w:r>
                    <w:t xml:space="preserve">2286</w:t>
                  </w:r>
                </w:p>
              </w:tc>
              <w:tc>
                <w:tcPr/>
                <w:p>
                  <w:pPr>
                    <w:pStyle w:val="Compact"/>
                    <w:jc w:val="right"/>
                    <w:jc w:val="center"/>
                  </w:pPr>
                  <w:r>
                    <w:t xml:space="preserve">2330</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1.003</w:t>
                  </w:r>
                </w:p>
              </w:tc>
              <w:tc>
                <w:tcPr/>
                <w:p>
                  <w:pPr>
                    <w:pStyle w:val="Compact"/>
                    <w:jc w:val="right"/>
                    <w:jc w:val="center"/>
                  </w:pPr>
                  <w:r>
                    <w:t xml:space="preserve">2180</w:t>
                  </w:r>
                </w:p>
              </w:tc>
              <w:tc>
                <w:tcPr/>
                <w:p>
                  <w:pPr>
                    <w:pStyle w:val="Compact"/>
                    <w:jc w:val="right"/>
                    <w:jc w:val="center"/>
                  </w:pPr>
                  <w:r>
                    <w:t xml:space="preserve">2741</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2216</w:t>
                  </w:r>
                </w:p>
              </w:tc>
              <w:tc>
                <w:tcPr/>
                <w:p>
                  <w:pPr>
                    <w:pStyle w:val="Compact"/>
                    <w:jc w:val="right"/>
                    <w:jc w:val="center"/>
                  </w:pPr>
                  <w:r>
                    <w:t xml:space="preserve">2268</w:t>
                  </w:r>
                </w:p>
              </w:tc>
            </w:tr>
            <w:tr>
              <w:tc>
                <w:tcPr/>
                <w:p>
                  <w:pPr>
                    <w:pStyle w:val="Compact"/>
                    <w:jc w:val="left"/>
                    <w:jc w:val="center"/>
                  </w:pPr>
                  <w:r>
                    <w:t xml:space="preserve">Gender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2771</w:t>
                  </w:r>
                </w:p>
              </w:tc>
              <w:tc>
                <w:tcPr/>
                <w:p>
                  <w:pPr>
                    <w:pStyle w:val="Compact"/>
                    <w:jc w:val="right"/>
                    <w:jc w:val="center"/>
                  </w:pPr>
                  <w:r>
                    <w:t xml:space="preserve">3133</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4671</w:t>
                  </w:r>
                </w:p>
              </w:tc>
              <w:tc>
                <w:tcPr/>
                <w:p>
                  <w:pPr>
                    <w:pStyle w:val="Compact"/>
                    <w:jc w:val="right"/>
                    <w:jc w:val="center"/>
                  </w:pPr>
                  <w:r>
                    <w:t xml:space="preserve">9191</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4474</w:t>
                  </w:r>
                </w:p>
              </w:tc>
              <w:tc>
                <w:tcPr/>
                <w:p>
                  <w:pPr>
                    <w:pStyle w:val="Compact"/>
                    <w:jc w:val="right"/>
                    <w:jc w:val="center"/>
                  </w:pPr>
                  <w:r>
                    <w:t xml:space="preserve">9294</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3870</w:t>
                  </w:r>
                </w:p>
              </w:tc>
              <w:tc>
                <w:tcPr/>
                <w:p>
                  <w:pPr>
                    <w:pStyle w:val="Compact"/>
                    <w:jc w:val="right"/>
                    <w:jc w:val="center"/>
                  </w:pPr>
                  <w:r>
                    <w:t xml:space="preserve">7376</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1.001</w:t>
                  </w:r>
                </w:p>
              </w:tc>
              <w:tc>
                <w:tcPr/>
                <w:p>
                  <w:pPr>
                    <w:pStyle w:val="Compact"/>
                    <w:jc w:val="right"/>
                    <w:jc w:val="center"/>
                  </w:pPr>
                  <w:r>
                    <w:t xml:space="preserve">4392</w:t>
                  </w:r>
                </w:p>
              </w:tc>
              <w:tc>
                <w:tcPr/>
                <w:p>
                  <w:pPr>
                    <w:pStyle w:val="Compact"/>
                    <w:jc w:val="right"/>
                    <w:jc w:val="center"/>
                  </w:pPr>
                  <w:r>
                    <w:t xml:space="preserve">8832</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5124</w:t>
                  </w:r>
                </w:p>
              </w:tc>
              <w:tc>
                <w:tcPr/>
                <w:p>
                  <w:pPr>
                    <w:pStyle w:val="Compact"/>
                    <w:jc w:val="right"/>
                    <w:jc w:val="center"/>
                  </w:pPr>
                  <w:r>
                    <w:t xml:space="preserve">10134</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4516</w:t>
                  </w:r>
                </w:p>
              </w:tc>
              <w:tc>
                <w:tcPr/>
                <w:p>
                  <w:pPr>
                    <w:pStyle w:val="Compact"/>
                    <w:jc w:val="right"/>
                    <w:jc w:val="center"/>
                  </w:pPr>
                  <w:r>
                    <w:t xml:space="preserve">9209</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2715</w:t>
                  </w:r>
                </w:p>
              </w:tc>
              <w:tc>
                <w:tcPr/>
                <w:p>
                  <w:pPr>
                    <w:pStyle w:val="Compact"/>
                    <w:jc w:val="right"/>
                    <w:jc w:val="center"/>
                  </w:pPr>
                  <w:r>
                    <w:t xml:space="preserve">4016</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2413</w:t>
                  </w:r>
                </w:p>
              </w:tc>
              <w:tc>
                <w:tcPr/>
                <w:p>
                  <w:pPr>
                    <w:pStyle w:val="Compact"/>
                    <w:jc w:val="right"/>
                    <w:jc w:val="center"/>
                  </w:pPr>
                  <w:r>
                    <w:t xml:space="preserve">3324</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1.002</w:t>
                  </w:r>
                </w:p>
              </w:tc>
              <w:tc>
                <w:tcPr/>
                <w:p>
                  <w:pPr>
                    <w:pStyle w:val="Compact"/>
                    <w:jc w:val="right"/>
                    <w:jc w:val="center"/>
                  </w:pPr>
                  <w:r>
                    <w:t xml:space="preserve">2398</w:t>
                  </w:r>
                </w:p>
              </w:tc>
              <w:tc>
                <w:tcPr/>
                <w:p>
                  <w:pPr>
                    <w:pStyle w:val="Compact"/>
                    <w:jc w:val="right"/>
                    <w:jc w:val="center"/>
                  </w:pPr>
                  <w:r>
                    <w:t xml:space="preserve">2298</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1.002</w:t>
                  </w:r>
                </w:p>
              </w:tc>
              <w:tc>
                <w:tcPr/>
                <w:p>
                  <w:pPr>
                    <w:pStyle w:val="Compact"/>
                    <w:jc w:val="right"/>
                    <w:jc w:val="center"/>
                  </w:pPr>
                  <w:r>
                    <w:t xml:space="preserve">2479</w:t>
                  </w:r>
                </w:p>
              </w:tc>
              <w:tc>
                <w:tcPr/>
                <w:p>
                  <w:pPr>
                    <w:pStyle w:val="Compact"/>
                    <w:jc w:val="right"/>
                    <w:jc w:val="center"/>
                  </w:pPr>
                  <w:r>
                    <w:t xml:space="preserve">3397</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3082</w:t>
                  </w:r>
                </w:p>
              </w:tc>
              <w:tc>
                <w:tcPr/>
                <w:p>
                  <w:pPr>
                    <w:pStyle w:val="Compact"/>
                    <w:jc w:val="right"/>
                    <w:jc w:val="center"/>
                  </w:pPr>
                  <w:r>
                    <w:t xml:space="preserve">3811</w:t>
                  </w:r>
                </w:p>
              </w:tc>
            </w:tr>
            <w:tr>
              <w:tc>
                <w:tcPr/>
                <w:p>
                  <w:pPr>
                    <w:pStyle w:val="Compact"/>
                    <w:jc w:val="left"/>
                    <w:jc w:val="center"/>
                  </w:pPr>
                  <w:r>
                    <w:t xml:space="preserve">Gender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1.001</w:t>
                  </w:r>
                </w:p>
              </w:tc>
              <w:tc>
                <w:tcPr/>
                <w:p>
                  <w:pPr>
                    <w:pStyle w:val="Compact"/>
                    <w:jc w:val="right"/>
                    <w:jc w:val="center"/>
                  </w:pPr>
                  <w:r>
                    <w:t xml:space="preserve">2644</w:t>
                  </w:r>
                </w:p>
              </w:tc>
              <w:tc>
                <w:tcPr/>
                <w:p>
                  <w:pPr>
                    <w:pStyle w:val="Compact"/>
                    <w:jc w:val="right"/>
                    <w:jc w:val="center"/>
                  </w:pPr>
                  <w:r>
                    <w:t xml:space="preserve">4045</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1640</w:t>
                  </w:r>
                </w:p>
              </w:tc>
              <w:tc>
                <w:tcPr/>
                <w:p>
                  <w:pPr>
                    <w:pStyle w:val="Compact"/>
                    <w:jc w:val="right"/>
                    <w:jc w:val="center"/>
                  </w:pPr>
                  <w:r>
                    <w:t xml:space="preserve">1306</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2170</w:t>
                  </w:r>
                </w:p>
              </w:tc>
              <w:tc>
                <w:tcPr/>
                <w:p>
                  <w:pPr>
                    <w:pStyle w:val="Compact"/>
                    <w:jc w:val="right"/>
                    <w:jc w:val="center"/>
                  </w:pPr>
                  <w:r>
                    <w:t xml:space="preserve">3454</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1.002</w:t>
                  </w:r>
                </w:p>
              </w:tc>
              <w:tc>
                <w:tcPr/>
                <w:p>
                  <w:pPr>
                    <w:pStyle w:val="Compact"/>
                    <w:jc w:val="right"/>
                    <w:jc w:val="center"/>
                  </w:pPr>
                  <w:r>
                    <w:t xml:space="preserve">1610</w:t>
                  </w:r>
                </w:p>
              </w:tc>
              <w:tc>
                <w:tcPr/>
                <w:p>
                  <w:pPr>
                    <w:pStyle w:val="Compact"/>
                    <w:jc w:val="right"/>
                    <w:jc w:val="center"/>
                  </w:pPr>
                  <w:r>
                    <w:t xml:space="preserve">2320</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1.003</w:t>
                  </w:r>
                </w:p>
              </w:tc>
              <w:tc>
                <w:tcPr/>
                <w:p>
                  <w:pPr>
                    <w:pStyle w:val="Compact"/>
                    <w:jc w:val="right"/>
                    <w:jc w:val="center"/>
                  </w:pPr>
                  <w:r>
                    <w:t xml:space="preserve">1146</w:t>
                  </w:r>
                </w:p>
              </w:tc>
              <w:tc>
                <w:tcPr/>
                <w:p>
                  <w:pPr>
                    <w:pStyle w:val="Compact"/>
                    <w:jc w:val="right"/>
                    <w:jc w:val="center"/>
                  </w:pPr>
                  <w:r>
                    <w:t xml:space="preserve">1149</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1596</w:t>
                  </w:r>
                </w:p>
              </w:tc>
              <w:tc>
                <w:tcPr/>
                <w:p>
                  <w:pPr>
                    <w:pStyle w:val="Compact"/>
                    <w:jc w:val="right"/>
                    <w:jc w:val="center"/>
                  </w:pPr>
                  <w:r>
                    <w:t xml:space="preserve">1974</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1868</w:t>
                  </w:r>
                </w:p>
              </w:tc>
              <w:tc>
                <w:tcPr/>
                <w:p>
                  <w:pPr>
                    <w:pStyle w:val="Compact"/>
                    <w:jc w:val="right"/>
                    <w:jc w:val="center"/>
                  </w:pPr>
                  <w:r>
                    <w:t xml:space="preserve">2776</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766</w:t>
                  </w:r>
                </w:p>
              </w:tc>
              <w:tc>
                <w:tcPr/>
                <w:p>
                  <w:pPr>
                    <w:pStyle w:val="Compact"/>
                    <w:jc w:val="right"/>
                    <w:jc w:val="center"/>
                  </w:pPr>
                  <w:r>
                    <w:t xml:space="preserve">1215</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957</w:t>
                  </w:r>
                </w:p>
              </w:tc>
              <w:tc>
                <w:tcPr/>
                <w:p>
                  <w:pPr>
                    <w:pStyle w:val="Compact"/>
                    <w:jc w:val="right"/>
                    <w:jc w:val="center"/>
                  </w:pPr>
                  <w:r>
                    <w:t xml:space="preserve">1438</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1.007</w:t>
                  </w:r>
                </w:p>
              </w:tc>
              <w:tc>
                <w:tcPr/>
                <w:p>
                  <w:pPr>
                    <w:pStyle w:val="Compact"/>
                    <w:jc w:val="right"/>
                    <w:jc w:val="center"/>
                  </w:pPr>
                  <w:r>
                    <w:t xml:space="preserve">813</w:t>
                  </w:r>
                </w:p>
              </w:tc>
              <w:tc>
                <w:tcPr/>
                <w:p>
                  <w:pPr>
                    <w:pStyle w:val="Compact"/>
                    <w:jc w:val="right"/>
                    <w:jc w:val="center"/>
                  </w:pPr>
                  <w:r>
                    <w:t xml:space="preserve">1423</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yes</w:t>
                  </w:r>
                </w:p>
              </w:tc>
              <w:tc>
                <w:tcPr/>
                <w:p>
                  <w:pPr>
                    <w:pStyle w:val="Compact"/>
                    <w:jc w:val="right"/>
                    <w:jc w:val="center"/>
                  </w:pPr>
                  <w:r>
                    <w:t xml:space="preserve">1.004</w:t>
                  </w:r>
                </w:p>
              </w:tc>
              <w:tc>
                <w:tcPr/>
                <w:p>
                  <w:pPr>
                    <w:pStyle w:val="Compact"/>
                    <w:jc w:val="right"/>
                    <w:jc w:val="center"/>
                  </w:pPr>
                  <w:r>
                    <w:t xml:space="preserve">983</w:t>
                  </w:r>
                </w:p>
              </w:tc>
              <w:tc>
                <w:tcPr/>
                <w:p>
                  <w:pPr>
                    <w:pStyle w:val="Compact"/>
                    <w:jc w:val="right"/>
                    <w:jc w:val="center"/>
                  </w:pPr>
                  <w:r>
                    <w:t xml:space="preserve">1246</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1.007</w:t>
                  </w:r>
                </w:p>
              </w:tc>
              <w:tc>
                <w:tcPr/>
                <w:p>
                  <w:pPr>
                    <w:pStyle w:val="Compact"/>
                    <w:jc w:val="right"/>
                    <w:jc w:val="center"/>
                  </w:pPr>
                  <w:r>
                    <w:t xml:space="preserve">1046</w:t>
                  </w:r>
                </w:p>
              </w:tc>
              <w:tc>
                <w:tcPr/>
                <w:p>
                  <w:pPr>
                    <w:pStyle w:val="Compact"/>
                    <w:jc w:val="right"/>
                    <w:jc w:val="center"/>
                  </w:pPr>
                  <w:r>
                    <w:t xml:space="preserve">1637</w:t>
                  </w:r>
                </w:p>
              </w:tc>
            </w:tr>
            <w:tr>
              <w:tc>
                <w:tcPr/>
                <w:p>
                  <w:pPr>
                    <w:pStyle w:val="Compact"/>
                    <w:jc w:val="left"/>
                    <w:jc w:val="center"/>
                  </w:pPr>
                  <w:r>
                    <w:t xml:space="preserve">Gender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759</w:t>
                  </w:r>
                </w:p>
              </w:tc>
              <w:tc>
                <w:tcPr/>
                <w:p>
                  <w:pPr>
                    <w:pStyle w:val="Compact"/>
                    <w:jc w:val="right"/>
                    <w:jc w:val="center"/>
                  </w:pPr>
                  <w:r>
                    <w:t xml:space="preserve">1354</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1381</w:t>
                  </w:r>
                </w:p>
              </w:tc>
              <w:tc>
                <w:tcPr/>
                <w:p>
                  <w:pPr>
                    <w:pStyle w:val="Compact"/>
                    <w:jc w:val="right"/>
                    <w:jc w:val="center"/>
                  </w:pPr>
                  <w:r>
                    <w:t xml:space="preserve">2376</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1447</w:t>
                  </w:r>
                </w:p>
              </w:tc>
              <w:tc>
                <w:tcPr/>
                <w:p>
                  <w:pPr>
                    <w:pStyle w:val="Compact"/>
                    <w:jc w:val="right"/>
                    <w:jc w:val="center"/>
                  </w:pPr>
                  <w:r>
                    <w:t xml:space="preserve">2336</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1729</w:t>
                  </w:r>
                </w:p>
              </w:tc>
              <w:tc>
                <w:tcPr/>
                <w:p>
                  <w:pPr>
                    <w:pStyle w:val="Compact"/>
                    <w:jc w:val="right"/>
                    <w:jc w:val="center"/>
                  </w:pPr>
                  <w:r>
                    <w:t xml:space="preserve">2773</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1493</w:t>
                  </w:r>
                </w:p>
              </w:tc>
              <w:tc>
                <w:tcPr/>
                <w:p>
                  <w:pPr>
                    <w:pStyle w:val="Compact"/>
                    <w:jc w:val="right"/>
                    <w:jc w:val="center"/>
                  </w:pPr>
                  <w:r>
                    <w:t xml:space="preserve">2217</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1717</w:t>
                  </w:r>
                </w:p>
              </w:tc>
              <w:tc>
                <w:tcPr/>
                <w:p>
                  <w:pPr>
                    <w:pStyle w:val="Compact"/>
                    <w:jc w:val="right"/>
                    <w:jc w:val="center"/>
                  </w:pPr>
                  <w:r>
                    <w:t xml:space="preserve">2770</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1999</w:t>
                  </w:r>
                </w:p>
              </w:tc>
              <w:tc>
                <w:tcPr/>
                <w:p>
                  <w:pPr>
                    <w:pStyle w:val="Compact"/>
                    <w:jc w:val="right"/>
                    <w:jc w:val="center"/>
                  </w:pPr>
                  <w:r>
                    <w:t xml:space="preserve">3190</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1153</w:t>
                  </w:r>
                </w:p>
              </w:tc>
              <w:tc>
                <w:tcPr/>
                <w:p>
                  <w:pPr>
                    <w:pStyle w:val="Compact"/>
                    <w:jc w:val="right"/>
                    <w:jc w:val="center"/>
                  </w:pPr>
                  <w:r>
                    <w:t xml:space="preserve">2235</w:t>
                  </w:r>
                </w:p>
              </w:tc>
            </w:tr>
            <w:tr>
              <w:tc>
                <w:tcPr/>
                <w:p>
                  <w:pPr>
                    <w:pStyle w:val="Compact"/>
                    <w:jc w:val="left"/>
                    <w:jc w:val="center"/>
                  </w:pPr>
                  <w:r>
                    <w:t xml:space="preserve">Number agr.</w:t>
                  </w:r>
                </w:p>
              </w:tc>
              <w:tc>
                <w:tcPr/>
                <w:p>
                  <w:pPr>
                    <w:pStyle w:val="Compact"/>
                    <w:jc w:val="left"/>
                    <w:jc w:val="center"/>
                  </w:pPr>
                  <w:r>
                    <w:t xml:space="preserve">200–500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2219</w:t>
                  </w:r>
                </w:p>
              </w:tc>
              <w:tc>
                <w:tcPr/>
                <w:p>
                  <w:pPr>
                    <w:pStyle w:val="Compact"/>
                    <w:jc w:val="right"/>
                    <w:jc w:val="center"/>
                  </w:pPr>
                  <w:r>
                    <w:t xml:space="preserve">3603</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1171</w:t>
                  </w:r>
                </w:p>
              </w:tc>
              <w:tc>
                <w:tcPr/>
                <w:p>
                  <w:pPr>
                    <w:pStyle w:val="Compact"/>
                    <w:jc w:val="right"/>
                    <w:jc w:val="center"/>
                  </w:pPr>
                  <w:r>
                    <w:t xml:space="preserve">2421</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1178</w:t>
                  </w:r>
                </w:p>
              </w:tc>
              <w:tc>
                <w:tcPr/>
                <w:p>
                  <w:pPr>
                    <w:pStyle w:val="Compact"/>
                    <w:jc w:val="right"/>
                    <w:jc w:val="center"/>
                  </w:pPr>
                  <w:r>
                    <w:t xml:space="preserve">2354</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1061</w:t>
                  </w:r>
                </w:p>
              </w:tc>
              <w:tc>
                <w:tcPr/>
                <w:p>
                  <w:pPr>
                    <w:pStyle w:val="Compact"/>
                    <w:jc w:val="right"/>
                    <w:jc w:val="center"/>
                  </w:pPr>
                  <w:r>
                    <w:t xml:space="preserve">2399</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1083</w:t>
                  </w:r>
                </w:p>
              </w:tc>
              <w:tc>
                <w:tcPr/>
                <w:p>
                  <w:pPr>
                    <w:pStyle w:val="Compact"/>
                    <w:jc w:val="right"/>
                    <w:jc w:val="center"/>
                  </w:pPr>
                  <w:r>
                    <w:t xml:space="preserve">2564</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1.005</w:t>
                  </w:r>
                </w:p>
              </w:tc>
              <w:tc>
                <w:tcPr/>
                <w:p>
                  <w:pPr>
                    <w:pStyle w:val="Compact"/>
                    <w:jc w:val="right"/>
                    <w:jc w:val="center"/>
                  </w:pPr>
                  <w:r>
                    <w:t xml:space="preserve">1105</w:t>
                  </w:r>
                </w:p>
              </w:tc>
              <w:tc>
                <w:tcPr/>
                <w:p>
                  <w:pPr>
                    <w:pStyle w:val="Compact"/>
                    <w:jc w:val="right"/>
                    <w:jc w:val="center"/>
                  </w:pPr>
                  <w:r>
                    <w:t xml:space="preserve">2251</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1396</w:t>
                  </w:r>
                </w:p>
              </w:tc>
              <w:tc>
                <w:tcPr/>
                <w:p>
                  <w:pPr>
                    <w:pStyle w:val="Compact"/>
                    <w:jc w:val="right"/>
                    <w:jc w:val="center"/>
                  </w:pPr>
                  <w:r>
                    <w:t xml:space="preserve">2487</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1.004</w:t>
                  </w:r>
                </w:p>
              </w:tc>
              <w:tc>
                <w:tcPr/>
                <w:p>
                  <w:pPr>
                    <w:pStyle w:val="Compact"/>
                    <w:jc w:val="right"/>
                    <w:jc w:val="center"/>
                  </w:pPr>
                  <w:r>
                    <w:t xml:space="preserve">1029</w:t>
                  </w:r>
                </w:p>
              </w:tc>
              <w:tc>
                <w:tcPr/>
                <w:p>
                  <w:pPr>
                    <w:pStyle w:val="Compact"/>
                    <w:jc w:val="right"/>
                    <w:jc w:val="center"/>
                  </w:pPr>
                  <w:r>
                    <w:t xml:space="preserve">1824</w:t>
                  </w:r>
                </w:p>
              </w:tc>
            </w:tr>
            <w:tr>
              <w:tc>
                <w:tcPr/>
                <w:p>
                  <w:pPr>
                    <w:pStyle w:val="Compact"/>
                    <w:jc w:val="left"/>
                    <w:jc w:val="center"/>
                  </w:pPr>
                  <w:r>
                    <w:t xml:space="preserve">Number agr.</w:t>
                  </w:r>
                </w:p>
              </w:tc>
              <w:tc>
                <w:tcPr/>
                <w:p>
                  <w:pPr>
                    <w:pStyle w:val="Compact"/>
                    <w:jc w:val="left"/>
                    <w:jc w:val="center"/>
                  </w:pPr>
                  <w:r>
                    <w:t xml:space="preserve">300–600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1.007</w:t>
                  </w:r>
                </w:p>
              </w:tc>
              <w:tc>
                <w:tcPr/>
                <w:p>
                  <w:pPr>
                    <w:pStyle w:val="Compact"/>
                    <w:jc w:val="right"/>
                    <w:jc w:val="center"/>
                  </w:pPr>
                  <w:r>
                    <w:t xml:space="preserve">1359</w:t>
                  </w:r>
                </w:p>
              </w:tc>
              <w:tc>
                <w:tcPr/>
                <w:p>
                  <w:pPr>
                    <w:pStyle w:val="Compact"/>
                    <w:jc w:val="right"/>
                    <w:jc w:val="center"/>
                  </w:pPr>
                  <w:r>
                    <w:t xml:space="preserve">2303</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1291</w:t>
                  </w:r>
                </w:p>
              </w:tc>
              <w:tc>
                <w:tcPr/>
                <w:p>
                  <w:pPr>
                    <w:pStyle w:val="Compact"/>
                    <w:jc w:val="right"/>
                    <w:jc w:val="center"/>
                  </w:pPr>
                  <w:r>
                    <w:t xml:space="preserve">2121</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1067</w:t>
                  </w:r>
                </w:p>
              </w:tc>
              <w:tc>
                <w:tcPr/>
                <w:p>
                  <w:pPr>
                    <w:pStyle w:val="Compact"/>
                    <w:jc w:val="right"/>
                    <w:jc w:val="center"/>
                  </w:pPr>
                  <w:r>
                    <w:t xml:space="preserve">2151</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1.006</w:t>
                  </w:r>
                </w:p>
              </w:tc>
              <w:tc>
                <w:tcPr/>
                <w:p>
                  <w:pPr>
                    <w:pStyle w:val="Compact"/>
                    <w:jc w:val="right"/>
                    <w:jc w:val="center"/>
                  </w:pPr>
                  <w:r>
                    <w:t xml:space="preserve">901</w:t>
                  </w:r>
                </w:p>
              </w:tc>
              <w:tc>
                <w:tcPr/>
                <w:p>
                  <w:pPr>
                    <w:pStyle w:val="Compact"/>
                    <w:jc w:val="right"/>
                    <w:jc w:val="center"/>
                  </w:pPr>
                  <w:r>
                    <w:t xml:space="preserve">2209</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Lateral</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1.007</w:t>
                  </w:r>
                </w:p>
              </w:tc>
              <w:tc>
                <w:tcPr/>
                <w:p>
                  <w:pPr>
                    <w:pStyle w:val="Compact"/>
                    <w:jc w:val="right"/>
                    <w:jc w:val="center"/>
                  </w:pPr>
                  <w:r>
                    <w:t xml:space="preserve">825</w:t>
                  </w:r>
                </w:p>
              </w:tc>
              <w:tc>
                <w:tcPr/>
                <w:p>
                  <w:pPr>
                    <w:pStyle w:val="Compact"/>
                    <w:jc w:val="right"/>
                    <w:jc w:val="center"/>
                  </w:pPr>
                  <w:r>
                    <w:t xml:space="preserve">2065</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1321</w:t>
                  </w:r>
                </w:p>
              </w:tc>
              <w:tc>
                <w:tcPr/>
                <w:p>
                  <w:pPr>
                    <w:pStyle w:val="Compact"/>
                    <w:jc w:val="right"/>
                    <w:jc w:val="center"/>
                  </w:pPr>
                  <w:r>
                    <w:t xml:space="preserve">2318</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informative</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1228</w:t>
                  </w:r>
                </w:p>
              </w:tc>
              <w:tc>
                <w:tcPr/>
                <w:p>
                  <w:pPr>
                    <w:pStyle w:val="Compact"/>
                    <w:jc w:val="right"/>
                    <w:jc w:val="center"/>
                  </w:pPr>
                  <w:r>
                    <w:t xml:space="preserve">2234</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base</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1.002</w:t>
                  </w:r>
                </w:p>
              </w:tc>
              <w:tc>
                <w:tcPr/>
                <w:p>
                  <w:pPr>
                    <w:pStyle w:val="Compact"/>
                    <w:jc w:val="right"/>
                    <w:jc w:val="center"/>
                  </w:pPr>
                  <w:r>
                    <w:t xml:space="preserve">1264</w:t>
                  </w:r>
                </w:p>
              </w:tc>
              <w:tc>
                <w:tcPr/>
                <w:p>
                  <w:pPr>
                    <w:pStyle w:val="Compact"/>
                    <w:jc w:val="right"/>
                    <w:jc w:val="center"/>
                  </w:pPr>
                  <w:r>
                    <w:t xml:space="preserve">2104</w:t>
                  </w:r>
                </w:p>
              </w:tc>
            </w:tr>
            <w:tr>
              <w:tc>
                <w:tcPr/>
                <w:p>
                  <w:pPr>
                    <w:pStyle w:val="Compact"/>
                    <w:jc w:val="left"/>
                    <w:jc w:val="center"/>
                  </w:pPr>
                  <w:r>
                    <w:t xml:space="preserve">Number agr.</w:t>
                  </w:r>
                </w:p>
              </w:tc>
              <w:tc>
                <w:tcPr/>
                <w:p>
                  <w:pPr>
                    <w:pStyle w:val="Compact"/>
                    <w:jc w:val="left"/>
                    <w:jc w:val="center"/>
                  </w:pPr>
                  <w:r>
                    <w:t xml:space="preserve">400–900</w:t>
                  </w:r>
                </w:p>
              </w:tc>
              <w:tc>
                <w:tcPr/>
                <w:p>
                  <w:pPr>
                    <w:pStyle w:val="Compact"/>
                    <w:jc w:val="left"/>
                    <w:jc w:val="center"/>
                  </w:pPr>
                  <w:r>
                    <w:t xml:space="preserve">Midline</w:t>
                  </w:r>
                </w:p>
              </w:tc>
              <w:tc>
                <w:tcPr/>
                <w:p>
                  <w:pPr>
                    <w:pStyle w:val="Compact"/>
                    <w:jc w:val="left"/>
                    <w:jc w:val="center"/>
                  </w:pPr>
                  <w:r>
                    <w:t xml:space="preserve">maximal</w:t>
                  </w:r>
                </w:p>
              </w:tc>
              <w:tc>
                <w:tcPr/>
                <w:p>
                  <w:pPr>
                    <w:pStyle w:val="Compact"/>
                    <w:jc w:val="left"/>
                    <w:jc w:val="center"/>
                  </w:pPr>
                  <w:r>
                    <w:t xml:space="preserve">weak</w:t>
                  </w:r>
                </w:p>
              </w:tc>
              <w:tc>
                <w:tcPr/>
                <w:p>
                  <w:pPr>
                    <w:pStyle w:val="Compact"/>
                    <w:jc w:val="left"/>
                    <w:jc w:val="center"/>
                  </w:pPr>
                  <w:r>
                    <w:t xml:space="preserve">no</w:t>
                  </w:r>
                </w:p>
              </w:tc>
              <w:tc>
                <w:tcPr/>
                <w:p>
                  <w:pPr>
                    <w:pStyle w:val="Compact"/>
                    <w:jc w:val="right"/>
                    <w:jc w:val="center"/>
                  </w:pPr>
                  <w:r>
                    <w:t xml:space="preserve">1.003</w:t>
                  </w:r>
                </w:p>
              </w:tc>
              <w:tc>
                <w:tcPr/>
                <w:p>
                  <w:pPr>
                    <w:pStyle w:val="Compact"/>
                    <w:jc w:val="right"/>
                    <w:jc w:val="center"/>
                  </w:pPr>
                  <w:r>
                    <w:t xml:space="preserve">1138</w:t>
                  </w:r>
                </w:p>
              </w:tc>
              <w:tc>
                <w:tcPr/>
                <w:p>
                  <w:pPr>
                    <w:pStyle w:val="Compact"/>
                    <w:jc w:val="right"/>
                    <w:jc w:val="center"/>
                  </w:pPr>
                  <w:r>
                    <w:t xml:space="preserve">2147</w:t>
                  </w:r>
                </w:p>
              </w:tc>
            </w:tr>
          </w:tbl>
          <w:bookmarkEnd w:id="105"/>
          <w:p/>
        </w:tc>
      </w:tr>
    </w:tbl>
    <w:bookmarkEnd w:id="106"/>
    <w:bookmarkStart w:id="367" w:name="apx-difference-waves"/>
    <w:p>
      <w:pPr>
        <w:pStyle w:val="Heading1"/>
      </w:pPr>
      <w:r>
        <w:t xml:space="preserve">Grand-average difference waves</w:t>
      </w:r>
    </w:p>
    <w:p>
      <w:pPr>
        <w:pStyle w:val="FirstParagraph"/>
      </w:pPr>
      <w:hyperlink w:anchor="fig-erp-difference">
        <w:r>
          <w:rPr>
            <w:rStyle w:val="Hyperlink"/>
          </w:rPr>
          <w:t xml:space="preserve">Figure 11</w:t>
        </w:r>
      </w:hyperlink>
      <w:r>
        <w:t xml:space="preserve"> </w:t>
      </w:r>
      <w:r>
        <w:t xml:space="preserve">plots the grand-average difference waves (grammatical minus</w:t>
      </w:r>
      <w:r>
        <w:t xml:space="preserve"> </w:t>
      </w:r>
      <w:r>
        <w:t xml:space="preserve">ungrammatical mean amplitude) at the same two sites as</w:t>
      </w:r>
      <w:r>
        <w:t xml:space="preserve"> </w:t>
      </w:r>
      <w:hyperlink w:anchor="fig-erp-waveforms">
        <w:r>
          <w:rPr>
            <w:rStyle w:val="Hyperlink"/>
          </w:rPr>
          <w:t xml:space="preserve">Figure 8</w:t>
        </w:r>
      </w:hyperlink>
      <w:r>
        <w:t xml:space="preserve">. The two</w:t>
      </w:r>
      <w:r>
        <w:t xml:space="preserve"> </w:t>
      </w:r>
      <w:r>
        <w:t xml:space="preserve">displays summarise the same condition averages, so the difference waves are placed in</w:t>
      </w:r>
      <w:r>
        <w:t xml:space="preserve"> </w:t>
      </w:r>
      <w:r>
        <w:t xml:space="preserve">this appendix, where they aid legibility without adding information. Isolating the</w:t>
      </w:r>
      <w:r>
        <w:t xml:space="preserve"> </w:t>
      </w:r>
      <w:r>
        <w:t xml:space="preserve">difference makes the grammaticality effect visible where the overlaid condition waveforms</w:t>
      </w:r>
      <w:r>
        <w:t xml:space="preserve"> </w:t>
      </w:r>
      <w:r>
        <w:t xml:space="preserve">are dominated by the shared evoked response.</w:t>
      </w:r>
    </w:p>
    <w:tbl>
      <w:tblPr>
        <w:tblStyle w:val="Table"/>
        <w:tblW w:type="pct" w:w="5000"/>
        <w:tblLayout w:type="fixed"/>
        <w:tblLook w:firstRow="0" w:lastRow="0" w:firstColumn="0" w:lastColumn="0" w:noHBand="0" w:noVBand="0" w:val="0000"/>
      </w:tblPr>
      <w:tblGrid>
        <w:gridCol w:w="7920"/>
      </w:tblGrid>
      <w:tr>
        <w:tc>
          <w:tcPr/>
          <w:bookmarkStart w:id="110" w:name="fig-erp-difference"/>
          <w:p>
            <w:pPr>
              <w:pStyle w:val="Compact"/>
              <w:jc w:val="center"/>
            </w:pPr>
            <w:r>
              <w:drawing>
                <wp:inline>
                  <wp:extent cx="5334000" cy="3282461"/>
                  <wp:effectExtent b="0" l="0" r="0" t="0"/>
                  <wp:docPr descr="" title="" id="108" name="Picture"/>
                  <a:graphic>
                    <a:graphicData uri="http://schemas.openxmlformats.org/drawingml/2006/picture">
                      <pic:pic>
                        <pic:nvPicPr>
                          <pic:cNvPr descr="paper_1_morphosyntax_files/figure-docx/fig-erp-difference-1.png" id="109" name="Picture"/>
                          <pic:cNvPicPr>
                            <a:picLocks noChangeArrowheads="1" noChangeAspect="1"/>
                          </pic:cNvPicPr>
                        </pic:nvPicPr>
                        <pic:blipFill>
                          <a:blip r:embed="rId107"/>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Grand-Average Difference Waves per Property at the Two Representative Sites</w:t>
            </w:r>
          </w:p>
          <w:bookmarkEnd w:id="110"/>
        </w:tc>
      </w:tr>
    </w:tbl>
    <w:bookmarkStart w:id="366" w:name="refs"/>
    <w:bookmarkStart w:id="112" w:name="ref-ahlfors2010"/>
    <w:p>
      <w:pPr>
        <w:pStyle w:val="Bibliography"/>
      </w:pPr>
      <w:r>
        <w:t xml:space="preserve">Ahlfors, Seppo P., Jooman Han, Fa-Hsuan Lin, et al. 2010.</w:t>
      </w:r>
      <w:r>
        <w:t xml:space="preserve"> </w:t>
      </w:r>
      <w:r>
        <w:t xml:space="preserve">“Cancellation of</w:t>
      </w:r>
      <w:r>
        <w:t xml:space="preserve"> </w:t>
      </w:r>
      <w:r>
        <w:t xml:space="preserve">EEG</w:t>
      </w:r>
      <w:r>
        <w:t xml:space="preserve"> </w:t>
      </w:r>
      <w:r>
        <w:t xml:space="preserve">and</w:t>
      </w:r>
      <w:r>
        <w:t xml:space="preserve"> </w:t>
      </w:r>
      <w:r>
        <w:t xml:space="preserve">MEG</w:t>
      </w:r>
      <w:r>
        <w:t xml:space="preserve"> </w:t>
      </w:r>
      <w:r>
        <w:t xml:space="preserve">Signals Generated by Extended and Distributed Sources.”</w:t>
      </w:r>
      <w:r>
        <w:t xml:space="preserve"> </w:t>
      </w:r>
      <w:r>
        <w:rPr>
          <w:i/>
          <w:iCs/>
        </w:rPr>
        <w:t xml:space="preserve">Human Brain Mapping</w:t>
      </w:r>
      <w:r>
        <w:t xml:space="preserve"> </w:t>
      </w:r>
      <w:r>
        <w:t xml:space="preserve">31 (1): 140–49.</w:t>
      </w:r>
      <w:r>
        <w:t xml:space="preserve"> </w:t>
      </w:r>
      <w:hyperlink r:id="rId111">
        <w:r>
          <w:rPr>
            <w:rStyle w:val="Hyperlink"/>
          </w:rPr>
          <w:t xml:space="preserve">https://doi.org/10.1002/hbm.20851</w:t>
        </w:r>
      </w:hyperlink>
      <w:r>
        <w:t xml:space="preserve">.</w:t>
      </w:r>
    </w:p>
    <w:bookmarkEnd w:id="112"/>
    <w:bookmarkStart w:id="114" w:name="ref-alday2019"/>
    <w:p>
      <w:pPr>
        <w:pStyle w:val="Bibliography"/>
      </w:pPr>
      <w:r>
        <w:t xml:space="preserve">Alday, Phillip M. 2019.</w:t>
      </w:r>
      <w:r>
        <w:t xml:space="preserve"> </w:t>
      </w:r>
      <w:r>
        <w:t xml:space="preserve">“How Much Baseline Correction Do We Need in</w:t>
      </w:r>
      <w:r>
        <w:t xml:space="preserve"> </w:t>
      </w:r>
      <w:r>
        <w:t xml:space="preserve">ERP</w:t>
      </w:r>
      <w:r>
        <w:t xml:space="preserve"> </w:t>
      </w:r>
      <w:r>
        <w:t xml:space="preserve">Research? Extended</w:t>
      </w:r>
      <w:r>
        <w:t xml:space="preserve"> </w:t>
      </w:r>
      <w:r>
        <w:t xml:space="preserve">GLM</w:t>
      </w:r>
      <w:r>
        <w:t xml:space="preserve"> </w:t>
      </w:r>
      <w:r>
        <w:t xml:space="preserve">Model Can Replace Baseline Correction While Lifting Its Limits.”</w:t>
      </w:r>
      <w:r>
        <w:t xml:space="preserve"> </w:t>
      </w:r>
      <w:r>
        <w:rPr>
          <w:i/>
          <w:iCs/>
        </w:rPr>
        <w:t xml:space="preserve">Psychophysiology</w:t>
      </w:r>
      <w:r>
        <w:t xml:space="preserve"> </w:t>
      </w:r>
      <w:r>
        <w:t xml:space="preserve">56 (12): e13451.</w:t>
      </w:r>
      <w:r>
        <w:t xml:space="preserve"> </w:t>
      </w:r>
      <w:hyperlink r:id="rId113">
        <w:r>
          <w:rPr>
            <w:rStyle w:val="Hyperlink"/>
          </w:rPr>
          <w:t xml:space="preserve">https://doi.org/10.1111/psyp.13451</w:t>
        </w:r>
      </w:hyperlink>
      <w:r>
        <w:t xml:space="preserve">.</w:t>
      </w:r>
    </w:p>
    <w:bookmarkEnd w:id="114"/>
    <w:bookmarkStart w:id="116" w:name="ref-alemanbanon2018"/>
    <w:p>
      <w:pPr>
        <w:pStyle w:val="Bibliography"/>
      </w:pPr>
      <w:r>
        <w:t xml:space="preserve">Alemán Bañón, José, Robert Fiorentino, and Alison Gabriele. 2018.</w:t>
      </w:r>
      <w:r>
        <w:t xml:space="preserve"> </w:t>
      </w:r>
      <w:r>
        <w:t xml:space="preserve">“Using Event-Related Potentials to Track Morphosyntactic Development in Second Language Learners: The Processing of Number and Gender Agreement in</w:t>
      </w:r>
      <w:r>
        <w:t xml:space="preserve"> </w:t>
      </w:r>
      <w:r>
        <w:t xml:space="preserve">Spanish</w:t>
      </w:r>
      <w:r>
        <w:t xml:space="preserve">.”</w:t>
      </w:r>
      <w:r>
        <w:t xml:space="preserve"> </w:t>
      </w:r>
      <w:r>
        <w:rPr>
          <w:i/>
          <w:iCs/>
        </w:rPr>
        <w:t xml:space="preserve">PLOS ONE</w:t>
      </w:r>
      <w:r>
        <w:t xml:space="preserve"> </w:t>
      </w:r>
      <w:r>
        <w:t xml:space="preserve">13 (7): e0200791.</w:t>
      </w:r>
      <w:r>
        <w:t xml:space="preserve"> </w:t>
      </w:r>
      <w:hyperlink r:id="rId115">
        <w:r>
          <w:rPr>
            <w:rStyle w:val="Hyperlink"/>
          </w:rPr>
          <w:t xml:space="preserve">https://doi.org/10.1371/journal.pone.0200791</w:t>
        </w:r>
      </w:hyperlink>
      <w:r>
        <w:t xml:space="preserve">.</w:t>
      </w:r>
    </w:p>
    <w:bookmarkEnd w:id="116"/>
    <w:bookmarkStart w:id="118" w:name="ref-allefeld2016"/>
    <w:p>
      <w:pPr>
        <w:pStyle w:val="Bibliography"/>
      </w:pPr>
      <w:r>
        <w:t xml:space="preserve">Allefeld, Carsten, Kai Görgen, and John-Dylan Haynes. 2016.</w:t>
      </w:r>
      <w:r>
        <w:t xml:space="preserve"> </w:t>
      </w:r>
      <w:r>
        <w:t xml:space="preserve">“Valid Population Inference for Information-Based Imaging: From the Second-Level t-Test to Prevalence Inference.”</w:t>
      </w:r>
      <w:r>
        <w:t xml:space="preserve"> </w:t>
      </w:r>
      <w:r>
        <w:rPr>
          <w:i/>
          <w:iCs/>
        </w:rPr>
        <w:t xml:space="preserve">NeuroImage</w:t>
      </w:r>
      <w:r>
        <w:t xml:space="preserve"> </w:t>
      </w:r>
      <w:r>
        <w:t xml:space="preserve">141: 378–92.</w:t>
      </w:r>
      <w:r>
        <w:t xml:space="preserve"> </w:t>
      </w:r>
      <w:hyperlink r:id="rId117">
        <w:r>
          <w:rPr>
            <w:rStyle w:val="Hyperlink"/>
          </w:rPr>
          <w:t xml:space="preserve">https://doi.org/10.1016/j.neuroimage.2016.07.040</w:t>
        </w:r>
      </w:hyperlink>
      <w:r>
        <w:t xml:space="preserve">.</w:t>
      </w:r>
    </w:p>
    <w:bookmarkEnd w:id="118"/>
    <w:bookmarkStart w:id="120" w:name="ref-gonzalezalonso2026"/>
    <w:p>
      <w:pPr>
        <w:pStyle w:val="Bibliography"/>
      </w:pPr>
      <w:r>
        <w:t xml:space="preserve">Alonso, Jorge González, Jennifer Cabrelli, Sergio Miguel Pereira Soares, Eloi Puig-Mayenco, and Jason Rothman. 2026.</w:t>
      </w:r>
      <w:r>
        <w:t xml:space="preserve"> </w:t>
      </w:r>
      <w:r>
        <w:t xml:space="preserve">“Third Language Acquisition.”</w:t>
      </w:r>
      <w:r>
        <w:t xml:space="preserve"> </w:t>
      </w:r>
      <w:r>
        <w:t xml:space="preserve">In</w:t>
      </w:r>
      <w:r>
        <w:t xml:space="preserve"> </w:t>
      </w:r>
      <w:r>
        <w:rPr>
          <w:i/>
          <w:iCs/>
        </w:rPr>
        <w:t xml:space="preserve">The Cambridge Handbook of Second Language Acquisition</w:t>
      </w:r>
      <w:r>
        <w:t xml:space="preserve">. Cambridge University Press.</w:t>
      </w:r>
      <w:r>
        <w:t xml:space="preserve"> </w:t>
      </w:r>
      <w:hyperlink r:id="rId119">
        <w:r>
          <w:rPr>
            <w:rStyle w:val="Hyperlink"/>
          </w:rPr>
          <w:t xml:space="preserve">https://doi.org/10.1017/9781009400640.020</w:t>
        </w:r>
      </w:hyperlink>
      <w:r>
        <w:t xml:space="preserve">.</w:t>
      </w:r>
    </w:p>
    <w:bookmarkEnd w:id="120"/>
    <w:bookmarkStart w:id="122" w:name="ref-gonzalezalonso2017"/>
    <w:p>
      <w:pPr>
        <w:pStyle w:val="Bibliography"/>
      </w:pPr>
      <w:r>
        <w:t xml:space="preserve">Alonso, Jorge González, and Jason Rothman. 2017.</w:t>
      </w:r>
      <w:r>
        <w:t xml:space="preserve"> </w:t>
      </w:r>
      <w:r>
        <w:t xml:space="preserve">“Coming of Age in</w:t>
      </w:r>
      <w:r>
        <w:t xml:space="preserve"> </w:t>
      </w:r>
      <w:r>
        <w:t xml:space="preserve">L3</w:t>
      </w:r>
      <w:r>
        <w:t xml:space="preserve"> </w:t>
      </w:r>
      <w:r>
        <w:t xml:space="preserve">Initial Stages Transfer Models: Deriving Developmental Predictions and Looking Towards the Future.”</w:t>
      </w:r>
      <w:r>
        <w:t xml:space="preserve"> </w:t>
      </w:r>
      <w:r>
        <w:rPr>
          <w:i/>
          <w:iCs/>
        </w:rPr>
        <w:t xml:space="preserve">International Journal of Bilingualism</w:t>
      </w:r>
      <w:r>
        <w:t xml:space="preserve"> </w:t>
      </w:r>
      <w:r>
        <w:t xml:space="preserve">21 (6): 683–97.</w:t>
      </w:r>
      <w:r>
        <w:t xml:space="preserve"> </w:t>
      </w:r>
      <w:hyperlink r:id="rId121">
        <w:r>
          <w:rPr>
            <w:rStyle w:val="Hyperlink"/>
          </w:rPr>
          <w:t xml:space="preserve">https://doi.org/10.1177/1367006916649265</w:t>
        </w:r>
      </w:hyperlink>
      <w:r>
        <w:t xml:space="preserve">.</w:t>
      </w:r>
    </w:p>
    <w:bookmarkEnd w:id="122"/>
    <w:bookmarkStart w:id="124" w:name="ref-amrhein2019"/>
    <w:p>
      <w:pPr>
        <w:pStyle w:val="Bibliography"/>
      </w:pPr>
      <w:r>
        <w:t xml:space="preserve">Amrhein, Valentin, Sander Greenland, and Blake McShane. 2019.</w:t>
      </w:r>
      <w:r>
        <w:t xml:space="preserve"> </w:t>
      </w:r>
      <w:r>
        <w:t xml:space="preserve">“Scientists Rise up Against Statistical Significance.”</w:t>
      </w:r>
      <w:r>
        <w:t xml:space="preserve"> </w:t>
      </w:r>
      <w:r>
        <w:rPr>
          <w:i/>
          <w:iCs/>
        </w:rPr>
        <w:t xml:space="preserve">Nature</w:t>
      </w:r>
      <w:r>
        <w:t xml:space="preserve"> </w:t>
      </w:r>
      <w:r>
        <w:t xml:space="preserve">567 (7748): 305–7.</w:t>
      </w:r>
      <w:r>
        <w:t xml:space="preserve"> </w:t>
      </w:r>
      <w:hyperlink r:id="rId123">
        <w:r>
          <w:rPr>
            <w:rStyle w:val="Hyperlink"/>
          </w:rPr>
          <w:t xml:space="preserve">https://doi.org/10.1038/d41586-019-00857-9</w:t>
        </w:r>
      </w:hyperlink>
      <w:r>
        <w:t xml:space="preserve">.</w:t>
      </w:r>
    </w:p>
    <w:bookmarkEnd w:id="124"/>
    <w:bookmarkStart w:id="126" w:name="ref-angelovska2023"/>
    <w:p>
      <w:pPr>
        <w:pStyle w:val="Bibliography"/>
      </w:pPr>
      <w:r>
        <w:t xml:space="preserve">Angelovska, Tanja, and Dietmar Roehm. 2023.</w:t>
      </w:r>
      <w:r>
        <w:t xml:space="preserve"> </w:t>
      </w:r>
      <w:r>
        <w:t xml:space="preserve">“A Selective Review of Event-Related Potential Investigations in Second and Third Language Acquisition of Syntax.”</w:t>
      </w:r>
      <w:r>
        <w:t xml:space="preserve"> </w:t>
      </w:r>
      <w:r>
        <w:rPr>
          <w:i/>
          <w:iCs/>
        </w:rPr>
        <w:t xml:space="preserve">Languages</w:t>
      </w:r>
      <w:r>
        <w:t xml:space="preserve"> </w:t>
      </w:r>
      <w:r>
        <w:t xml:space="preserve">8 (1): 90.</w:t>
      </w:r>
      <w:r>
        <w:t xml:space="preserve"> </w:t>
      </w:r>
      <w:hyperlink r:id="rId125">
        <w:r>
          <w:rPr>
            <w:rStyle w:val="Hyperlink"/>
          </w:rPr>
          <w:t xml:space="preserve">https://doi.org/10.3390/languages8010090</w:t>
        </w:r>
      </w:hyperlink>
      <w:r>
        <w:t xml:space="preserve">.</w:t>
      </w:r>
    </w:p>
    <w:bookmarkEnd w:id="126"/>
    <w:bookmarkStart w:id="128" w:name="ref-aurnhammer2023"/>
    <w:p>
      <w:pPr>
        <w:pStyle w:val="Bibliography"/>
      </w:pPr>
      <w:r>
        <w:t xml:space="preserve">Aurnhammer, Christoph, Francesca Delogu, Harm Brouwer, and Matthew W. Crocker. 2023.</w:t>
      </w:r>
      <w:r>
        <w:t xml:space="preserve"> </w:t>
      </w:r>
      <w:r>
        <w:t xml:space="preserve">“The</w:t>
      </w:r>
      <w:r>
        <w:t xml:space="preserve"> </w:t>
      </w:r>
      <w:r>
        <w:t xml:space="preserve">P600</w:t>
      </w:r>
      <w:r>
        <w:t xml:space="preserve"> </w:t>
      </w:r>
      <w:r>
        <w:t xml:space="preserve">as a Continuous Index of Integration Effort.”</w:t>
      </w:r>
      <w:r>
        <w:t xml:space="preserve"> </w:t>
      </w:r>
      <w:r>
        <w:rPr>
          <w:i/>
          <w:iCs/>
        </w:rPr>
        <w:t xml:space="preserve">Psychophysiology</w:t>
      </w:r>
      <w:r>
        <w:t xml:space="preserve"> </w:t>
      </w:r>
      <w:r>
        <w:t xml:space="preserve">60 (9): e14302.</w:t>
      </w:r>
      <w:r>
        <w:t xml:space="preserve"> </w:t>
      </w:r>
      <w:hyperlink r:id="rId127">
        <w:r>
          <w:rPr>
            <w:rStyle w:val="Hyperlink"/>
          </w:rPr>
          <w:t xml:space="preserve">https://doi.org/10.1111/psyp.14302</w:t>
        </w:r>
      </w:hyperlink>
      <w:r>
        <w:t xml:space="preserve">.</w:t>
      </w:r>
    </w:p>
    <w:bookmarkEnd w:id="128"/>
    <w:bookmarkStart w:id="130" w:name="ref-baayen2008"/>
    <w:p>
      <w:pPr>
        <w:pStyle w:val="Bibliography"/>
      </w:pPr>
      <w:r>
        <w:t xml:space="preserve">Baayen, R. Harald, Douglas J. Davidson, and Douglas M. Bates. 2008.</w:t>
      </w:r>
      <w:r>
        <w:t xml:space="preserve"> </w:t>
      </w:r>
      <w:r>
        <w:t xml:space="preserve">“Mixed-Effects Modeling with Crossed Random Effects for Subjects and Items.”</w:t>
      </w:r>
      <w:r>
        <w:t xml:space="preserve"> </w:t>
      </w:r>
      <w:r>
        <w:rPr>
          <w:i/>
          <w:iCs/>
        </w:rPr>
        <w:t xml:space="preserve">Journal of Memory and Language</w:t>
      </w:r>
      <w:r>
        <w:t xml:space="preserve"> </w:t>
      </w:r>
      <w:r>
        <w:t xml:space="preserve">59 (4): 390–412.</w:t>
      </w:r>
      <w:r>
        <w:t xml:space="preserve"> </w:t>
      </w:r>
      <w:hyperlink r:id="rId129">
        <w:r>
          <w:rPr>
            <w:rStyle w:val="Hyperlink"/>
          </w:rPr>
          <w:t xml:space="preserve">https://doi.org/10.1016/j.jml.2007.12.005</w:t>
        </w:r>
      </w:hyperlink>
      <w:r>
        <w:t xml:space="preserve">.</w:t>
      </w:r>
    </w:p>
    <w:bookmarkEnd w:id="130"/>
    <w:bookmarkStart w:id="132" w:name="ref-bakker2015"/>
    <w:p>
      <w:pPr>
        <w:pStyle w:val="Bibliography"/>
      </w:pPr>
      <w:r>
        <w:t xml:space="preserve">Bakker, Iske, Atsuko Takashima, Janet G. van Hell, Gabriele Janzen, and James M. McQueen. 2015.</w:t>
      </w:r>
      <w:r>
        <w:t xml:space="preserve"> </w:t>
      </w:r>
      <w:r>
        <w:t xml:space="preserve">“Tracking Lexical Consolidation with</w:t>
      </w:r>
      <w:r>
        <w:t xml:space="preserve"> </w:t>
      </w:r>
      <w:r>
        <w:t xml:space="preserve">ERPs</w:t>
      </w:r>
      <w:r>
        <w:t xml:space="preserve">: Lexical and Semantic-Priming Effects on</w:t>
      </w:r>
      <w:r>
        <w:t xml:space="preserve"> </w:t>
      </w:r>
      <w:r>
        <w:t xml:space="preserve">N400</w:t>
      </w:r>
      <w:r>
        <w:t xml:space="preserve"> </w:t>
      </w:r>
      <w:r>
        <w:t xml:space="preserve">and</w:t>
      </w:r>
      <w:r>
        <w:t xml:space="preserve"> </w:t>
      </w:r>
      <w:r>
        <w:t xml:space="preserve">LPC</w:t>
      </w:r>
      <w:r>
        <w:t xml:space="preserve"> </w:t>
      </w:r>
      <w:r>
        <w:t xml:space="preserve">Responses to Newly-Learned Words.”</w:t>
      </w:r>
      <w:r>
        <w:t xml:space="preserve"> </w:t>
      </w:r>
      <w:r>
        <w:rPr>
          <w:i/>
          <w:iCs/>
        </w:rPr>
        <w:t xml:space="preserve">Neuropsychologia</w:t>
      </w:r>
      <w:r>
        <w:t xml:space="preserve"> </w:t>
      </w:r>
      <w:r>
        <w:t xml:space="preserve">79: 33–41.</w:t>
      </w:r>
      <w:r>
        <w:t xml:space="preserve"> </w:t>
      </w:r>
      <w:hyperlink r:id="rId131">
        <w:r>
          <w:rPr>
            <w:rStyle w:val="Hyperlink"/>
          </w:rPr>
          <w:t xml:space="preserve">https://doi.org/10.1016/j.neuropsychologia.2015.10.020</w:t>
        </w:r>
      </w:hyperlink>
      <w:r>
        <w:t xml:space="preserve">.</w:t>
      </w:r>
    </w:p>
    <w:bookmarkEnd w:id="132"/>
    <w:bookmarkStart w:id="134" w:name="ref-bardel2007"/>
    <w:p>
      <w:pPr>
        <w:pStyle w:val="Bibliography"/>
      </w:pPr>
      <w:r>
        <w:t xml:space="preserve">Bardel, Camilla, and Ylva Falk. 2007.</w:t>
      </w:r>
      <w:r>
        <w:t xml:space="preserve"> </w:t>
      </w:r>
      <w:r>
        <w:t xml:space="preserve">“The Role of the Second Language in Third Language Acquisition: The Case of</w:t>
      </w:r>
      <w:r>
        <w:t xml:space="preserve"> </w:t>
      </w:r>
      <w:r>
        <w:t xml:space="preserve">German</w:t>
      </w:r>
      <w:r>
        <w:t xml:space="preserve">ic</w:t>
      </w:r>
      <w:r>
        <w:t xml:space="preserve"> </w:t>
      </w:r>
      <w:r>
        <w:t xml:space="preserve">Syntax.”</w:t>
      </w:r>
      <w:r>
        <w:t xml:space="preserve"> </w:t>
      </w:r>
      <w:r>
        <w:rPr>
          <w:i/>
          <w:iCs/>
        </w:rPr>
        <w:t xml:space="preserve">Second Language Research</w:t>
      </w:r>
      <w:r>
        <w:t xml:space="preserve"> </w:t>
      </w:r>
      <w:r>
        <w:t xml:space="preserve">23 (4): 459–84.</w:t>
      </w:r>
      <w:r>
        <w:t xml:space="preserve"> </w:t>
      </w:r>
      <w:hyperlink r:id="rId133">
        <w:r>
          <w:rPr>
            <w:rStyle w:val="Hyperlink"/>
          </w:rPr>
          <w:t xml:space="preserve">https://doi.org/10.1177/0267658307080557</w:t>
        </w:r>
      </w:hyperlink>
      <w:r>
        <w:t xml:space="preserve">.</w:t>
      </w:r>
    </w:p>
    <w:bookmarkEnd w:id="134"/>
    <w:bookmarkStart w:id="136" w:name="ref-barr2013"/>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r>
        <w:t xml:space="preserve"> </w:t>
      </w:r>
      <w:hyperlink r:id="rId135">
        <w:r>
          <w:rPr>
            <w:rStyle w:val="Hyperlink"/>
          </w:rPr>
          <w:t xml:space="preserve">https://doi.org/10.1016/j.jml.2012.11.001</w:t>
        </w:r>
      </w:hyperlink>
      <w:r>
        <w:t xml:space="preserve">.</w:t>
      </w:r>
    </w:p>
    <w:bookmarkEnd w:id="136"/>
    <w:bookmarkStart w:id="138" w:name="ref-depictr"/>
    <w:p>
      <w:pPr>
        <w:pStyle w:val="Bibliography"/>
      </w:pPr>
      <w:r>
        <w:t xml:space="preserve">Bernabeu, Pablo. 2026a.</w:t>
      </w:r>
      <w:r>
        <w:t xml:space="preserve"> </w:t>
      </w:r>
      <w:r>
        <w:rPr>
          <w:i/>
          <w:iCs/>
        </w:rPr>
        <w:t xml:space="preserve">depictr</w:t>
      </w:r>
      <w:r>
        <w:rPr>
          <w:i/>
          <w:iCs/>
        </w:rPr>
        <w:t xml:space="preserve">: A Unified Toolkit for Visualising Statistical Models and Data</w:t>
      </w:r>
      <w:r>
        <w:t xml:space="preserve">. V. 0.2.2. Zenodo, released.</w:t>
      </w:r>
      <w:r>
        <w:t xml:space="preserve"> </w:t>
      </w:r>
      <w:hyperlink r:id="rId137">
        <w:r>
          <w:rPr>
            <w:rStyle w:val="Hyperlink"/>
          </w:rPr>
          <w:t xml:space="preserve">https://doi.org/10.5281/zenodo.21266308</w:t>
        </w:r>
      </w:hyperlink>
      <w:r>
        <w:t xml:space="preserve">.</w:t>
      </w:r>
    </w:p>
    <w:bookmarkEnd w:id="138"/>
    <w:bookmarkStart w:id="140" w:name="ref-scopusflow"/>
    <w:p>
      <w:pPr>
        <w:pStyle w:val="Bibliography"/>
      </w:pPr>
      <w:r>
        <w:t xml:space="preserve">Bernabeu, Pablo. 2026b.</w:t>
      </w:r>
      <w:r>
        <w:t xml:space="preserve"> </w:t>
      </w:r>
      <w:r>
        <w:rPr>
          <w:i/>
          <w:iCs/>
        </w:rPr>
        <w:t xml:space="preserve">scopusflow</w:t>
      </w:r>
      <w:r>
        <w:rPr>
          <w:i/>
          <w:iCs/>
        </w:rPr>
        <w:t xml:space="preserve">: A Reproducible Workflow Layer for ’</w:t>
      </w:r>
      <w:r>
        <w:rPr>
          <w:i/>
          <w:iCs/>
        </w:rPr>
        <w:t xml:space="preserve">Scopus</w:t>
      </w:r>
      <w:r>
        <w:rPr>
          <w:i/>
          <w:iCs/>
        </w:rPr>
        <w:t xml:space="preserve">’ Bibliographic Searches</w:t>
      </w:r>
      <w:r>
        <w:t xml:space="preserve">. Zenodo.</w:t>
      </w:r>
      <w:r>
        <w:t xml:space="preserve"> </w:t>
      </w:r>
      <w:hyperlink r:id="rId139">
        <w:r>
          <w:rPr>
            <w:rStyle w:val="Hyperlink"/>
          </w:rPr>
          <w:t xml:space="preserve">https://doi.org/10.5281/zenodo.21252669</w:t>
        </w:r>
      </w:hyperlink>
      <w:r>
        <w:t xml:space="preserve">.</w:t>
      </w:r>
    </w:p>
    <w:bookmarkEnd w:id="140"/>
    <w:bookmarkStart w:id="141" w:name="ref-lesspredictors2026"/>
    <w:p>
      <w:pPr>
        <w:pStyle w:val="Bibliography"/>
      </w:pPr>
      <w:r>
        <w:t xml:space="preserve">Bernabeu, Pablo, Christina Athanasiadi, Stella L. Pischinger, et al. 2026.</w:t>
      </w:r>
      <w:r>
        <w:t xml:space="preserve"> </w:t>
      </w:r>
      <w:r>
        <w:t xml:space="preserve">“Cognitive and Resting-State</w:t>
      </w:r>
      <w:r>
        <w:t xml:space="preserve"> </w:t>
      </w:r>
      <w:r>
        <w:t xml:space="preserve">EEG</w:t>
      </w:r>
      <w:r>
        <w:t xml:space="preserve"> </w:t>
      </w:r>
      <w:r>
        <w:t xml:space="preserve">Predictors of Intensive Multilingual Learning, and Change in Executive Function Across Training: A</w:t>
      </w:r>
      <w:r>
        <w:t xml:space="preserve"> </w:t>
      </w:r>
      <w:r>
        <w:t xml:space="preserve">Bayesian</w:t>
      </w:r>
      <w:r>
        <w:t xml:space="preserve"> </w:t>
      </w:r>
      <w:r>
        <w:t xml:space="preserve">Multilevel Study.”</w:t>
      </w:r>
      <w:r>
        <w:t xml:space="preserve"> </w:t>
      </w:r>
      <w:r>
        <w:t xml:space="preserve">Manuscript submitted for publication.</w:t>
      </w:r>
    </w:p>
    <w:bookmarkEnd w:id="141"/>
    <w:bookmarkStart w:id="143" w:name="ref-brauer2018"/>
    <w:p>
      <w:pPr>
        <w:pStyle w:val="Bibliography"/>
      </w:pPr>
      <w:r>
        <w:t xml:space="preserve">Brauer, Markus, and John J. Curtin. 2018.</w:t>
      </w:r>
      <w:r>
        <w:t xml:space="preserve"> </w:t>
      </w:r>
      <w:r>
        <w:t xml:space="preserve">“Linear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 </w:t>
      </w:r>
      <w:r>
        <w:t xml:space="preserve">23 (3): 389–411.</w:t>
      </w:r>
      <w:r>
        <w:t xml:space="preserve"> </w:t>
      </w:r>
      <w:hyperlink r:id="rId142">
        <w:r>
          <w:rPr>
            <w:rStyle w:val="Hyperlink"/>
          </w:rPr>
          <w:t xml:space="preserve">https://doi.org/10.1037/met0000159</w:t>
        </w:r>
      </w:hyperlink>
      <w:r>
        <w:t xml:space="preserve">.</w:t>
      </w:r>
    </w:p>
    <w:bookmarkEnd w:id="143"/>
    <w:bookmarkStart w:id="145" w:name="ref-burkner2017"/>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 1–28.</w:t>
      </w:r>
      <w:r>
        <w:t xml:space="preserve"> </w:t>
      </w:r>
      <w:hyperlink r:id="rId144">
        <w:r>
          <w:rPr>
            <w:rStyle w:val="Hyperlink"/>
          </w:rPr>
          <w:t xml:space="preserve">https://doi.org/10.18637/jss.v080.i01</w:t>
        </w:r>
      </w:hyperlink>
      <w:r>
        <w:t xml:space="preserve">.</w:t>
      </w:r>
    </w:p>
    <w:bookmarkEnd w:id="145"/>
    <w:bookmarkStart w:id="147" w:name="ref-burkner2018"/>
    <w:p>
      <w:pPr>
        <w:pStyle w:val="Bibliography"/>
      </w:pPr>
      <w:r>
        <w:t xml:space="preserve">Bürkner, Paul-Christian. 2018.</w:t>
      </w:r>
      <w:r>
        <w:t xml:space="preserve"> </w:t>
      </w:r>
      <w:r>
        <w:t xml:space="preserve">“Advanced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 </w:t>
      </w:r>
      <w:r>
        <w:t xml:space="preserve">10 (1): 395–411.</w:t>
      </w:r>
      <w:r>
        <w:t xml:space="preserve"> </w:t>
      </w:r>
      <w:hyperlink r:id="rId146">
        <w:r>
          <w:rPr>
            <w:rStyle w:val="Hyperlink"/>
          </w:rPr>
          <w:t xml:space="preserve">https://doi.org/10.32614/RJ-2018-017</w:t>
        </w:r>
      </w:hyperlink>
      <w:r>
        <w:t xml:space="preserve">.</w:t>
      </w:r>
    </w:p>
    <w:bookmarkEnd w:id="147"/>
    <w:bookmarkStart w:id="149" w:name="ref-caffarra2019"/>
    <w:p>
      <w:pPr>
        <w:pStyle w:val="Bibliography"/>
      </w:pPr>
      <w:r>
        <w:t xml:space="preserve">Caffarra, Sendy, Martha Mendoza, and Doug Davidson. 2019.</w:t>
      </w:r>
      <w:r>
        <w:t xml:space="preserve"> </w:t>
      </w:r>
      <w:r>
        <w:t xml:space="preserve">“Is the</w:t>
      </w:r>
      <w:r>
        <w:t xml:space="preserve"> </w:t>
      </w:r>
      <w:r>
        <w:t xml:space="preserve">LAN</w:t>
      </w:r>
      <w:r>
        <w:t xml:space="preserve"> </w:t>
      </w:r>
      <w:r>
        <w:t xml:space="preserve">Effect in Morphosyntactic Processing an</w:t>
      </w:r>
      <w:r>
        <w:t xml:space="preserve"> </w:t>
      </w:r>
      <w:r>
        <w:t xml:space="preserve">ERP</w:t>
      </w:r>
      <w:r>
        <w:t xml:space="preserve"> </w:t>
      </w:r>
      <w:r>
        <w:t xml:space="preserve">Artifact?”</w:t>
      </w:r>
      <w:r>
        <w:t xml:space="preserve"> </w:t>
      </w:r>
      <w:r>
        <w:rPr>
          <w:i/>
          <w:iCs/>
        </w:rPr>
        <w:t xml:space="preserve">Brain and Language</w:t>
      </w:r>
      <w:r>
        <w:t xml:space="preserve"> </w:t>
      </w:r>
      <w:r>
        <w:t xml:space="preserve">191: 9–16.</w:t>
      </w:r>
      <w:r>
        <w:t xml:space="preserve"> </w:t>
      </w:r>
      <w:hyperlink r:id="rId148">
        <w:r>
          <w:rPr>
            <w:rStyle w:val="Hyperlink"/>
          </w:rPr>
          <w:t xml:space="preserve">https://doi.org/10.1016/j.bandl.2019.01.003</w:t>
        </w:r>
      </w:hyperlink>
      <w:r>
        <w:t xml:space="preserve">.</w:t>
      </w:r>
    </w:p>
    <w:bookmarkEnd w:id="149"/>
    <w:bookmarkStart w:id="151" w:name="ref-caffarra2015"/>
    <w:p>
      <w:pPr>
        <w:pStyle w:val="Bibliography"/>
      </w:pPr>
      <w:r>
        <w:t xml:space="preserve">Caffarra, Sendy, Nicola Molinaro, Doug Davidson, and Manuel Carreiras. 2015.</w:t>
      </w:r>
      <w:r>
        <w:t xml:space="preserve"> </w:t>
      </w:r>
      <w:r>
        <w:t xml:space="preserve">“Second Language Syntactic Processing Revealed Through Event-Related Potentials: An Empirical Review.”</w:t>
      </w:r>
      <w:r>
        <w:t xml:space="preserve"> </w:t>
      </w:r>
      <w:r>
        <w:rPr>
          <w:i/>
          <w:iCs/>
        </w:rPr>
        <w:t xml:space="preserve">Neuroscience &amp; Biobehavioral Reviews</w:t>
      </w:r>
      <w:r>
        <w:t xml:space="preserve"> </w:t>
      </w:r>
      <w:r>
        <w:t xml:space="preserve">51: 31–47.</w:t>
      </w:r>
      <w:r>
        <w:t xml:space="preserve"> </w:t>
      </w:r>
      <w:hyperlink r:id="rId150">
        <w:r>
          <w:rPr>
            <w:rStyle w:val="Hyperlink"/>
          </w:rPr>
          <w:t xml:space="preserve">https://doi.org/10.1016/j.neubiorev.2015.01.010</w:t>
        </w:r>
      </w:hyperlink>
      <w:r>
        <w:t xml:space="preserve">.</w:t>
      </w:r>
    </w:p>
    <w:bookmarkEnd w:id="151"/>
    <w:bookmarkStart w:id="153"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 </w:t>
      </w:r>
      <w:r>
        <w:rPr>
          <w:i/>
          <w:iCs/>
        </w:rPr>
        <w:t xml:space="preserve">Journal of Statistical Software</w:t>
      </w:r>
      <w:r>
        <w:t xml:space="preserve"> </w:t>
      </w:r>
      <w:r>
        <w:t xml:space="preserve">76 (1): 1–32.</w:t>
      </w:r>
      <w:r>
        <w:t xml:space="preserve"> </w:t>
      </w:r>
      <w:hyperlink r:id="rId152">
        <w:r>
          <w:rPr>
            <w:rStyle w:val="Hyperlink"/>
          </w:rPr>
          <w:t xml:space="preserve">https://doi.org/10.18637/jss.v076.i01</w:t>
        </w:r>
      </w:hyperlink>
      <w:r>
        <w:t xml:space="preserve">.</w:t>
      </w:r>
    </w:p>
    <w:bookmarkEnd w:id="153"/>
    <w:bookmarkStart w:id="155" w:name="ref-carrasco2024"/>
    <w:p>
      <w:pPr>
        <w:pStyle w:val="Bibliography"/>
      </w:pPr>
      <w:r>
        <w:t xml:space="preserve">Carrasco, Carlos Daniel, Brett Bahle, Aaron Matthew Simmons, and Steven J. Luck. 2024.</w:t>
      </w:r>
      <w:r>
        <w:t xml:space="preserve"> </w:t>
      </w:r>
      <w:r>
        <w:t xml:space="preserve">“Using Multivariate Pattern Analysis to Increase Effect Sizes for Event-Related Potential Analyses.”</w:t>
      </w:r>
      <w:r>
        <w:t xml:space="preserve"> </w:t>
      </w:r>
      <w:r>
        <w:rPr>
          <w:i/>
          <w:iCs/>
        </w:rPr>
        <w:t xml:space="preserve">Psychophysiology</w:t>
      </w:r>
      <w:r>
        <w:t xml:space="preserve"> </w:t>
      </w:r>
      <w:r>
        <w:t xml:space="preserve">61 (7): e14570.</w:t>
      </w:r>
      <w:r>
        <w:t xml:space="preserve"> </w:t>
      </w:r>
      <w:hyperlink r:id="rId154">
        <w:r>
          <w:rPr>
            <w:rStyle w:val="Hyperlink"/>
          </w:rPr>
          <w:t xml:space="preserve">https://doi.org/10.1111/psyp.14570</w:t>
        </w:r>
      </w:hyperlink>
      <w:r>
        <w:t xml:space="preserve">.</w:t>
      </w:r>
    </w:p>
    <w:bookmarkEnd w:id="155"/>
    <w:bookmarkStart w:id="157" w:name="ref-castle2026"/>
    <w:p>
      <w:pPr>
        <w:pStyle w:val="Bibliography"/>
      </w:pPr>
      <w:r>
        <w:t xml:space="preserve">Castle, Chloe Michelle, Isabel Nadine Jensen, Natalia Mitrofanova, and Marit Westergaard. 2026.</w:t>
      </w:r>
      <w:r>
        <w:t xml:space="preserve"> </w:t>
      </w:r>
      <w:r>
        <w:t xml:space="preserve">“Investigating Crosslinguistic Influence (</w:t>
      </w:r>
      <w:r>
        <w:t xml:space="preserve">CLI</w:t>
      </w:r>
      <w:r>
        <w:t xml:space="preserve">) in</w:t>
      </w:r>
      <w:r>
        <w:t xml:space="preserve"> </w:t>
      </w:r>
      <w:r>
        <w:t xml:space="preserve">L3</w:t>
      </w:r>
      <w:r>
        <w:t xml:space="preserve"> </w:t>
      </w:r>
      <w:r>
        <w:t xml:space="preserve">Morphosyntax Through Artificial Languages.”</w:t>
      </w:r>
      <w:r>
        <w:t xml:space="preserve"> </w:t>
      </w:r>
      <w:r>
        <w:rPr>
          <w:i/>
          <w:iCs/>
        </w:rPr>
        <w:t xml:space="preserve">Second Language Research</w:t>
      </w:r>
      <w:r>
        <w:t xml:space="preserve"> </w:t>
      </w:r>
      <w:r>
        <w:t xml:space="preserve">42 (2): 339–64.</w:t>
      </w:r>
      <w:r>
        <w:t xml:space="preserve"> </w:t>
      </w:r>
      <w:hyperlink r:id="rId156">
        <w:r>
          <w:rPr>
            <w:rStyle w:val="Hyperlink"/>
          </w:rPr>
          <w:t xml:space="preserve">https://doi.org/10.1177/02676583251332128</w:t>
        </w:r>
      </w:hyperlink>
      <w:r>
        <w:t xml:space="preserve">.</w:t>
      </w:r>
    </w:p>
    <w:bookmarkEnd w:id="157"/>
    <w:bookmarkStart w:id="159" w:name="ref-chen2007"/>
    <w:p>
      <w:pPr>
        <w:pStyle w:val="Bibliography"/>
      </w:pPr>
      <w:r>
        <w:t xml:space="preserve">Chen, Lang, Hua Shu, Youyi Liu, Jingjing Zhao, and Ping Li. 2007.</w:t>
      </w:r>
      <w:r>
        <w:t xml:space="preserve"> </w:t>
      </w:r>
      <w:r>
        <w:t xml:space="preserve">“</w:t>
      </w:r>
      <w:r>
        <w:t xml:space="preserve">ERP</w:t>
      </w:r>
      <w:r>
        <w:t xml:space="preserve"> </w:t>
      </w:r>
      <w:r>
        <w:t xml:space="preserve">Signatures of Subject–Verb Agreement in</w:t>
      </w:r>
      <w:r>
        <w:t xml:space="preserve"> </w:t>
      </w:r>
      <w:r>
        <w:t xml:space="preserve">L2</w:t>
      </w:r>
      <w:r>
        <w:t xml:space="preserve"> </w:t>
      </w:r>
      <w:r>
        <w:t xml:space="preserve">Learning.”</w:t>
      </w:r>
      <w:r>
        <w:t xml:space="preserve"> </w:t>
      </w:r>
      <w:r>
        <w:rPr>
          <w:i/>
          <w:iCs/>
        </w:rPr>
        <w:t xml:space="preserve">Bilingualism: Language and Cognition</w:t>
      </w:r>
      <w:r>
        <w:t xml:space="preserve"> </w:t>
      </w:r>
      <w:r>
        <w:t xml:space="preserve">10 (2): 161–74.</w:t>
      </w:r>
      <w:r>
        <w:t xml:space="preserve"> </w:t>
      </w:r>
      <w:hyperlink r:id="rId158">
        <w:r>
          <w:rPr>
            <w:rStyle w:val="Hyperlink"/>
          </w:rPr>
          <w:t xml:space="preserve">https://doi.org/10.1017/S136672890700291X</w:t>
        </w:r>
      </w:hyperlink>
      <w:r>
        <w:t xml:space="preserve">.</w:t>
      </w:r>
    </w:p>
    <w:bookmarkEnd w:id="159"/>
    <w:bookmarkStart w:id="161" w:name="ref-cho2025"/>
    <w:p>
      <w:pPr>
        <w:pStyle w:val="Bibliography"/>
      </w:pPr>
      <w:r>
        <w:t xml:space="preserve">Cho, Jeonghwa, and Jonathan R. Brennan. 2025.</w:t>
      </w:r>
      <w:r>
        <w:t xml:space="preserve"> </w:t>
      </w:r>
      <w:r>
        <w:t xml:space="preserve">“Decoding of Lexical Items and Grammatical Features in</w:t>
      </w:r>
      <w:r>
        <w:t xml:space="preserve"> </w:t>
      </w:r>
      <w:r>
        <w:t xml:space="preserve">EEG</w:t>
      </w:r>
      <w:r>
        <w:t xml:space="preserve">: A Cross-Linguistic Study.”</w:t>
      </w:r>
      <w:r>
        <w:t xml:space="preserve"> </w:t>
      </w:r>
      <w:r>
        <w:rPr>
          <w:i/>
          <w:iCs/>
        </w:rPr>
        <w:t xml:space="preserve">Neuropsychologia</w:t>
      </w:r>
      <w:r>
        <w:t xml:space="preserve"> </w:t>
      </w:r>
      <w:r>
        <w:t xml:space="preserve">213: 109150.</w:t>
      </w:r>
      <w:r>
        <w:t xml:space="preserve"> </w:t>
      </w:r>
      <w:hyperlink r:id="rId160">
        <w:r>
          <w:rPr>
            <w:rStyle w:val="Hyperlink"/>
          </w:rPr>
          <w:t xml:space="preserve">https://doi.org/10.1016/j.neuropsychologia.2025.109150</w:t>
        </w:r>
      </w:hyperlink>
      <w:r>
        <w:t xml:space="preserve">.</w:t>
      </w:r>
    </w:p>
    <w:bookmarkEnd w:id="161"/>
    <w:bookmarkStart w:id="163" w:name="ref-combrisson2015"/>
    <w:p>
      <w:pPr>
        <w:pStyle w:val="Bibliography"/>
      </w:pPr>
      <w:r>
        <w:t xml:space="preserve">Combrisson, Etienne, and Karim Jerbi. 2015.</w:t>
      </w:r>
      <w:r>
        <w:t xml:space="preserve"> </w:t>
      </w:r>
      <w:r>
        <w:t xml:space="preserve">“Exceeding Chance Level by Chance: The Caveat of Theoretical Chance Levels in Brain Signal Classification and Statistical Assessment of Decoding Accuracy.”</w:t>
      </w:r>
      <w:r>
        <w:t xml:space="preserve"> </w:t>
      </w:r>
      <w:r>
        <w:rPr>
          <w:i/>
          <w:iCs/>
        </w:rPr>
        <w:t xml:space="preserve">Journal of Neuroscience Methods</w:t>
      </w:r>
      <w:r>
        <w:t xml:space="preserve"> </w:t>
      </w:r>
      <w:r>
        <w:t xml:space="preserve">250: 126–36.</w:t>
      </w:r>
      <w:r>
        <w:t xml:space="preserve"> </w:t>
      </w:r>
      <w:hyperlink r:id="rId162">
        <w:r>
          <w:rPr>
            <w:rStyle w:val="Hyperlink"/>
          </w:rPr>
          <w:t xml:space="preserve">https://doi.org/10.1016/j.jneumeth.2015.01.010</w:t>
        </w:r>
      </w:hyperlink>
      <w:r>
        <w:t xml:space="preserve">.</w:t>
      </w:r>
    </w:p>
    <w:bookmarkEnd w:id="163"/>
    <w:bookmarkStart w:id="165" w:name="ref-davidson2009"/>
    <w:p>
      <w:pPr>
        <w:pStyle w:val="Bibliography"/>
      </w:pPr>
      <w:r>
        <w:t xml:space="preserve">Davidson, Douglas J., and Peter Indefrey. 2009.</w:t>
      </w:r>
      <w:r>
        <w:t xml:space="preserve"> </w:t>
      </w:r>
      <w:r>
        <w:t xml:space="preserve">“An Event-Related Potential Study on Changes of Violation and Error Responses During Morphosyntactic Learning.”</w:t>
      </w:r>
      <w:r>
        <w:t xml:space="preserve"> </w:t>
      </w:r>
      <w:r>
        <w:rPr>
          <w:i/>
          <w:iCs/>
        </w:rPr>
        <w:t xml:space="preserve">Journal of Cognitive Neuroscience</w:t>
      </w:r>
      <w:r>
        <w:t xml:space="preserve"> </w:t>
      </w:r>
      <w:r>
        <w:t xml:space="preserve">21 (3): 433–46.</w:t>
      </w:r>
      <w:r>
        <w:t xml:space="preserve"> </w:t>
      </w:r>
      <w:hyperlink r:id="rId164">
        <w:r>
          <w:rPr>
            <w:rStyle w:val="Hyperlink"/>
          </w:rPr>
          <w:t xml:space="preserve">https://doi.org/10.1162/jocn.2008.21031</w:t>
        </w:r>
      </w:hyperlink>
      <w:r>
        <w:t xml:space="preserve">.</w:t>
      </w:r>
    </w:p>
    <w:bookmarkEnd w:id="165"/>
    <w:bookmarkStart w:id="167" w:name="ref-davis2009"/>
    <w:p>
      <w:pPr>
        <w:pStyle w:val="Bibliography"/>
      </w:pPr>
      <w:r>
        <w:t xml:space="preserve">Davis, Matthew H., and M. Gareth Gaskell. 2009.</w:t>
      </w:r>
      <w:r>
        <w:t xml:space="preserve"> </w:t>
      </w:r>
      <w:r>
        <w:t xml:space="preserve">“A Complementary Systems Account of Word Learning: Neural and Behavioural Evidence.”</w:t>
      </w:r>
      <w:r>
        <w:t xml:space="preserve"> </w:t>
      </w:r>
      <w:r>
        <w:rPr>
          <w:i/>
          <w:iCs/>
        </w:rPr>
        <w:t xml:space="preserve">Philosophical Transactions of the Royal Society B: Biological Sciences</w:t>
      </w:r>
      <w:r>
        <w:t xml:space="preserve"> </w:t>
      </w:r>
      <w:r>
        <w:t xml:space="preserve">364 (1536): 3773–800.</w:t>
      </w:r>
      <w:r>
        <w:t xml:space="preserve"> </w:t>
      </w:r>
      <w:hyperlink r:id="rId166">
        <w:r>
          <w:rPr>
            <w:rStyle w:val="Hyperlink"/>
          </w:rPr>
          <w:t xml:space="preserve">https://doi.org/10.1098/rstb.2009.0111</w:t>
        </w:r>
      </w:hyperlink>
      <w:r>
        <w:t xml:space="preserve">.</w:t>
      </w:r>
    </w:p>
    <w:bookmarkEnd w:id="167"/>
    <w:bookmarkStart w:id="169" w:name="ref-davis2014"/>
    <w:p>
      <w:pPr>
        <w:pStyle w:val="Bibliography"/>
      </w:pPr>
      <w:r>
        <w:t xml:space="preserve">Davis, Tyler, Karen F. LaRocque, Jeanette A. Mumford, Kenneth A. Norman, Anthony D. Wagner, and Russell A. Poldrack. 2014.</w:t>
      </w:r>
      <w:r>
        <w:t xml:space="preserve"> </w:t>
      </w:r>
      <w:r>
        <w:t xml:space="preserve">“What Do Differences Between Multi-Voxel and Univariate Analysis Mean? How Subject-, Voxel-, and Trial-Level Variance Impact</w:t>
      </w:r>
      <w:r>
        <w:t xml:space="preserve"> </w:t>
      </w:r>
      <w:r>
        <w:t xml:space="preserve">fMRI</w:t>
      </w:r>
      <w:r>
        <w:t xml:space="preserve"> </w:t>
      </w:r>
      <w:r>
        <w:t xml:space="preserve">Analysis.”</w:t>
      </w:r>
      <w:r>
        <w:t xml:space="preserve"> </w:t>
      </w:r>
      <w:r>
        <w:rPr>
          <w:i/>
          <w:iCs/>
        </w:rPr>
        <w:t xml:space="preserve">NeuroImage</w:t>
      </w:r>
      <w:r>
        <w:t xml:space="preserve"> </w:t>
      </w:r>
      <w:r>
        <w:t xml:space="preserve">97: 271–83.</w:t>
      </w:r>
      <w:r>
        <w:t xml:space="preserve"> </w:t>
      </w:r>
      <w:hyperlink r:id="rId168">
        <w:r>
          <w:rPr>
            <w:rStyle w:val="Hyperlink"/>
          </w:rPr>
          <w:t xml:space="preserve">https://doi.org/10.1016/j.neuroimage.2014.04.037</w:t>
        </w:r>
      </w:hyperlink>
      <w:r>
        <w:t xml:space="preserve">.</w:t>
      </w:r>
    </w:p>
    <w:bookmarkEnd w:id="169"/>
    <w:bookmarkStart w:id="171" w:name="ref-depaoli2017"/>
    <w:p>
      <w:pPr>
        <w:pStyle w:val="Bibliography"/>
      </w:pPr>
      <w:r>
        <w:t xml:space="preserve">Depaoli, Sarah, and Rens van de Schoot</w:t>
      </w:r>
      <w:r>
        <w:t xml:space="preserve">. 2017.</w:t>
      </w:r>
      <w:r>
        <w:t xml:space="preserve"> </w:t>
      </w:r>
      <w:r>
        <w:t xml:space="preserve">“Improving Transparency and Replication in</w:t>
      </w:r>
      <w:r>
        <w:t xml:space="preserve"> </w:t>
      </w:r>
      <w:r>
        <w:t xml:space="preserve">Bayesian</w:t>
      </w:r>
      <w:r>
        <w:t xml:space="preserve"> </w:t>
      </w:r>
      <w:r>
        <w:t xml:space="preserve">Statistics: The</w:t>
      </w:r>
      <w:r>
        <w:t xml:space="preserve"> </w:t>
      </w:r>
      <w:r>
        <w:t xml:space="preserve">WAMBS</w:t>
      </w:r>
      <w:r>
        <w:t xml:space="preserve">-Checklist.”</w:t>
      </w:r>
      <w:r>
        <w:t xml:space="preserve"> </w:t>
      </w:r>
      <w:r>
        <w:rPr>
          <w:i/>
          <w:iCs/>
        </w:rPr>
        <w:t xml:space="preserve">Psychological Methods</w:t>
      </w:r>
      <w:r>
        <w:t xml:space="preserve"> </w:t>
      </w:r>
      <w:r>
        <w:t xml:space="preserve">22 (2): 240–61.</w:t>
      </w:r>
      <w:r>
        <w:t xml:space="preserve"> </w:t>
      </w:r>
      <w:hyperlink r:id="rId170">
        <w:r>
          <w:rPr>
            <w:rStyle w:val="Hyperlink"/>
          </w:rPr>
          <w:t xml:space="preserve">https://doi.org/10.1037/met0000065</w:t>
        </w:r>
      </w:hyperlink>
      <w:r>
        <w:t xml:space="preserve">.</w:t>
      </w:r>
    </w:p>
    <w:bookmarkEnd w:id="171"/>
    <w:bookmarkStart w:id="173" w:name="ref-dixon2008"/>
    <w:p>
      <w:pPr>
        <w:pStyle w:val="Bibliography"/>
      </w:pPr>
      <w:r>
        <w:t xml:space="preserve">Dixon, Peter. 2008.</w:t>
      </w:r>
      <w:r>
        <w:t xml:space="preserve"> </w:t>
      </w:r>
      <w:r>
        <w:t xml:space="preserve">“Models of Accuracy in Repeated-Measures Designs.”</w:t>
      </w:r>
      <w:r>
        <w:t xml:space="preserve"> </w:t>
      </w:r>
      <w:r>
        <w:rPr>
          <w:i/>
          <w:iCs/>
        </w:rPr>
        <w:t xml:space="preserve">Journal of Memory and Language</w:t>
      </w:r>
      <w:r>
        <w:t xml:space="preserve"> </w:t>
      </w:r>
      <w:r>
        <w:t xml:space="preserve">59 (4): 447–56.</w:t>
      </w:r>
      <w:r>
        <w:t xml:space="preserve"> </w:t>
      </w:r>
      <w:hyperlink r:id="rId172">
        <w:r>
          <w:rPr>
            <w:rStyle w:val="Hyperlink"/>
          </w:rPr>
          <w:t xml:space="preserve">https://doi.org/10.1016/j.jml.2007.11.004</w:t>
        </w:r>
      </w:hyperlink>
      <w:r>
        <w:t xml:space="preserve">.</w:t>
      </w:r>
    </w:p>
    <w:bookmarkEnd w:id="173"/>
    <w:bookmarkStart w:id="175" w:name="ref-dudai2015"/>
    <w:p>
      <w:pPr>
        <w:pStyle w:val="Bibliography"/>
      </w:pPr>
      <w:r>
        <w:t xml:space="preserve">Dudai, Yadin, Avi Karni, and Jan Born. 2015.</w:t>
      </w:r>
      <w:r>
        <w:t xml:space="preserve"> </w:t>
      </w:r>
      <w:r>
        <w:t xml:space="preserve">“The Consolidation and Transformation of Memory.”</w:t>
      </w:r>
      <w:r>
        <w:t xml:space="preserve"> </w:t>
      </w:r>
      <w:r>
        <w:rPr>
          <w:i/>
          <w:iCs/>
        </w:rPr>
        <w:t xml:space="preserve">Neuron</w:t>
      </w:r>
      <w:r>
        <w:t xml:space="preserve"> </w:t>
      </w:r>
      <w:r>
        <w:t xml:space="preserve">88 (1): 20–32.</w:t>
      </w:r>
      <w:r>
        <w:t xml:space="preserve"> </w:t>
      </w:r>
      <w:hyperlink r:id="rId174">
        <w:r>
          <w:rPr>
            <w:rStyle w:val="Hyperlink"/>
          </w:rPr>
          <w:t xml:space="preserve">https://doi.org/10.1016/j.neuron.2015.09.004</w:t>
        </w:r>
      </w:hyperlink>
      <w:r>
        <w:t xml:space="preserve">.</w:t>
      </w:r>
    </w:p>
    <w:bookmarkEnd w:id="175"/>
    <w:bookmarkStart w:id="177" w:name="ref-falk2011"/>
    <w:p>
      <w:pPr>
        <w:pStyle w:val="Bibliography"/>
      </w:pPr>
      <w:r>
        <w:t xml:space="preserve">Falk, Ylva, and Camilla Bardel. 2011.</w:t>
      </w:r>
      <w:r>
        <w:t xml:space="preserve"> </w:t>
      </w:r>
      <w:r>
        <w:t xml:space="preserve">“Object Pronouns in</w:t>
      </w:r>
      <w:r>
        <w:t xml:space="preserve"> </w:t>
      </w:r>
      <w:r>
        <w:t xml:space="preserve">German</w:t>
      </w:r>
      <w:r>
        <w:t xml:space="preserve"> </w:t>
      </w:r>
      <w:r>
        <w:t xml:space="preserve">L3</w:t>
      </w:r>
      <w:r>
        <w:t xml:space="preserve"> </w:t>
      </w:r>
      <w:r>
        <w:t xml:space="preserve">Syntax: Evidence for the</w:t>
      </w:r>
      <w:r>
        <w:t xml:space="preserve"> </w:t>
      </w:r>
      <w:r>
        <w:t xml:space="preserve">L2</w:t>
      </w:r>
      <w:r>
        <w:t xml:space="preserve"> </w:t>
      </w:r>
      <w:r>
        <w:t xml:space="preserve">Status Factor.”</w:t>
      </w:r>
      <w:r>
        <w:t xml:space="preserve"> </w:t>
      </w:r>
      <w:r>
        <w:rPr>
          <w:i/>
          <w:iCs/>
        </w:rPr>
        <w:t xml:space="preserve">Second Language Research</w:t>
      </w:r>
      <w:r>
        <w:t xml:space="preserve"> </w:t>
      </w:r>
      <w:r>
        <w:t xml:space="preserve">27 (1): 59–82.</w:t>
      </w:r>
      <w:r>
        <w:t xml:space="preserve"> </w:t>
      </w:r>
      <w:hyperlink r:id="rId176">
        <w:r>
          <w:rPr>
            <w:rStyle w:val="Hyperlink"/>
          </w:rPr>
          <w:t xml:space="preserve">https://doi.org/10.1177/0267658310386647</w:t>
        </w:r>
      </w:hyperlink>
      <w:r>
        <w:t xml:space="preserve">.</w:t>
      </w:r>
    </w:p>
    <w:bookmarkEnd w:id="177"/>
    <w:bookmarkStart w:id="179" w:name="ref-faust1999"/>
    <w:p>
      <w:pPr>
        <w:pStyle w:val="Bibliography"/>
      </w:pPr>
      <w:r>
        <w:t xml:space="preserve">Faust, Mark E., David A. Balota, Daniel H. Spieler, and F. Richard Ferraro. 1999.</w:t>
      </w:r>
      <w:r>
        <w:t xml:space="preserve"> </w:t>
      </w:r>
      <w:r>
        <w:t xml:space="preserve">“Individual Differences in Information-Processing Rate and Amount: Implications for Group Differences in Response Latency.”</w:t>
      </w:r>
      <w:r>
        <w:t xml:space="preserve"> </w:t>
      </w:r>
      <w:r>
        <w:rPr>
          <w:i/>
          <w:iCs/>
        </w:rPr>
        <w:t xml:space="preserve">Psychological Bulletin</w:t>
      </w:r>
      <w:r>
        <w:t xml:space="preserve"> </w:t>
      </w:r>
      <w:r>
        <w:t xml:space="preserve">125 (6): 777–99.</w:t>
      </w:r>
      <w:r>
        <w:t xml:space="preserve"> </w:t>
      </w:r>
      <w:hyperlink r:id="rId178">
        <w:r>
          <w:rPr>
            <w:rStyle w:val="Hyperlink"/>
          </w:rPr>
          <w:t xml:space="preserve">https://doi.org/10.1037/0033-2909.125.6.777</w:t>
        </w:r>
      </w:hyperlink>
      <w:r>
        <w:t xml:space="preserve">.</w:t>
      </w:r>
    </w:p>
    <w:bookmarkEnd w:id="179"/>
    <w:bookmarkStart w:id="181" w:name="ref-flynn2004"/>
    <w:p>
      <w:pPr>
        <w:pStyle w:val="Bibliography"/>
      </w:pPr>
      <w:r>
        <w:t xml:space="preserve">Flynn, Suzanne, Claire Foley, and Inna Vinnitskaya. 2004.</w:t>
      </w:r>
      <w:r>
        <w:t xml:space="preserve"> </w:t>
      </w:r>
      <w:r>
        <w:t xml:space="preserve">“The Cumulative-Enhancement Model for Language Acquisition: Comparing Adults’ and Children’s Patterns of Development in First, Second and Third Language Acquisition of Relative Clauses.”</w:t>
      </w:r>
      <w:r>
        <w:t xml:space="preserve"> </w:t>
      </w:r>
      <w:r>
        <w:rPr>
          <w:i/>
          <w:iCs/>
        </w:rPr>
        <w:t xml:space="preserve">International Journal of Multilingualism</w:t>
      </w:r>
      <w:r>
        <w:t xml:space="preserve"> </w:t>
      </w:r>
      <w:r>
        <w:t xml:space="preserve">1 (1): 3–16.</w:t>
      </w:r>
      <w:r>
        <w:t xml:space="preserve"> </w:t>
      </w:r>
      <w:hyperlink r:id="rId180">
        <w:r>
          <w:rPr>
            <w:rStyle w:val="Hyperlink"/>
          </w:rPr>
          <w:t xml:space="preserve">https://doi.org/10.1080/14790710408668175</w:t>
        </w:r>
      </w:hyperlink>
      <w:r>
        <w:t xml:space="preserve">.</w:t>
      </w:r>
    </w:p>
    <w:bookmarkEnd w:id="181"/>
    <w:bookmarkStart w:id="183" w:name="ref-friederici2002tics"/>
    <w:p>
      <w:pPr>
        <w:pStyle w:val="Bibliography"/>
      </w:pPr>
      <w:r>
        <w:t xml:space="preserve">Friederici, Angela D. 2002.</w:t>
      </w:r>
      <w:r>
        <w:t xml:space="preserve"> </w:t>
      </w:r>
      <w:r>
        <w:t xml:space="preserve">“Towards a Neural Basis of Auditory Sentence Processing.”</w:t>
      </w:r>
      <w:r>
        <w:t xml:space="preserve"> </w:t>
      </w:r>
      <w:r>
        <w:rPr>
          <w:i/>
          <w:iCs/>
        </w:rPr>
        <w:t xml:space="preserve">Trends in Cognitive Sciences</w:t>
      </w:r>
      <w:r>
        <w:t xml:space="preserve"> </w:t>
      </w:r>
      <w:r>
        <w:t xml:space="preserve">6 (2): 78–84.</w:t>
      </w:r>
      <w:r>
        <w:t xml:space="preserve"> </w:t>
      </w:r>
      <w:hyperlink r:id="rId182">
        <w:r>
          <w:rPr>
            <w:rStyle w:val="Hyperlink"/>
          </w:rPr>
          <w:t xml:space="preserve">https://doi.org/10.1016/S1364-6613(00)01839-8</w:t>
        </w:r>
      </w:hyperlink>
      <w:r>
        <w:t xml:space="preserve">.</w:t>
      </w:r>
    </w:p>
    <w:bookmarkEnd w:id="183"/>
    <w:bookmarkStart w:id="185" w:name="ref-friederici2002pnas"/>
    <w:p>
      <w:pPr>
        <w:pStyle w:val="Bibliography"/>
      </w:pPr>
      <w:r>
        <w:t xml:space="preserve">Friederici, Angela D., Karsten Steinhauer, and Erdmut Pfeifer. 2002.</w:t>
      </w:r>
      <w:r>
        <w:t xml:space="preserve"> </w:t>
      </w:r>
      <w:r>
        <w:t xml:space="preserve">“Brain Signatures of Artificial Language Processing: Evidence Challenging the Critical Period Hypothesis.”</w:t>
      </w:r>
      <w:r>
        <w:t xml:space="preserve"> </w:t>
      </w:r>
      <w:r>
        <w:rPr>
          <w:i/>
          <w:iCs/>
        </w:rPr>
        <w:t xml:space="preserve">Proceedings of the National Academy of Sciences</w:t>
      </w:r>
      <w:r>
        <w:t xml:space="preserve"> </w:t>
      </w:r>
      <w:r>
        <w:t xml:space="preserve">99 (1): 529–34.</w:t>
      </w:r>
      <w:r>
        <w:t xml:space="preserve"> </w:t>
      </w:r>
      <w:hyperlink r:id="rId184">
        <w:r>
          <w:rPr>
            <w:rStyle w:val="Hyperlink"/>
          </w:rPr>
          <w:t xml:space="preserve">https://doi.org/10.1073/pnas.012611199</w:t>
        </w:r>
      </w:hyperlink>
      <w:r>
        <w:t xml:space="preserve">.</w:t>
      </w:r>
    </w:p>
    <w:bookmarkEnd w:id="185"/>
    <w:bookmarkStart w:id="187" w:name="ref-frisch2001"/>
    <w:p>
      <w:pPr>
        <w:pStyle w:val="Bibliography"/>
      </w:pPr>
      <w:r>
        <w:t xml:space="preserve">Frisch, Stefan, and Matthias Schlesewsky. 2001.</w:t>
      </w:r>
      <w:r>
        <w:t xml:space="preserve"> </w:t>
      </w:r>
      <w:r>
        <w:t xml:space="preserve">“The</w:t>
      </w:r>
      <w:r>
        <w:t xml:space="preserve"> </w:t>
      </w:r>
      <w:r>
        <w:t xml:space="preserve">N400</w:t>
      </w:r>
      <w:r>
        <w:t xml:space="preserve"> </w:t>
      </w:r>
      <w:r>
        <w:t xml:space="preserve">Reflects Problems of Thematic Hierarchizing.”</w:t>
      </w:r>
      <w:r>
        <w:t xml:space="preserve"> </w:t>
      </w:r>
      <w:r>
        <w:rPr>
          <w:i/>
          <w:iCs/>
        </w:rPr>
        <w:t xml:space="preserve">NeuroReport</w:t>
      </w:r>
      <w:r>
        <w:t xml:space="preserve"> </w:t>
      </w:r>
      <w:r>
        <w:t xml:space="preserve">12 (15): 3391–94.</w:t>
      </w:r>
      <w:r>
        <w:t xml:space="preserve"> </w:t>
      </w:r>
      <w:hyperlink r:id="rId186">
        <w:r>
          <w:rPr>
            <w:rStyle w:val="Hyperlink"/>
          </w:rPr>
          <w:t xml:space="preserve">https://doi.org/10.1097/00001756-200110290-00048</w:t>
        </w:r>
      </w:hyperlink>
      <w:r>
        <w:t xml:space="preserve">.</w:t>
      </w:r>
    </w:p>
    <w:bookmarkEnd w:id="187"/>
    <w:bookmarkStart w:id="189" w:name="ref-gabry2019"/>
    <w:p>
      <w:pPr>
        <w:pStyle w:val="Bibliography"/>
      </w:pPr>
      <w:r>
        <w:t xml:space="preserve">Gabry, Jonah, Daniel Simpson, Aki Vehtari, Michael Betancourt, and Andrew Gelman. 2019.</w:t>
      </w:r>
      <w:r>
        <w:t xml:space="preserve"> </w:t>
      </w:r>
      <w:r>
        <w:t xml:space="preserve">“Visualization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 </w:t>
      </w:r>
      <w:r>
        <w:t xml:space="preserve">182 (2): 389–402.</w:t>
      </w:r>
      <w:r>
        <w:t xml:space="preserve"> </w:t>
      </w:r>
      <w:hyperlink r:id="rId188">
        <w:r>
          <w:rPr>
            <w:rStyle w:val="Hyperlink"/>
          </w:rPr>
          <w:t xml:space="preserve">https://doi.org/10.1111/rssa.12378</w:t>
        </w:r>
      </w:hyperlink>
      <w:r>
        <w:t xml:space="preserve">.</w:t>
      </w:r>
    </w:p>
    <w:bookmarkEnd w:id="189"/>
    <w:bookmarkStart w:id="191" w:name="ref-gelman2006"/>
    <w:p>
      <w:pPr>
        <w:pStyle w:val="Bibliography"/>
      </w:pPr>
      <w:r>
        <w:t xml:space="preserve">Gelman, Andrew. 2006.</w:t>
      </w:r>
      <w:r>
        <w:t xml:space="preserve"> </w:t>
      </w:r>
      <w:r>
        <w:t xml:space="preserve">“Prior Distributions for Variance Parameters in Hierarchical Models (Comment on Article by</w:t>
      </w:r>
      <w:r>
        <w:t xml:space="preserve"> </w:t>
      </w:r>
      <w:r>
        <w:t xml:space="preserve">B</w:t>
      </w:r>
      <w:r>
        <w:t xml:space="preserve">rowne and</w:t>
      </w:r>
      <w:r>
        <w:t xml:space="preserve"> </w:t>
      </w:r>
      <w:r>
        <w:t xml:space="preserve">D</w:t>
      </w:r>
      <w:r>
        <w:t xml:space="preserve">raper).”</w:t>
      </w:r>
      <w:r>
        <w:t xml:space="preserve"> </w:t>
      </w:r>
      <w:r>
        <w:rPr>
          <w:i/>
          <w:iCs/>
        </w:rPr>
        <w:t xml:space="preserve">Bayesian Analysis</w:t>
      </w:r>
      <w:r>
        <w:t xml:space="preserve"> </w:t>
      </w:r>
      <w:r>
        <w:t xml:space="preserve">1 (3): 515–34.</w:t>
      </w:r>
      <w:r>
        <w:t xml:space="preserve"> </w:t>
      </w:r>
      <w:hyperlink r:id="rId190">
        <w:r>
          <w:rPr>
            <w:rStyle w:val="Hyperlink"/>
          </w:rPr>
          <w:t xml:space="preserve">https://doi.org/10.1214/06-BA117A</w:t>
        </w:r>
      </w:hyperlink>
      <w:r>
        <w:t xml:space="preserve">.</w:t>
      </w:r>
    </w:p>
    <w:bookmarkEnd w:id="191"/>
    <w:bookmarkStart w:id="193" w:name="ref-gelmancarlin2014"/>
    <w:p>
      <w:pPr>
        <w:pStyle w:val="Bibliography"/>
      </w:pPr>
      <w:r>
        <w:t xml:space="preserve">Gelman, Andrew, and John Carlin. 2014.</w:t>
      </w:r>
      <w:r>
        <w:t xml:space="preserve"> </w:t>
      </w:r>
      <w:r>
        <w:t xml:space="preserve">“Beyond Power Calculations: Assessing</w:t>
      </w:r>
      <w:r>
        <w:t xml:space="preserve"> </w:t>
      </w:r>
      <w:r>
        <w:t xml:space="preserve">Type S</w:t>
      </w:r>
      <w:r>
        <w:t xml:space="preserve"> </w:t>
      </w:r>
      <w:r>
        <w:t xml:space="preserve">(Sign) and</w:t>
      </w:r>
      <w:r>
        <w:t xml:space="preserve"> </w:t>
      </w:r>
      <w:r>
        <w:t xml:space="preserve">Type M</w:t>
      </w:r>
      <w:r>
        <w:t xml:space="preserve"> </w:t>
      </w:r>
      <w:r>
        <w:t xml:space="preserve">(Magnitude) Errors.”</w:t>
      </w:r>
      <w:r>
        <w:t xml:space="preserve"> </w:t>
      </w:r>
      <w:r>
        <w:rPr>
          <w:i/>
          <w:iCs/>
        </w:rPr>
        <w:t xml:space="preserve">Perspectives on Psychological Science</w:t>
      </w:r>
      <w:r>
        <w:t xml:space="preserve"> </w:t>
      </w:r>
      <w:r>
        <w:t xml:space="preserve">9 (6): 641–51.</w:t>
      </w:r>
      <w:r>
        <w:t xml:space="preserve"> </w:t>
      </w:r>
      <w:hyperlink r:id="rId192">
        <w:r>
          <w:rPr>
            <w:rStyle w:val="Hyperlink"/>
          </w:rPr>
          <w:t xml:space="preserve">https://doi.org/10.1177/1745691614551642</w:t>
        </w:r>
      </w:hyperlink>
      <w:r>
        <w:t xml:space="preserve">.</w:t>
      </w:r>
    </w:p>
    <w:bookmarkEnd w:id="193"/>
    <w:bookmarkStart w:id="195" w:name="ref-gelmanhillyajima2012"/>
    <w:p>
      <w:pPr>
        <w:pStyle w:val="Bibliography"/>
      </w:pPr>
      <w:r>
        <w:t xml:space="preserve">Gelman, Andrew, Jennifer Hill, and Masanao Yajima. 2012.</w:t>
      </w:r>
      <w:r>
        <w:t xml:space="preserve"> </w:t>
      </w:r>
      <w:r>
        <w:t xml:space="preserve">“Why We (Usually) Don’t Have to Worry about Multiple Comparisons.”</w:t>
      </w:r>
      <w:r>
        <w:t xml:space="preserve"> </w:t>
      </w:r>
      <w:r>
        <w:rPr>
          <w:i/>
          <w:iCs/>
        </w:rPr>
        <w:t xml:space="preserve">Journal of Research on Educational Effectiveness</w:t>
      </w:r>
      <w:r>
        <w:t xml:space="preserve"> </w:t>
      </w:r>
      <w:r>
        <w:t xml:space="preserve">5 (2): 189–211.</w:t>
      </w:r>
      <w:r>
        <w:t xml:space="preserve"> </w:t>
      </w:r>
      <w:hyperlink r:id="rId194">
        <w:r>
          <w:rPr>
            <w:rStyle w:val="Hyperlink"/>
          </w:rPr>
          <w:t xml:space="preserve">https://doi.org/10.1080/19345747.2011.618213</w:t>
        </w:r>
      </w:hyperlink>
      <w:r>
        <w:t xml:space="preserve">.</w:t>
      </w:r>
    </w:p>
    <w:bookmarkEnd w:id="195"/>
    <w:bookmarkStart w:id="197" w:name="ref-gelman2008"/>
    <w:p>
      <w:pPr>
        <w:pStyle w:val="Bibliography"/>
      </w:pPr>
      <w:r>
        <w:t xml:space="preserve">Gelman, Andrew, Aleks Jakulin, Maria Grazia Pittau, and Yu-Sung Su. 2008.</w:t>
      </w:r>
      <w:r>
        <w:t xml:space="preserve"> </w:t>
      </w:r>
      <w:r>
        <w:t xml:space="preserve">“A Weakly Informative Default Prior Distribution for Logistic and Other Regression Models.”</w:t>
      </w:r>
      <w:r>
        <w:t xml:space="preserve"> </w:t>
      </w:r>
      <w:r>
        <w:rPr>
          <w:i/>
          <w:iCs/>
        </w:rPr>
        <w:t xml:space="preserve">The Annals of Applied Statistics</w:t>
      </w:r>
      <w:r>
        <w:t xml:space="preserve"> </w:t>
      </w:r>
      <w:r>
        <w:t xml:space="preserve">2 (4): 1360–83.</w:t>
      </w:r>
      <w:r>
        <w:t xml:space="preserve"> </w:t>
      </w:r>
      <w:hyperlink r:id="rId196">
        <w:r>
          <w:rPr>
            <w:rStyle w:val="Hyperlink"/>
          </w:rPr>
          <w:t xml:space="preserve">https://doi.org/10.1214/08-AOAS191</w:t>
        </w:r>
      </w:hyperlink>
      <w:r>
        <w:t xml:space="preserve">.</w:t>
      </w:r>
    </w:p>
    <w:bookmarkEnd w:id="197"/>
    <w:bookmarkStart w:id="199" w:name="ref-gelmanstern2006"/>
    <w:p>
      <w:pPr>
        <w:pStyle w:val="Bibliography"/>
      </w:pPr>
      <w:r>
        <w:t xml:space="preserve">Gelman, Andrew, and Hal Stern. 2006.</w:t>
      </w:r>
      <w:r>
        <w:t xml:space="preserve"> </w:t>
      </w:r>
      <w:r>
        <w:t xml:space="preserve">“The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w:t>
      </w:r>
      <w:r>
        <w:t xml:space="preserve"> </w:t>
      </w:r>
      <w:r>
        <w:t xml:space="preserve">60 (4): 328–31.</w:t>
      </w:r>
      <w:r>
        <w:t xml:space="preserve"> </w:t>
      </w:r>
      <w:hyperlink r:id="rId198">
        <w:r>
          <w:rPr>
            <w:rStyle w:val="Hyperlink"/>
          </w:rPr>
          <w:t xml:space="preserve">https://doi.org/10.1198/000313006X152649</w:t>
        </w:r>
      </w:hyperlink>
      <w:r>
        <w:t xml:space="preserve">.</w:t>
      </w:r>
    </w:p>
    <w:bookmarkEnd w:id="199"/>
    <w:bookmarkStart w:id="201" w:name="ref-gonzalezalonso2020"/>
    <w:p>
      <w:pPr>
        <w:pStyle w:val="Bibliography"/>
      </w:pPr>
      <w:r>
        <w:t xml:space="preserve">González Alonso, Jorge, José Alemán Bañón, Vincent DeLuca, et al. 2020.</w:t>
      </w:r>
      <w:r>
        <w:t xml:space="preserve"> </w:t>
      </w:r>
      <w:r>
        <w:t xml:space="preserve">“Event Related Potentials at Initial Exposure in Third Language Acquisition: Implications from an Artificial Mini-Grammar Study.”</w:t>
      </w:r>
      <w:r>
        <w:t xml:space="preserve"> </w:t>
      </w:r>
      <w:r>
        <w:rPr>
          <w:i/>
          <w:iCs/>
        </w:rPr>
        <w:t xml:space="preserve">Journal of Neurolinguistics</w:t>
      </w:r>
      <w:r>
        <w:t xml:space="preserve"> </w:t>
      </w:r>
      <w:r>
        <w:t xml:space="preserve">56: 100939.</w:t>
      </w:r>
      <w:r>
        <w:t xml:space="preserve"> </w:t>
      </w:r>
      <w:hyperlink r:id="rId200">
        <w:r>
          <w:rPr>
            <w:rStyle w:val="Hyperlink"/>
          </w:rPr>
          <w:t xml:space="preserve">https://doi.org/10.1016/j.jneuroling.2020.100939</w:t>
        </w:r>
      </w:hyperlink>
      <w:r>
        <w:t xml:space="preserve">.</w:t>
      </w:r>
    </w:p>
    <w:bookmarkEnd w:id="201"/>
    <w:bookmarkStart w:id="203" w:name="ref-gonzalezalonso2025"/>
    <w:p>
      <w:pPr>
        <w:pStyle w:val="Bibliography"/>
      </w:pPr>
      <w:r>
        <w:t xml:space="preserve">González Alonso, Jorge, Pablo Bernabeu, Gabriella Silva, et al. 2025.</w:t>
      </w:r>
      <w:r>
        <w:t xml:space="preserve"> </w:t>
      </w:r>
      <w:r>
        <w:t xml:space="preserve">“Starting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 </w:t>
      </w:r>
      <w:r>
        <w:t xml:space="preserve">22 (1): 119–42.</w:t>
      </w:r>
      <w:r>
        <w:t xml:space="preserve"> </w:t>
      </w:r>
      <w:hyperlink r:id="rId202">
        <w:r>
          <w:rPr>
            <w:rStyle w:val="Hyperlink"/>
          </w:rPr>
          <w:t xml:space="preserve">https://doi.org/10.1080/14790718.2024.2415993</w:t>
        </w:r>
      </w:hyperlink>
      <w:r>
        <w:t xml:space="preserve">.</w:t>
      </w:r>
    </w:p>
    <w:bookmarkEnd w:id="203"/>
    <w:bookmarkStart w:id="205" w:name="ref-gonzalezalonso2021"/>
    <w:p>
      <w:pPr>
        <w:pStyle w:val="Bibliography"/>
      </w:pPr>
      <w:r>
        <w:t xml:space="preserve">González Alonso, Jorge, Eloi Puig-Mayenco, Antonio Fábregas, Adel Chaouch-Orozco, and Jason Rothman. 2021.</w:t>
      </w:r>
      <w:r>
        <w:t xml:space="preserve"> </w:t>
      </w:r>
      <w:r>
        <w:t xml:space="preserve">“On the Status of Transfer in Adult Third Language Acquisition of Early Bilinguals.”</w:t>
      </w:r>
      <w:r>
        <w:t xml:space="preserve"> </w:t>
      </w:r>
      <w:r>
        <w:rPr>
          <w:i/>
          <w:iCs/>
        </w:rPr>
        <w:t xml:space="preserve">PLOS ONE</w:t>
      </w:r>
      <w:r>
        <w:t xml:space="preserve"> </w:t>
      </w:r>
      <w:r>
        <w:t xml:space="preserve">16 (3): e0247976.</w:t>
      </w:r>
      <w:r>
        <w:t xml:space="preserve"> </w:t>
      </w:r>
      <w:hyperlink r:id="rId204">
        <w:r>
          <w:rPr>
            <w:rStyle w:val="Hyperlink"/>
          </w:rPr>
          <w:t xml:space="preserve">https://doi.org/10.1371/journal.pone.0247976</w:t>
        </w:r>
      </w:hyperlink>
      <w:r>
        <w:t xml:space="preserve">.</w:t>
      </w:r>
    </w:p>
    <w:bookmarkEnd w:id="205"/>
    <w:bookmarkStart w:id="207" w:name="ref-grey2018"/>
    <w:p>
      <w:pPr>
        <w:pStyle w:val="Bibliography"/>
      </w:pPr>
      <w:r>
        <w:t xml:space="preserve">Grey, Sarah, Cristina Sanz, Kara Morgan-Short, and Michael T. Ullman. 2018.</w:t>
      </w:r>
      <w:r>
        <w:t xml:space="preserve"> </w:t>
      </w:r>
      <w:r>
        <w:t xml:space="preserve">“Bilingual and Monolingual Adults Learning an Additional Language:</w:t>
      </w:r>
      <w:r>
        <w:t xml:space="preserve"> </w:t>
      </w:r>
      <w:r>
        <w:t xml:space="preserve">ERPs</w:t>
      </w:r>
      <w:r>
        <w:t xml:space="preserve"> </w:t>
      </w:r>
      <w:r>
        <w:t xml:space="preserve">Reveal Differences in Syntactic Processing.”</w:t>
      </w:r>
      <w:r>
        <w:t xml:space="preserve"> </w:t>
      </w:r>
      <w:r>
        <w:rPr>
          <w:i/>
          <w:iCs/>
        </w:rPr>
        <w:t xml:space="preserve">Bilingualism: Language and Cognition</w:t>
      </w:r>
      <w:r>
        <w:t xml:space="preserve"> </w:t>
      </w:r>
      <w:r>
        <w:t xml:space="preserve">21 (5): 970–94.</w:t>
      </w:r>
      <w:r>
        <w:t xml:space="preserve"> </w:t>
      </w:r>
      <w:hyperlink r:id="rId206">
        <w:r>
          <w:rPr>
            <w:rStyle w:val="Hyperlink"/>
          </w:rPr>
          <w:t xml:space="preserve">https://doi.org/10.1017/S1366728917000426</w:t>
        </w:r>
      </w:hyperlink>
      <w:r>
        <w:t xml:space="preserve">.</w:t>
      </w:r>
    </w:p>
    <w:bookmarkEnd w:id="207"/>
    <w:bookmarkStart w:id="209" w:name="ref-grootswagers2017"/>
    <w:p>
      <w:pPr>
        <w:pStyle w:val="Bibliography"/>
      </w:pPr>
      <w:r>
        <w:t xml:space="preserve">Grootswagers, Tijl, Susan G. Wardle, and Thomas A. Carlson. 2017.</w:t>
      </w:r>
      <w:r>
        <w:t xml:space="preserve"> </w:t>
      </w:r>
      <w:r>
        <w:t xml:space="preserve">“Decoding Dynamic Brain Patterns from Evoked Responses: A Tutorial on Multivariate Pattern Analysis Applied to Time Series Neuroimaging Data.”</w:t>
      </w:r>
      <w:r>
        <w:t xml:space="preserve"> </w:t>
      </w:r>
      <w:r>
        <w:rPr>
          <w:i/>
          <w:iCs/>
        </w:rPr>
        <w:t xml:space="preserve">Journal of Cognitive Neuroscience</w:t>
      </w:r>
      <w:r>
        <w:t xml:space="preserve"> </w:t>
      </w:r>
      <w:r>
        <w:t xml:space="preserve">29 (4): 677–97.</w:t>
      </w:r>
      <w:r>
        <w:t xml:space="preserve"> </w:t>
      </w:r>
      <w:hyperlink r:id="rId208">
        <w:r>
          <w:rPr>
            <w:rStyle w:val="Hyperlink"/>
          </w:rPr>
          <w:t xml:space="preserve">https://doi.org/10.1162/jocn_a_01068</w:t>
        </w:r>
      </w:hyperlink>
      <w:r>
        <w:t xml:space="preserve">.</w:t>
      </w:r>
    </w:p>
    <w:bookmarkEnd w:id="209"/>
    <w:bookmarkStart w:id="211" w:name="ref-haxby2001"/>
    <w:p>
      <w:pPr>
        <w:pStyle w:val="Bibliography"/>
      </w:pPr>
      <w:r>
        <w:t xml:space="preserve">Haxby, James V., M. Ida Gobbini, Maura L. Furey, Alumit Ishai, Jennifer L. Schouten, and Pietro Pietrini. 2001.</w:t>
      </w:r>
      <w:r>
        <w:t xml:space="preserve"> </w:t>
      </w:r>
      <w:r>
        <w:t xml:space="preserve">“Distributed and Overlapping Representations of Faces and Objects in Ventral Temporal Cortex.”</w:t>
      </w:r>
      <w:r>
        <w:t xml:space="preserve"> </w:t>
      </w:r>
      <w:r>
        <w:rPr>
          <w:i/>
          <w:iCs/>
        </w:rPr>
        <w:t xml:space="preserve">Science</w:t>
      </w:r>
      <w:r>
        <w:t xml:space="preserve"> </w:t>
      </w:r>
      <w:r>
        <w:t xml:space="preserve">293 (5539): 2425–30.</w:t>
      </w:r>
      <w:r>
        <w:t xml:space="preserve"> </w:t>
      </w:r>
      <w:hyperlink r:id="rId210">
        <w:r>
          <w:rPr>
            <w:rStyle w:val="Hyperlink"/>
          </w:rPr>
          <w:t xml:space="preserve">https://doi.org/10.1126/science.1063736</w:t>
        </w:r>
      </w:hyperlink>
      <w:r>
        <w:t xml:space="preserve">.</w:t>
      </w:r>
    </w:p>
    <w:bookmarkEnd w:id="211"/>
    <w:bookmarkStart w:id="213" w:name="ref-he2024"/>
    <w:p>
      <w:pPr>
        <w:pStyle w:val="Bibliography"/>
      </w:pPr>
      <w:r>
        <w:t xml:space="preserve">He, Yifei, Johanna Sommer, Silvia Hansen-Schirra, and Arne Nagels. 2024.</w:t>
      </w:r>
      <w:r>
        <w:t xml:space="preserve"> </w:t>
      </w:r>
      <w:r>
        <w:t xml:space="preserve">“Multivariate Pattern Analysis of</w:t>
      </w:r>
      <w:r>
        <w:t xml:space="preserve"> </w:t>
      </w:r>
      <w:r>
        <w:t xml:space="preserve">EEG</w:t>
      </w:r>
      <w:r>
        <w:t xml:space="preserve"> </w:t>
      </w:r>
      <w:r>
        <w:t xml:space="preserve">Reveals Nuanced Impact of Negation on Sentence Processing in the</w:t>
      </w:r>
      <w:r>
        <w:t xml:space="preserve"> </w:t>
      </w:r>
      <w:r>
        <w:t xml:space="preserve">N400</w:t>
      </w:r>
      <w:r>
        <w:t xml:space="preserve"> </w:t>
      </w:r>
      <w:r>
        <w:t xml:space="preserve">and Later Time Windows.”</w:t>
      </w:r>
      <w:r>
        <w:t xml:space="preserve"> </w:t>
      </w:r>
      <w:r>
        <w:rPr>
          <w:i/>
          <w:iCs/>
        </w:rPr>
        <w:t xml:space="preserve">Psychophysiology</w:t>
      </w:r>
      <w:r>
        <w:t xml:space="preserve"> </w:t>
      </w:r>
      <w:r>
        <w:t xml:space="preserve">61 (4): e14491.</w:t>
      </w:r>
      <w:r>
        <w:t xml:space="preserve"> </w:t>
      </w:r>
      <w:hyperlink r:id="rId212">
        <w:r>
          <w:rPr>
            <w:rStyle w:val="Hyperlink"/>
          </w:rPr>
          <w:t xml:space="preserve">https://doi.org/10.1111/psyp.14491</w:t>
        </w:r>
      </w:hyperlink>
      <w:r>
        <w:t xml:space="preserve">.</w:t>
      </w:r>
    </w:p>
    <w:bookmarkEnd w:id="213"/>
    <w:bookmarkStart w:id="215" w:name="ref-hebart2018"/>
    <w:p>
      <w:pPr>
        <w:pStyle w:val="Bibliography"/>
      </w:pPr>
      <w:r>
        <w:t xml:space="preserve">Hebart, Martin N., and Chris I. Baker. 2018.</w:t>
      </w:r>
      <w:r>
        <w:t xml:space="preserve"> </w:t>
      </w:r>
      <w:r>
        <w:t xml:space="preserve">“Deconstructing Multivariate Decoding for the Study of Brain Function.”</w:t>
      </w:r>
      <w:r>
        <w:t xml:space="preserve"> </w:t>
      </w:r>
      <w:r>
        <w:rPr>
          <w:i/>
          <w:iCs/>
        </w:rPr>
        <w:t xml:space="preserve">NeuroImage</w:t>
      </w:r>
      <w:r>
        <w:t xml:space="preserve"> </w:t>
      </w:r>
      <w:r>
        <w:t xml:space="preserve">180: 4–18.</w:t>
      </w:r>
      <w:r>
        <w:t xml:space="preserve"> </w:t>
      </w:r>
      <w:hyperlink r:id="rId214">
        <w:r>
          <w:rPr>
            <w:rStyle w:val="Hyperlink"/>
          </w:rPr>
          <w:t xml:space="preserve">https://doi.org/10.1016/j.neuroimage.2017.08.005</w:t>
        </w:r>
      </w:hyperlink>
      <w:r>
        <w:t xml:space="preserve">.</w:t>
      </w:r>
    </w:p>
    <w:bookmarkEnd w:id="215"/>
    <w:bookmarkStart w:id="217" w:name="ref-jaeger2008"/>
    <w:p>
      <w:pPr>
        <w:pStyle w:val="Bibliography"/>
      </w:pPr>
      <w:r>
        <w:t xml:space="preserve">Jaeger, T. Florian. 2008.</w:t>
      </w:r>
      <w:r>
        <w:t xml:space="preserve"> </w:t>
      </w:r>
      <w:r>
        <w:t xml:space="preserve">“Categorical Data Analysis: Away from</w:t>
      </w:r>
      <w:r>
        <w:t xml:space="preserve"> </w:t>
      </w:r>
      <w:r>
        <w:t xml:space="preserve">ANOVAs</w:t>
      </w:r>
      <w:r>
        <w:t xml:space="preserve"> </w:t>
      </w:r>
      <w:r>
        <w:t xml:space="preserve">(Transformation or Not) and Towards Logit Mixed Models.”</w:t>
      </w:r>
      <w:r>
        <w:t xml:space="preserve"> </w:t>
      </w:r>
      <w:r>
        <w:rPr>
          <w:i/>
          <w:iCs/>
        </w:rPr>
        <w:t xml:space="preserve">Journal of Memory and Language</w:t>
      </w:r>
      <w:r>
        <w:t xml:space="preserve"> </w:t>
      </w:r>
      <w:r>
        <w:t xml:space="preserve">59 (4): 434–46.</w:t>
      </w:r>
      <w:r>
        <w:t xml:space="preserve"> </w:t>
      </w:r>
      <w:hyperlink r:id="rId216">
        <w:r>
          <w:rPr>
            <w:rStyle w:val="Hyperlink"/>
          </w:rPr>
          <w:t xml:space="preserve">https://doi.org/10.1016/j.jml.2007.11.007</w:t>
        </w:r>
      </w:hyperlink>
      <w:r>
        <w:t xml:space="preserve">.</w:t>
      </w:r>
    </w:p>
    <w:bookmarkEnd w:id="217"/>
    <w:bookmarkStart w:id="219" w:name="ref-kaan2003"/>
    <w:p>
      <w:pPr>
        <w:pStyle w:val="Bibliography"/>
      </w:pPr>
      <w:r>
        <w:t xml:space="preserve">Kaan, Edith, and Tamara Y. Swaab. 2003.</w:t>
      </w:r>
      <w:r>
        <w:t xml:space="preserve"> </w:t>
      </w:r>
      <w:r>
        <w:t xml:space="preserve">“Repair, Revision, and Complexity in Syntactic Analysis: An Electrophysiological Differentiation.”</w:t>
      </w:r>
      <w:r>
        <w:t xml:space="preserve"> </w:t>
      </w:r>
      <w:r>
        <w:rPr>
          <w:i/>
          <w:iCs/>
        </w:rPr>
        <w:t xml:space="preserve">Journal of Cognitive Neuroscience</w:t>
      </w:r>
      <w:r>
        <w:t xml:space="preserve"> </w:t>
      </w:r>
      <w:r>
        <w:t xml:space="preserve">15 (1): 98–110.</w:t>
      </w:r>
      <w:r>
        <w:t xml:space="preserve"> </w:t>
      </w:r>
      <w:hyperlink r:id="rId218">
        <w:r>
          <w:rPr>
            <w:rStyle w:val="Hyperlink"/>
          </w:rPr>
          <w:t xml:space="preserve">https://doi.org/10.1162/089892903321107855</w:t>
        </w:r>
      </w:hyperlink>
      <w:r>
        <w:t xml:space="preserve">.</w:t>
      </w:r>
    </w:p>
    <w:bookmarkEnd w:id="219"/>
    <w:bookmarkStart w:id="221" w:name="ref-kaplan2015"/>
    <w:p>
      <w:pPr>
        <w:pStyle w:val="Bibliography"/>
      </w:pPr>
      <w:r>
        <w:t xml:space="preserve">Kaplan, Jonas T., Kingson Man, and Steven G. Greening. 2015.</w:t>
      </w:r>
      <w:r>
        <w:t xml:space="preserve"> </w:t>
      </w:r>
      <w:r>
        <w:t xml:space="preserve">“Multivariate Cross-Classification: Applying Machine Learning Techniques to Characterize Abstraction in Neural Representations.”</w:t>
      </w:r>
      <w:r>
        <w:t xml:space="preserve"> </w:t>
      </w:r>
      <w:r>
        <w:rPr>
          <w:i/>
          <w:iCs/>
        </w:rPr>
        <w:t xml:space="preserve">Frontiers in Human Neuroscience</w:t>
      </w:r>
      <w:r>
        <w:t xml:space="preserve"> </w:t>
      </w:r>
      <w:r>
        <w:t xml:space="preserve">9.</w:t>
      </w:r>
      <w:r>
        <w:t xml:space="preserve"> </w:t>
      </w:r>
      <w:hyperlink r:id="rId220">
        <w:r>
          <w:rPr>
            <w:rStyle w:val="Hyperlink"/>
          </w:rPr>
          <w:t xml:space="preserve">https://doi.org/10.3389/fnhum.2015.00151</w:t>
        </w:r>
      </w:hyperlink>
      <w:r>
        <w:t xml:space="preserve">.</w:t>
      </w:r>
    </w:p>
    <w:bookmarkEnd w:id="221"/>
    <w:bookmarkStart w:id="223" w:name="ref-keysers2020"/>
    <w:p>
      <w:pPr>
        <w:pStyle w:val="Bibliography"/>
      </w:pPr>
      <w:r>
        <w:t xml:space="preserve">Keysers, Christian, Valeria Gazzola, and Eric-Jan Wagenmakers. 2020.</w:t>
      </w:r>
      <w:r>
        <w:t xml:space="preserve"> </w:t>
      </w:r>
      <w:r>
        <w:t xml:space="preserve">“Using</w:t>
      </w:r>
      <w:r>
        <w:t xml:space="preserve"> </w:t>
      </w:r>
      <w:r>
        <w:t xml:space="preserve">Bayes</w:t>
      </w:r>
      <w:r>
        <w:t xml:space="preserve"> </w:t>
      </w:r>
      <w:r>
        <w:t xml:space="preserve">Factor Hypothesis Testing in Neuroscience to Establish Evidence of Absence.”</w:t>
      </w:r>
      <w:r>
        <w:t xml:space="preserve"> </w:t>
      </w:r>
      <w:r>
        <w:rPr>
          <w:i/>
          <w:iCs/>
        </w:rPr>
        <w:t xml:space="preserve">Nature Neuroscience</w:t>
      </w:r>
      <w:r>
        <w:t xml:space="preserve"> </w:t>
      </w:r>
      <w:r>
        <w:t xml:space="preserve">23 (7): 788–99.</w:t>
      </w:r>
      <w:r>
        <w:t xml:space="preserve"> </w:t>
      </w:r>
      <w:hyperlink r:id="rId222">
        <w:r>
          <w:rPr>
            <w:rStyle w:val="Hyperlink"/>
          </w:rPr>
          <w:t xml:space="preserve">https://doi.org/10.1038/s41593-020-0660-4</w:t>
        </w:r>
      </w:hyperlink>
      <w:r>
        <w:t xml:space="preserve">.</w:t>
      </w:r>
    </w:p>
    <w:bookmarkEnd w:id="223"/>
    <w:bookmarkStart w:id="225" w:name="ref-kim2024"/>
    <w:p>
      <w:pPr>
        <w:pStyle w:val="Bibliography"/>
      </w:pPr>
      <w:r>
        <w:t xml:space="preserve">Kim, Albert E., Shannon M. McKnight, and Akira Miyake. 2024.</w:t>
      </w:r>
      <w:r>
        <w:t xml:space="preserve"> </w:t>
      </w:r>
      <w:r>
        <w:t xml:space="preserve">“How Variable Are the Classic</w:t>
      </w:r>
      <w:r>
        <w:t xml:space="preserve"> </w:t>
      </w:r>
      <w:r>
        <w:t xml:space="preserve">ERP</w:t>
      </w:r>
      <w:r>
        <w:t xml:space="preserve"> </w:t>
      </w:r>
      <w:r>
        <w:t xml:space="preserve">Effects During Sentence Processing? A Systematic Resampling Analysis of the</w:t>
      </w:r>
      <w:r>
        <w:t xml:space="preserve"> </w:t>
      </w:r>
      <w:r>
        <w:t xml:space="preserve">N400</w:t>
      </w:r>
      <w:r>
        <w:t xml:space="preserve"> </w:t>
      </w:r>
      <w:r>
        <w:t xml:space="preserve">and</w:t>
      </w:r>
      <w:r>
        <w:t xml:space="preserve"> </w:t>
      </w:r>
      <w:r>
        <w:t xml:space="preserve">P600</w:t>
      </w:r>
      <w:r>
        <w:t xml:space="preserve"> </w:t>
      </w:r>
      <w:r>
        <w:t xml:space="preserve">Effects.”</w:t>
      </w:r>
      <w:r>
        <w:t xml:space="preserve"> </w:t>
      </w:r>
      <w:r>
        <w:rPr>
          <w:i/>
          <w:iCs/>
        </w:rPr>
        <w:t xml:space="preserve">Cortex</w:t>
      </w:r>
      <w:r>
        <w:t xml:space="preserve"> </w:t>
      </w:r>
      <w:r>
        <w:t xml:space="preserve">177: 130–49.</w:t>
      </w:r>
      <w:r>
        <w:t xml:space="preserve"> </w:t>
      </w:r>
      <w:hyperlink r:id="rId224">
        <w:r>
          <w:rPr>
            <w:rStyle w:val="Hyperlink"/>
          </w:rPr>
          <w:t xml:space="preserve">https://doi.org/10.1016/j.cortex.2024.05.007</w:t>
        </w:r>
      </w:hyperlink>
      <w:r>
        <w:t xml:space="preserve">.</w:t>
      </w:r>
    </w:p>
    <w:bookmarkEnd w:id="225"/>
    <w:bookmarkStart w:id="227" w:name="ref-king2014"/>
    <w:p>
      <w:pPr>
        <w:pStyle w:val="Bibliography"/>
      </w:pPr>
      <w:r>
        <w:t xml:space="preserve">King, Jean-Rémi, and Stanislas Dehaene. 2014.</w:t>
      </w:r>
      <w:r>
        <w:t xml:space="preserve"> </w:t>
      </w:r>
      <w:r>
        <w:t xml:space="preserve">“Characterizing the Dynamics of Mental Representations: The Temporal Generalization Method.”</w:t>
      </w:r>
      <w:r>
        <w:t xml:space="preserve"> </w:t>
      </w:r>
      <w:r>
        <w:rPr>
          <w:i/>
          <w:iCs/>
        </w:rPr>
        <w:t xml:space="preserve">Trends in Cognitive Sciences</w:t>
      </w:r>
      <w:r>
        <w:t xml:space="preserve"> </w:t>
      </w:r>
      <w:r>
        <w:t xml:space="preserve">18 (4): 203–10.</w:t>
      </w:r>
      <w:r>
        <w:t xml:space="preserve"> </w:t>
      </w:r>
      <w:hyperlink r:id="rId226">
        <w:r>
          <w:rPr>
            <w:rStyle w:val="Hyperlink"/>
          </w:rPr>
          <w:t xml:space="preserve">https://doi.org/10.1016/j.tics.2014.01.002</w:t>
        </w:r>
      </w:hyperlink>
      <w:r>
        <w:t xml:space="preserve">.</w:t>
      </w:r>
    </w:p>
    <w:bookmarkEnd w:id="227"/>
    <w:bookmarkStart w:id="229" w:name="ref-kriegeskorte2008rsa"/>
    <w:p>
      <w:pPr>
        <w:pStyle w:val="Bibliography"/>
      </w:pPr>
      <w:r>
        <w:t xml:space="preserve">Kriegeskorte, Nikolaus, Marieke Mur, and Peter Bandettini. 2008.</w:t>
      </w:r>
      <w:r>
        <w:t xml:space="preserve"> </w:t>
      </w:r>
      <w:r>
        <w:t xml:space="preserve">“Representational Similarity Analysis – Connecting the Branches of Systems Neuroscience.”</w:t>
      </w:r>
      <w:r>
        <w:t xml:space="preserve"> </w:t>
      </w:r>
      <w:r>
        <w:rPr>
          <w:i/>
          <w:iCs/>
        </w:rPr>
        <w:t xml:space="preserve">Frontiers in Systems Neuroscience</w:t>
      </w:r>
      <w:r>
        <w:t xml:space="preserve"> </w:t>
      </w:r>
      <w:r>
        <w:t xml:space="preserve">2: 4.</w:t>
      </w:r>
      <w:r>
        <w:t xml:space="preserve"> </w:t>
      </w:r>
      <w:hyperlink r:id="rId228">
        <w:r>
          <w:rPr>
            <w:rStyle w:val="Hyperlink"/>
          </w:rPr>
          <w:t xml:space="preserve">https://doi.org/10.3389/neuro.06.004.2008</w:t>
        </w:r>
      </w:hyperlink>
      <w:r>
        <w:t xml:space="preserve">.</w:t>
      </w:r>
    </w:p>
    <w:bookmarkEnd w:id="229"/>
    <w:bookmarkStart w:id="231" w:name="ref-kriegeskorte2009"/>
    <w:p>
      <w:pPr>
        <w:pStyle w:val="Bibliography"/>
      </w:pPr>
      <w:r>
        <w:t xml:space="preserve">Kriegeskorte, Nikolaus, W. Kyle Simmons, Patrick S. F. Bellgowan, and Chris I. Baker. 2009.</w:t>
      </w:r>
      <w:r>
        <w:t xml:space="preserve"> </w:t>
      </w:r>
      <w:r>
        <w:t xml:space="preserve">“Circular Analysis in Systems Neuroscience: The Dangers of Double Dipping.”</w:t>
      </w:r>
      <w:r>
        <w:t xml:space="preserve"> </w:t>
      </w:r>
      <w:r>
        <w:rPr>
          <w:i/>
          <w:iCs/>
        </w:rPr>
        <w:t xml:space="preserve">Nature Neuroscience</w:t>
      </w:r>
      <w:r>
        <w:t xml:space="preserve"> </w:t>
      </w:r>
      <w:r>
        <w:t xml:space="preserve">12 (5): 535–40.</w:t>
      </w:r>
      <w:r>
        <w:t xml:space="preserve"> </w:t>
      </w:r>
      <w:hyperlink r:id="rId230">
        <w:r>
          <w:rPr>
            <w:rStyle w:val="Hyperlink"/>
          </w:rPr>
          <w:t xml:space="preserve">https://doi.org/10.1038/nn.2303</w:t>
        </w:r>
      </w:hyperlink>
      <w:r>
        <w:t xml:space="preserve">.</w:t>
      </w:r>
    </w:p>
    <w:bookmarkEnd w:id="231"/>
    <w:bookmarkStart w:id="233" w:name="ref-kruschke2021"/>
    <w:p>
      <w:pPr>
        <w:pStyle w:val="Bibliography"/>
      </w:pPr>
      <w:r>
        <w:t xml:space="preserve">Kruschke, John K. 2021.</w:t>
      </w:r>
      <w:r>
        <w:t xml:space="preserve"> </w:t>
      </w:r>
      <w:r>
        <w:t xml:space="preserve">“</w:t>
      </w:r>
      <w:r>
        <w:t xml:space="preserve">Bayesian</w:t>
      </w:r>
      <w:r>
        <w:t xml:space="preserve"> </w:t>
      </w:r>
      <w:r>
        <w:t xml:space="preserve">Analysis Reporting Guidelines.”</w:t>
      </w:r>
      <w:r>
        <w:t xml:space="preserve"> </w:t>
      </w:r>
      <w:r>
        <w:rPr>
          <w:i/>
          <w:iCs/>
        </w:rPr>
        <w:t xml:space="preserve">Nature Human Behaviour</w:t>
      </w:r>
      <w:r>
        <w:t xml:space="preserve"> </w:t>
      </w:r>
      <w:r>
        <w:t xml:space="preserve">5 (10): 1282–91.</w:t>
      </w:r>
      <w:r>
        <w:t xml:space="preserve"> </w:t>
      </w:r>
      <w:hyperlink r:id="rId232">
        <w:r>
          <w:rPr>
            <w:rStyle w:val="Hyperlink"/>
          </w:rPr>
          <w:t xml:space="preserve">https://doi.org/10.1038/s41562-021-01177-7</w:t>
        </w:r>
      </w:hyperlink>
      <w:r>
        <w:t xml:space="preserve">.</w:t>
      </w:r>
    </w:p>
    <w:bookmarkEnd w:id="233"/>
    <w:bookmarkStart w:id="235" w:name="ref-kruschke2018"/>
    <w:p>
      <w:pPr>
        <w:pStyle w:val="Bibliography"/>
      </w:pPr>
      <w:r>
        <w:t xml:space="preserve">Kruschke, John K., and Torrin M. Liddell. 2018.</w:t>
      </w:r>
      <w:r>
        <w:t xml:space="preserve"> </w:t>
      </w:r>
      <w:r>
        <w:t xml:space="preserve">“The</w:t>
      </w:r>
      <w:r>
        <w:t xml:space="preserve"> </w:t>
      </w:r>
      <w:r>
        <w:t xml:space="preserve">Bayesian</w:t>
      </w:r>
      <w:r>
        <w:t xml:space="preserve"> </w:t>
      </w:r>
      <w:r>
        <w:t xml:space="preserve">New</w:t>
      </w:r>
      <w:r>
        <w:t xml:space="preserve"> </w:t>
      </w:r>
      <w:r>
        <w:t xml:space="preserve">Statistics</w:t>
      </w:r>
      <w:r>
        <w:t xml:space="preserve">: Hypothesis Testing, Estimation, Meta-Analysis, and Power Analysis from a</w:t>
      </w:r>
      <w:r>
        <w:t xml:space="preserve"> </w:t>
      </w:r>
      <w:r>
        <w:t xml:space="preserve">Bayesian</w:t>
      </w:r>
      <w:r>
        <w:t xml:space="preserve"> </w:t>
      </w:r>
      <w:r>
        <w:t xml:space="preserve">Perspective.”</w:t>
      </w:r>
      <w:r>
        <w:t xml:space="preserve"> </w:t>
      </w:r>
      <w:r>
        <w:rPr>
          <w:i/>
          <w:iCs/>
        </w:rPr>
        <w:t xml:space="preserve">Psychonomic Bulletin &amp; Review</w:t>
      </w:r>
      <w:r>
        <w:t xml:space="preserve"> </w:t>
      </w:r>
      <w:r>
        <w:t xml:space="preserve">25 (1): 178–206.</w:t>
      </w:r>
      <w:r>
        <w:t xml:space="preserve"> </w:t>
      </w:r>
      <w:hyperlink r:id="rId234">
        <w:r>
          <w:rPr>
            <w:rStyle w:val="Hyperlink"/>
          </w:rPr>
          <w:t xml:space="preserve">https://doi.org/10.3758/s13423-016-1221-4</w:t>
        </w:r>
      </w:hyperlink>
      <w:r>
        <w:t xml:space="preserve">.</w:t>
      </w:r>
    </w:p>
    <w:bookmarkEnd w:id="235"/>
    <w:bookmarkStart w:id="237" w:name="ref-lewandowski2009"/>
    <w:p>
      <w:pPr>
        <w:pStyle w:val="Bibliography"/>
      </w:pPr>
      <w:r>
        <w:t xml:space="preserve">Lewandowski, Daniel, Dorota Kurowicka, and Harry Joe. 2009.</w:t>
      </w:r>
      <w:r>
        <w:t xml:space="preserve"> </w:t>
      </w:r>
      <w:r>
        <w:t xml:space="preserve">“Generating Random Correlation Matrices Based on Vines and Extended Onion Method.”</w:t>
      </w:r>
      <w:r>
        <w:t xml:space="preserve"> </w:t>
      </w:r>
      <w:r>
        <w:rPr>
          <w:i/>
          <w:iCs/>
        </w:rPr>
        <w:t xml:space="preserve">Journal of Multivariate Analysis</w:t>
      </w:r>
      <w:r>
        <w:t xml:space="preserve"> </w:t>
      </w:r>
      <w:r>
        <w:t xml:space="preserve">100 (9): 1989–2001.</w:t>
      </w:r>
      <w:r>
        <w:t xml:space="preserve"> </w:t>
      </w:r>
      <w:hyperlink r:id="rId236">
        <w:r>
          <w:rPr>
            <w:rStyle w:val="Hyperlink"/>
          </w:rPr>
          <w:t xml:space="preserve">https://doi.org/10.1016/j.jmva.2009.04.008</w:t>
        </w:r>
      </w:hyperlink>
      <w:r>
        <w:t xml:space="preserve">.</w:t>
      </w:r>
    </w:p>
    <w:bookmarkEnd w:id="237"/>
    <w:bookmarkStart w:id="239" w:name="ref-lhq3"/>
    <w:p>
      <w:pPr>
        <w:pStyle w:val="Bibliography"/>
      </w:pPr>
      <w:r>
        <w:t xml:space="preserve">Li, Ping, Fan Zhang, Anya Yu, and Xiaowei Zhao. 2020.</w:t>
      </w:r>
      <w:r>
        <w:t xml:space="preserve"> </w:t>
      </w:r>
      <w:r>
        <w:t xml:space="preserve">“</w:t>
      </w:r>
      <w:r>
        <w:t xml:space="preserve">Language History Questionnaire</w:t>
      </w:r>
      <w:r>
        <w:t xml:space="preserve"> </w:t>
      </w:r>
      <w:r>
        <w:t xml:space="preserve">(</w:t>
      </w:r>
      <w:r>
        <w:t xml:space="preserve">LHQ3</w:t>
      </w:r>
      <w:r>
        <w:t xml:space="preserve">): An Enhanced Tool for Assessing Multilingual Experience.”</w:t>
      </w:r>
      <w:r>
        <w:t xml:space="preserve"> </w:t>
      </w:r>
      <w:r>
        <w:rPr>
          <w:i/>
          <w:iCs/>
        </w:rPr>
        <w:t xml:space="preserve">Bilingualism: Language and Cognition</w:t>
      </w:r>
      <w:r>
        <w:t xml:space="preserve"> </w:t>
      </w:r>
      <w:r>
        <w:t xml:space="preserve">23 (5): 938–44.</w:t>
      </w:r>
      <w:r>
        <w:t xml:space="preserve"> </w:t>
      </w:r>
      <w:hyperlink r:id="rId238">
        <w:r>
          <w:rPr>
            <w:rStyle w:val="Hyperlink"/>
          </w:rPr>
          <w:t xml:space="preserve">https://doi.org/10.1017/S1366728918001153</w:t>
        </w:r>
      </w:hyperlink>
      <w:r>
        <w:t xml:space="preserve">.</w:t>
      </w:r>
    </w:p>
    <w:bookmarkEnd w:id="239"/>
    <w:bookmarkStart w:id="241" w:name="ref-loken2017"/>
    <w:p>
      <w:pPr>
        <w:pStyle w:val="Bibliography"/>
      </w:pPr>
      <w:r>
        <w:t xml:space="preserve">Loken, Eric, and Andrew Gelman. 2017.</w:t>
      </w:r>
      <w:r>
        <w:t xml:space="preserve"> </w:t>
      </w:r>
      <w:r>
        <w:t xml:space="preserve">“Measurement Error and the Replication Crisis.”</w:t>
      </w:r>
      <w:r>
        <w:t xml:space="preserve"> </w:t>
      </w:r>
      <w:r>
        <w:rPr>
          <w:i/>
          <w:iCs/>
        </w:rPr>
        <w:t xml:space="preserve">Science</w:t>
      </w:r>
      <w:r>
        <w:t xml:space="preserve"> </w:t>
      </w:r>
      <w:r>
        <w:t xml:space="preserve">355 (6325): 584–85.</w:t>
      </w:r>
      <w:r>
        <w:t xml:space="preserve"> </w:t>
      </w:r>
      <w:hyperlink r:id="rId240">
        <w:r>
          <w:rPr>
            <w:rStyle w:val="Hyperlink"/>
          </w:rPr>
          <w:t xml:space="preserve">https://doi.org/10.1126/science.aal3618</w:t>
        </w:r>
      </w:hyperlink>
      <w:r>
        <w:t xml:space="preserve">.</w:t>
      </w:r>
    </w:p>
    <w:bookmarkEnd w:id="241"/>
    <w:bookmarkStart w:id="243" w:name="ref-makowski2019"/>
    <w:p>
      <w:pPr>
        <w:pStyle w:val="Bibliography"/>
      </w:pPr>
      <w:r>
        <w:t xml:space="preserve">Makowski, Dominique, Mattan S. Ben-Shachar, S. H. Annabel Chen, and Daniel Lüdecke. 2019.</w:t>
      </w:r>
      <w:r>
        <w:t xml:space="preserve"> </w:t>
      </w:r>
      <w:r>
        <w:t xml:space="preserve">“Indices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 </w:t>
      </w:r>
      <w:r>
        <w:t xml:space="preserve">10: 2767.</w:t>
      </w:r>
      <w:r>
        <w:t xml:space="preserve"> </w:t>
      </w:r>
      <w:hyperlink r:id="rId242">
        <w:r>
          <w:rPr>
            <w:rStyle w:val="Hyperlink"/>
          </w:rPr>
          <w:t xml:space="preserve">https://doi.org/10.3389/fpsyg.2019.02767</w:t>
        </w:r>
      </w:hyperlink>
      <w:r>
        <w:t xml:space="preserve">.</w:t>
      </w:r>
    </w:p>
    <w:bookmarkEnd w:id="243"/>
    <w:bookmarkStart w:id="245" w:name="ref-maris2007"/>
    <w:p>
      <w:pPr>
        <w:pStyle w:val="Bibliography"/>
      </w:pPr>
      <w:r>
        <w:t xml:space="preserve">Maris, Eric, and Robert Oostenveld. 2007.</w:t>
      </w:r>
      <w:r>
        <w:t xml:space="preserve"> </w:t>
      </w:r>
      <w:r>
        <w:t xml:space="preserve">“Nonparametric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 </w:t>
      </w:r>
      <w:r>
        <w:t xml:space="preserve">164 (1): 177–90.</w:t>
      </w:r>
      <w:r>
        <w:t xml:space="preserve"> </w:t>
      </w:r>
      <w:hyperlink r:id="rId244">
        <w:r>
          <w:rPr>
            <w:rStyle w:val="Hyperlink"/>
          </w:rPr>
          <w:t xml:space="preserve">https://doi.org/10.1016/j.jneumeth.2007.03.024</w:t>
        </w:r>
      </w:hyperlink>
      <w:r>
        <w:t xml:space="preserve">.</w:t>
      </w:r>
    </w:p>
    <w:bookmarkEnd w:id="245"/>
    <w:bookmarkStart w:id="247" w:name="ref-marwick2018"/>
    <w:p>
      <w:pPr>
        <w:pStyle w:val="Bibliography"/>
      </w:pPr>
      <w:r>
        <w:t xml:space="preserve">Marwick, Ben, Carl Boettiger, and Lincoln Mullen. 2018.</w:t>
      </w:r>
      <w:r>
        <w:t xml:space="preserve"> </w:t>
      </w:r>
      <w:r>
        <w:t xml:space="preserve">“Packaging Data Analytical Work Reproducibly Using</w:t>
      </w:r>
      <w:r>
        <w:t xml:space="preserve"> </w:t>
      </w:r>
      <w:r>
        <w:t xml:space="preserve">R</w:t>
      </w:r>
      <w:r>
        <w:t xml:space="preserve"> </w:t>
      </w:r>
      <w:r>
        <w:t xml:space="preserve">(and Friends).”</w:t>
      </w:r>
      <w:r>
        <w:t xml:space="preserve"> </w:t>
      </w:r>
      <w:r>
        <w:rPr>
          <w:i/>
          <w:iCs/>
        </w:rPr>
        <w:t xml:space="preserve">The American Statistician</w:t>
      </w:r>
      <w:r>
        <w:t xml:space="preserve"> </w:t>
      </w:r>
      <w:r>
        <w:t xml:space="preserve">72 (1): 80–88.</w:t>
      </w:r>
      <w:r>
        <w:t xml:space="preserve"> </w:t>
      </w:r>
      <w:hyperlink r:id="rId246">
        <w:r>
          <w:rPr>
            <w:rStyle w:val="Hyperlink"/>
          </w:rPr>
          <w:t xml:space="preserve">https://doi.org/10.1080/00031305.2017.1375986</w:t>
        </w:r>
      </w:hyperlink>
      <w:r>
        <w:t xml:space="preserve">.</w:t>
      </w:r>
    </w:p>
    <w:bookmarkEnd w:id="247"/>
    <w:bookmarkStart w:id="249" w:name="ref-matuschek2017"/>
    <w:p>
      <w:pPr>
        <w:pStyle w:val="Bibliography"/>
      </w:pPr>
      <w:r>
        <w:t xml:space="preserve">Matuschek, Hannes, Reinhold Kliegl, Shravan Vasishth, Harald Baayen, and Douglas Bates. 2017.</w:t>
      </w:r>
      <w:r>
        <w:t xml:space="preserve"> </w:t>
      </w:r>
      <w:r>
        <w:t xml:space="preserve">“Balancing</w:t>
      </w:r>
      <w:r>
        <w:t xml:space="preserve"> </w:t>
      </w:r>
      <w:r>
        <w:t xml:space="preserve">Type</w:t>
      </w:r>
      <w:r>
        <w:t xml:space="preserve"> </w:t>
      </w:r>
      <w:r>
        <w:t xml:space="preserve">I</w:t>
      </w:r>
      <w:r>
        <w:t xml:space="preserve"> </w:t>
      </w:r>
      <w:r>
        <w:t xml:space="preserve">Error and Power in Linear Mixed Models.”</w:t>
      </w:r>
      <w:r>
        <w:t xml:space="preserve"> </w:t>
      </w:r>
      <w:r>
        <w:rPr>
          <w:i/>
          <w:iCs/>
        </w:rPr>
        <w:t xml:space="preserve">Journal of Memory and Language</w:t>
      </w:r>
      <w:r>
        <w:t xml:space="preserve"> </w:t>
      </w:r>
      <w:r>
        <w:t xml:space="preserve">94: 305–15.</w:t>
      </w:r>
      <w:r>
        <w:t xml:space="preserve"> </w:t>
      </w:r>
      <w:hyperlink r:id="rId248">
        <w:r>
          <w:rPr>
            <w:rStyle w:val="Hyperlink"/>
          </w:rPr>
          <w:t xml:space="preserve">https://doi.org/10.1016/j.jml.2017.01.001</w:t>
        </w:r>
      </w:hyperlink>
      <w:r>
        <w:t xml:space="preserve">.</w:t>
      </w:r>
    </w:p>
    <w:bookmarkEnd w:id="249"/>
    <w:bookmarkStart w:id="251" w:name="ref-mclaughlin2004"/>
    <w:p>
      <w:pPr>
        <w:pStyle w:val="Bibliography"/>
      </w:pPr>
      <w:r>
        <w:t xml:space="preserve">McLaughlin, Judith, Lee Osterhout, and Albert Kim. 2004.</w:t>
      </w:r>
      <w:r>
        <w:t xml:space="preserve"> </w:t>
      </w:r>
      <w:r>
        <w:t xml:space="preserve">“Neural Correlates of Second-Language Word Learning: Minimal Instruction Produces Rapid Change.”</w:t>
      </w:r>
      <w:r>
        <w:t xml:space="preserve"> </w:t>
      </w:r>
      <w:r>
        <w:rPr>
          <w:i/>
          <w:iCs/>
        </w:rPr>
        <w:t xml:space="preserve">Nature Neuroscience</w:t>
      </w:r>
      <w:r>
        <w:t xml:space="preserve"> </w:t>
      </w:r>
      <w:r>
        <w:t xml:space="preserve">7 (7): 703–4.</w:t>
      </w:r>
      <w:r>
        <w:t xml:space="preserve"> </w:t>
      </w:r>
      <w:hyperlink r:id="rId250">
        <w:r>
          <w:rPr>
            <w:rStyle w:val="Hyperlink"/>
          </w:rPr>
          <w:t xml:space="preserve">https://doi.org/10.1038/nn1264</w:t>
        </w:r>
      </w:hyperlink>
      <w:r>
        <w:t xml:space="preserve">.</w:t>
      </w:r>
    </w:p>
    <w:bookmarkEnd w:id="251"/>
    <w:bookmarkStart w:id="253" w:name="ref-mirkovic2016"/>
    <w:p>
      <w:pPr>
        <w:pStyle w:val="Bibliography"/>
      </w:pPr>
      <w:r>
        <w:t xml:space="preserve">Mirković, Jelena, and M. Gareth Gaskell. 2016.</w:t>
      </w:r>
      <w:r>
        <w:t xml:space="preserve"> </w:t>
      </w:r>
      <w:r>
        <w:t xml:space="preserve">“Does Sleep Improve Your Grammar? Preferential Consolidation of Arbitrary Components of New Linguistic Knowledge.”</w:t>
      </w:r>
      <w:r>
        <w:t xml:space="preserve"> </w:t>
      </w:r>
      <w:r>
        <w:rPr>
          <w:i/>
          <w:iCs/>
        </w:rPr>
        <w:t xml:space="preserve">PLOS ONE</w:t>
      </w:r>
      <w:r>
        <w:t xml:space="preserve"> </w:t>
      </w:r>
      <w:r>
        <w:t xml:space="preserve">11 (4): e0152489.</w:t>
      </w:r>
      <w:r>
        <w:t xml:space="preserve"> </w:t>
      </w:r>
      <w:hyperlink r:id="rId252">
        <w:r>
          <w:rPr>
            <w:rStyle w:val="Hyperlink"/>
          </w:rPr>
          <w:t xml:space="preserve">https://doi.org/10.1371/journal.pone.0152489</w:t>
        </w:r>
      </w:hyperlink>
      <w:r>
        <w:t xml:space="preserve">.</w:t>
      </w:r>
    </w:p>
    <w:bookmarkEnd w:id="253"/>
    <w:bookmarkStart w:id="255" w:name="ref-mitrofanova2023"/>
    <w:p>
      <w:pPr>
        <w:pStyle w:val="Bibliography"/>
      </w:pPr>
      <w:r>
        <w:t xml:space="preserve">Mitrofanova, Natalia, Evelina Leivada, and Marit Westergaard. 2023.</w:t>
      </w:r>
      <w:r>
        <w:t xml:space="preserve"> </w:t>
      </w:r>
      <w:r>
        <w:t xml:space="preserve">“Crosslinguistic Influence in</w:t>
      </w:r>
      <w:r>
        <w:t xml:space="preserve"> </w:t>
      </w:r>
      <w:r>
        <w:t xml:space="preserve">L3</w:t>
      </w:r>
      <w:r>
        <w:t xml:space="preserve"> </w:t>
      </w:r>
      <w:r>
        <w:t xml:space="preserve">Acquisition: Evidence from Artificial Language Learning.”</w:t>
      </w:r>
      <w:r>
        <w:t xml:space="preserve"> </w:t>
      </w:r>
      <w:r>
        <w:rPr>
          <w:i/>
          <w:iCs/>
        </w:rPr>
        <w:t xml:space="preserve">Linguistic Approaches to Bilingualism</w:t>
      </w:r>
      <w:r>
        <w:t xml:space="preserve"> </w:t>
      </w:r>
      <w:r>
        <w:t xml:space="preserve">13 (5): 717–42.</w:t>
      </w:r>
      <w:r>
        <w:t xml:space="preserve"> </w:t>
      </w:r>
      <w:hyperlink r:id="rId254">
        <w:r>
          <w:rPr>
            <w:rStyle w:val="Hyperlink"/>
          </w:rPr>
          <w:t xml:space="preserve">https://doi.org/10.1075/lab.22063.mit</w:t>
        </w:r>
      </w:hyperlink>
      <w:r>
        <w:t xml:space="preserve">.</w:t>
      </w:r>
    </w:p>
    <w:bookmarkEnd w:id="255"/>
    <w:bookmarkStart w:id="257" w:name="ref-morganshort2012plos"/>
    <w:p>
      <w:pPr>
        <w:pStyle w:val="Bibliography"/>
      </w:pPr>
      <w:r>
        <w:t xml:space="preserve">Morgan-Short, Kara, Ingrid Finger, Sarah Grey, and Michael T. Ullman. 2012.</w:t>
      </w:r>
      <w:r>
        <w:t xml:space="preserve"> </w:t>
      </w:r>
      <w:r>
        <w:t xml:space="preserve">“Second Language Processing Shows Increased Native-Like Neural Responses After Months of No Exposure.”</w:t>
      </w:r>
      <w:r>
        <w:t xml:space="preserve"> </w:t>
      </w:r>
      <w:r>
        <w:rPr>
          <w:i/>
          <w:iCs/>
        </w:rPr>
        <w:t xml:space="preserve">PLoS ONE</w:t>
      </w:r>
      <w:r>
        <w:t xml:space="preserve"> </w:t>
      </w:r>
      <w:r>
        <w:t xml:space="preserve">7 (3): e32974.</w:t>
      </w:r>
      <w:r>
        <w:t xml:space="preserve"> </w:t>
      </w:r>
      <w:hyperlink r:id="rId256">
        <w:r>
          <w:rPr>
            <w:rStyle w:val="Hyperlink"/>
          </w:rPr>
          <w:t xml:space="preserve">https://doi.org/10.1371/journal.pone.0032974</w:t>
        </w:r>
      </w:hyperlink>
      <w:r>
        <w:t xml:space="preserve">.</w:t>
      </w:r>
    </w:p>
    <w:bookmarkEnd w:id="257"/>
    <w:bookmarkStart w:id="259" w:name="ref-morganshort2010"/>
    <w:p>
      <w:pPr>
        <w:pStyle w:val="Bibliography"/>
      </w:pPr>
      <w:r>
        <w:t xml:space="preserve">Morgan-Short, Kara, Cristina Sanz, Karsten Steinhauer, and Michael T. Ullman. 2010.</w:t>
      </w:r>
      <w:r>
        <w:t xml:space="preserve"> </w:t>
      </w:r>
      <w:r>
        <w:t xml:space="preserve">“Second Language Acquisition of Gender Agreement in Explicit and Implicit Training Conditions: An Event-Related Potential Study.”</w:t>
      </w:r>
      <w:r>
        <w:t xml:space="preserve"> </w:t>
      </w:r>
      <w:r>
        <w:rPr>
          <w:i/>
          <w:iCs/>
        </w:rPr>
        <w:t xml:space="preserve">Language Learning</w:t>
      </w:r>
      <w:r>
        <w:t xml:space="preserve"> </w:t>
      </w:r>
      <w:r>
        <w:t xml:space="preserve">60 (1): 154–93.</w:t>
      </w:r>
      <w:r>
        <w:t xml:space="preserve"> </w:t>
      </w:r>
      <w:hyperlink r:id="rId258">
        <w:r>
          <w:rPr>
            <w:rStyle w:val="Hyperlink"/>
          </w:rPr>
          <w:t xml:space="preserve">https://doi.org/10.1111/j.1467-9922.2009.00554.x</w:t>
        </w:r>
      </w:hyperlink>
      <w:r>
        <w:t xml:space="preserve">.</w:t>
      </w:r>
    </w:p>
    <w:bookmarkEnd w:id="259"/>
    <w:bookmarkStart w:id="261" w:name="ref-morganshort2012"/>
    <w:p>
      <w:pPr>
        <w:pStyle w:val="Bibliography"/>
      </w:pPr>
      <w:r>
        <w:t xml:space="preserve">Morgan-Short, Kara, Karsten Steinhauer, Cristina Sanz, and Michael T. Ullman. 2012.</w:t>
      </w:r>
      <w:r>
        <w:t xml:space="preserve"> </w:t>
      </w:r>
      <w:r>
        <w:t xml:space="preserve">“Explicit and Implicit Second Language Training Differentially Affect the Achievement of Native-Like Brain Activation Patterns.”</w:t>
      </w:r>
      <w:r>
        <w:t xml:space="preserve"> </w:t>
      </w:r>
      <w:r>
        <w:rPr>
          <w:i/>
          <w:iCs/>
        </w:rPr>
        <w:t xml:space="preserve">Journal of Cognitive Neuroscience</w:t>
      </w:r>
      <w:r>
        <w:t xml:space="preserve"> </w:t>
      </w:r>
      <w:r>
        <w:t xml:space="preserve">24 (4): 933–47.</w:t>
      </w:r>
      <w:r>
        <w:t xml:space="preserve"> </w:t>
      </w:r>
      <w:hyperlink r:id="rId260">
        <w:r>
          <w:rPr>
            <w:rStyle w:val="Hyperlink"/>
          </w:rPr>
          <w:t xml:space="preserve">https://doi.org/10.1162/jocn_a_00119</w:t>
        </w:r>
      </w:hyperlink>
      <w:r>
        <w:t xml:space="preserve">.</w:t>
      </w:r>
    </w:p>
    <w:bookmarkEnd w:id="261"/>
    <w:bookmarkStart w:id="263" w:name="ref-mueller2005"/>
    <w:p>
      <w:pPr>
        <w:pStyle w:val="Bibliography"/>
      </w:pPr>
      <w:r>
        <w:t xml:space="preserve">Mueller, Jutta L., Anja Hahne, Yugo Fujii, and Angela D. Friederici. 2005.</w:t>
      </w:r>
      <w:r>
        <w:t xml:space="preserve"> </w:t>
      </w:r>
      <w:r>
        <w:t xml:space="preserve">“Native and Nonnative Speakers’ Processing of a Miniature Version of</w:t>
      </w:r>
      <w:r>
        <w:t xml:space="preserve"> </w:t>
      </w:r>
      <w:r>
        <w:t xml:space="preserve">Japanese</w:t>
      </w:r>
      <w:r>
        <w:t xml:space="preserve"> </w:t>
      </w:r>
      <w:r>
        <w:t xml:space="preserve">as Revealed by</w:t>
      </w:r>
      <w:r>
        <w:t xml:space="preserve"> </w:t>
      </w:r>
      <w:r>
        <w:t xml:space="preserve">ERPs</w:t>
      </w:r>
      <w:r>
        <w:t xml:space="preserve">.”</w:t>
      </w:r>
      <w:r>
        <w:t xml:space="preserve"> </w:t>
      </w:r>
      <w:r>
        <w:rPr>
          <w:i/>
          <w:iCs/>
        </w:rPr>
        <w:t xml:space="preserve">Journal of Cognitive Neuroscience</w:t>
      </w:r>
      <w:r>
        <w:t xml:space="preserve"> </w:t>
      </w:r>
      <w:r>
        <w:t xml:space="preserve">17 (8): 1229–44.</w:t>
      </w:r>
      <w:r>
        <w:t xml:space="preserve"> </w:t>
      </w:r>
      <w:hyperlink r:id="rId262">
        <w:r>
          <w:rPr>
            <w:rStyle w:val="Hyperlink"/>
          </w:rPr>
          <w:t xml:space="preserve">https://doi.org/10.1162/0898929055002463</w:t>
        </w:r>
      </w:hyperlink>
      <w:r>
        <w:t xml:space="preserve">.</w:t>
      </w:r>
    </w:p>
    <w:bookmarkEnd w:id="263"/>
    <w:bookmarkStart w:id="265" w:name="ref-mueller2007"/>
    <w:p>
      <w:pPr>
        <w:pStyle w:val="Bibliography"/>
      </w:pPr>
      <w:r>
        <w:t xml:space="preserve">Mueller, Jutta L., Masako Hirotani, and Angela D. Friederici. 2007.</w:t>
      </w:r>
      <w:r>
        <w:t xml:space="preserve"> </w:t>
      </w:r>
      <w:r>
        <w:t xml:space="preserve">“</w:t>
      </w:r>
      <w:r>
        <w:t xml:space="preserve">ERP</w:t>
      </w:r>
      <w:r>
        <w:t xml:space="preserve"> </w:t>
      </w:r>
      <w:r>
        <w:t xml:space="preserve">Evidence for Different Strategies in the Processing of Case Markers in Native Speakers and Non-Native Learners.”</w:t>
      </w:r>
      <w:r>
        <w:t xml:space="preserve"> </w:t>
      </w:r>
      <w:r>
        <w:rPr>
          <w:i/>
          <w:iCs/>
        </w:rPr>
        <w:t xml:space="preserve">BMC Neuroscience</w:t>
      </w:r>
      <w:r>
        <w:t xml:space="preserve"> </w:t>
      </w:r>
      <w:r>
        <w:t xml:space="preserve">8 (1): 18.</w:t>
      </w:r>
      <w:r>
        <w:t xml:space="preserve"> </w:t>
      </w:r>
      <w:hyperlink r:id="rId264">
        <w:r>
          <w:rPr>
            <w:rStyle w:val="Hyperlink"/>
          </w:rPr>
          <w:t xml:space="preserve">https://doi.org/10.1186/1471-2202-8-18</w:t>
        </w:r>
      </w:hyperlink>
      <w:r>
        <w:t xml:space="preserve">.</w:t>
      </w:r>
    </w:p>
    <w:bookmarkEnd w:id="265"/>
    <w:bookmarkStart w:id="267" w:name="ref-mueller2009"/>
    <w:p>
      <w:pPr>
        <w:pStyle w:val="Bibliography"/>
      </w:pPr>
      <w:r>
        <w:t xml:space="preserve">Mueller, Jutta L., Regine Oberecker, and Angela D. Friederici. 2009.</w:t>
      </w:r>
      <w:r>
        <w:t xml:space="preserve"> </w:t>
      </w:r>
      <w:r>
        <w:t xml:space="preserve">“Syntactic Learning by Mere Exposure: An</w:t>
      </w:r>
      <w:r>
        <w:t xml:space="preserve"> </w:t>
      </w:r>
      <w:r>
        <w:t xml:space="preserve">ERP</w:t>
      </w:r>
      <w:r>
        <w:t xml:space="preserve"> </w:t>
      </w:r>
      <w:r>
        <w:t xml:space="preserve">Study in Adult Learners.”</w:t>
      </w:r>
      <w:r>
        <w:t xml:space="preserve"> </w:t>
      </w:r>
      <w:r>
        <w:rPr>
          <w:i/>
          <w:iCs/>
        </w:rPr>
        <w:t xml:space="preserve">BMC Neuroscience</w:t>
      </w:r>
      <w:r>
        <w:t xml:space="preserve"> </w:t>
      </w:r>
      <w:r>
        <w:t xml:space="preserve">10 (1): 89.</w:t>
      </w:r>
      <w:r>
        <w:t xml:space="preserve"> </w:t>
      </w:r>
      <w:hyperlink r:id="rId266">
        <w:r>
          <w:rPr>
            <w:rStyle w:val="Hyperlink"/>
          </w:rPr>
          <w:t xml:space="preserve">https://doi.org/10.1186/1471-2202-10-89</w:t>
        </w:r>
      </w:hyperlink>
      <w:r>
        <w:t xml:space="preserve">.</w:t>
      </w:r>
    </w:p>
    <w:bookmarkEnd w:id="267"/>
    <w:bookmarkStart w:id="269" w:name="ref-nichols2019"/>
    <w:p>
      <w:pPr>
        <w:pStyle w:val="Bibliography"/>
      </w:pPr>
      <w:r>
        <w:t xml:space="preserve">Nichols, Emily S., and Marc F. Joanisse. 2019.</w:t>
      </w:r>
      <w:r>
        <w:t xml:space="preserve"> </w:t>
      </w:r>
      <w:r>
        <w:t xml:space="preserve">“Individual Differences Predict</w:t>
      </w:r>
      <w:r>
        <w:t xml:space="preserve"> </w:t>
      </w:r>
      <w:r>
        <w:t xml:space="preserve">ERP</w:t>
      </w:r>
      <w:r>
        <w:t xml:space="preserve"> </w:t>
      </w:r>
      <w:r>
        <w:t xml:space="preserve">Signatures of Second Language Learning of Novel Grammatical Rules.”</w:t>
      </w:r>
      <w:r>
        <w:t xml:space="preserve"> </w:t>
      </w:r>
      <w:r>
        <w:rPr>
          <w:i/>
          <w:iCs/>
        </w:rPr>
        <w:t xml:space="preserve">Bilingualism: Language and Cognition</w:t>
      </w:r>
      <w:r>
        <w:t xml:space="preserve"> </w:t>
      </w:r>
      <w:r>
        <w:t xml:space="preserve">22 (1): 78–92.</w:t>
      </w:r>
      <w:r>
        <w:t xml:space="preserve"> </w:t>
      </w:r>
      <w:hyperlink r:id="rId268">
        <w:r>
          <w:rPr>
            <w:rStyle w:val="Hyperlink"/>
          </w:rPr>
          <w:t xml:space="preserve">https://doi.org/10.1017/S1366728917000566</w:t>
        </w:r>
      </w:hyperlink>
      <w:r>
        <w:t xml:space="preserve">.</w:t>
      </w:r>
    </w:p>
    <w:bookmarkEnd w:id="269"/>
    <w:bookmarkStart w:id="271"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270">
        <w:r>
          <w:rPr>
            <w:rStyle w:val="Hyperlink"/>
          </w:rPr>
          <w:t xml:space="preserve">https://doi.org/10.1002/hbm.1058</w:t>
        </w:r>
      </w:hyperlink>
      <w:r>
        <w:t xml:space="preserve">.</w:t>
      </w:r>
    </w:p>
    <w:bookmarkEnd w:id="271"/>
    <w:bookmarkStart w:id="273" w:name="ref-nieuwenhuis2013"/>
    <w:p>
      <w:pPr>
        <w:pStyle w:val="Bibliography"/>
      </w:pPr>
      <w:r>
        <w:t xml:space="preserve">Nieuwenhuis, Ingrid L. C., Vasiliki Folia, Christian Forkstam, Ole Jensen, and Karl Magnus Petersson. 2013.</w:t>
      </w:r>
      <w:r>
        <w:t xml:space="preserve"> </w:t>
      </w:r>
      <w:r>
        <w:t xml:space="preserve">“Sleep Promotes the Extraction of Grammatical Rules.”</w:t>
      </w:r>
      <w:r>
        <w:t xml:space="preserve"> </w:t>
      </w:r>
      <w:r>
        <w:rPr>
          <w:i/>
          <w:iCs/>
        </w:rPr>
        <w:t xml:space="preserve">PLoS ONE</w:t>
      </w:r>
      <w:r>
        <w:t xml:space="preserve"> </w:t>
      </w:r>
      <w:r>
        <w:t xml:space="preserve">8 (6): e65046.</w:t>
      </w:r>
      <w:r>
        <w:t xml:space="preserve"> </w:t>
      </w:r>
      <w:hyperlink r:id="rId272">
        <w:r>
          <w:rPr>
            <w:rStyle w:val="Hyperlink"/>
          </w:rPr>
          <w:t xml:space="preserve">https://doi.org/10.1371/journal.pone.0065046</w:t>
        </w:r>
      </w:hyperlink>
      <w:r>
        <w:t xml:space="preserve">.</w:t>
      </w:r>
    </w:p>
    <w:bookmarkEnd w:id="273"/>
    <w:bookmarkStart w:id="275" w:name="ref-nieuwenhuis2011"/>
    <w:p>
      <w:pPr>
        <w:pStyle w:val="Bibliography"/>
      </w:pPr>
      <w:r>
        <w:t xml:space="preserve">Nieuwenhuis, Sander, Birte U. Forstmann, and Eric-Jan Wagenmakers. 2011.</w:t>
      </w:r>
      <w:r>
        <w:t xml:space="preserve"> </w:t>
      </w:r>
      <w:r>
        <w:t xml:space="preserve">“Erroneous Analyses of Interactions in Neuroscience: A Problem of Significance.”</w:t>
      </w:r>
      <w:r>
        <w:t xml:space="preserve"> </w:t>
      </w:r>
      <w:r>
        <w:rPr>
          <w:i/>
          <w:iCs/>
        </w:rPr>
        <w:t xml:space="preserve">Nature Neuroscience</w:t>
      </w:r>
      <w:r>
        <w:t xml:space="preserve"> </w:t>
      </w:r>
      <w:r>
        <w:t xml:space="preserve">14 (9): 1105–7.</w:t>
      </w:r>
      <w:r>
        <w:t xml:space="preserve"> </w:t>
      </w:r>
      <w:hyperlink r:id="rId274">
        <w:r>
          <w:rPr>
            <w:rStyle w:val="Hyperlink"/>
          </w:rPr>
          <w:t xml:space="preserve">https://doi.org/10.1038/nn.2886</w:t>
        </w:r>
      </w:hyperlink>
      <w:r>
        <w:t xml:space="preserve">.</w:t>
      </w:r>
    </w:p>
    <w:bookmarkEnd w:id="275"/>
    <w:bookmarkStart w:id="277" w:name="ref-nieuwland2013"/>
    <w:p>
      <w:pPr>
        <w:pStyle w:val="Bibliography"/>
      </w:pPr>
      <w:r>
        <w:t xml:space="preserve">Nieuwland, Mante S., Andrea E. Martin, and Manuel Carreiras. 2013.</w:t>
      </w:r>
      <w:r>
        <w:t xml:space="preserve"> </w:t>
      </w:r>
      <w:r>
        <w:t xml:space="preserve">“Event-Related Brain Potential Evidence for Animacy Processing Asymmetries During Sentence Comprehension.”</w:t>
      </w:r>
      <w:r>
        <w:t xml:space="preserve"> </w:t>
      </w:r>
      <w:r>
        <w:rPr>
          <w:i/>
          <w:iCs/>
        </w:rPr>
        <w:t xml:space="preserve">Brain and Language</w:t>
      </w:r>
      <w:r>
        <w:t xml:space="preserve"> </w:t>
      </w:r>
      <w:r>
        <w:t xml:space="preserve">126 (2): 151–58.</w:t>
      </w:r>
      <w:r>
        <w:t xml:space="preserve"> </w:t>
      </w:r>
      <w:hyperlink r:id="rId276">
        <w:r>
          <w:rPr>
            <w:rStyle w:val="Hyperlink"/>
          </w:rPr>
          <w:t xml:space="preserve">https://doi.org/10.1016/j.bandl.2013.04.005</w:t>
        </w:r>
      </w:hyperlink>
      <w:r>
        <w:t xml:space="preserve">.</w:t>
      </w:r>
    </w:p>
    <w:bookmarkEnd w:id="277"/>
    <w:bookmarkStart w:id="279" w:name="ref-nosek2018"/>
    <w:p>
      <w:pPr>
        <w:pStyle w:val="Bibliography"/>
      </w:pPr>
      <w:r>
        <w:t xml:space="preserve">Nosek, Brian A., Charles R. Ebersole, Alexander C. DeHaven, and David T. Mellor. 2018.</w:t>
      </w:r>
      <w:r>
        <w:t xml:space="preserve"> </w:t>
      </w:r>
      <w:r>
        <w:t xml:space="preserve">“The Preregistration Revolution.”</w:t>
      </w:r>
      <w:r>
        <w:t xml:space="preserve"> </w:t>
      </w:r>
      <w:r>
        <w:rPr>
          <w:i/>
          <w:iCs/>
        </w:rPr>
        <w:t xml:space="preserve">Proceedings of the National Academy of Sciences</w:t>
      </w:r>
      <w:r>
        <w:t xml:space="preserve"> </w:t>
      </w:r>
      <w:r>
        <w:t xml:space="preserve">115 (11): 2600–2606.</w:t>
      </w:r>
      <w:r>
        <w:t xml:space="preserve"> </w:t>
      </w:r>
      <w:hyperlink r:id="rId278">
        <w:r>
          <w:rPr>
            <w:rStyle w:val="Hyperlink"/>
          </w:rPr>
          <w:t xml:space="preserve">https://doi.org/10.1073/pnas.1708274114</w:t>
        </w:r>
      </w:hyperlink>
      <w:r>
        <w:t xml:space="preserve">.</w:t>
      </w:r>
    </w:p>
    <w:bookmarkEnd w:id="279"/>
    <w:bookmarkStart w:id="281" w:name="ref-osterhout1992"/>
    <w:p>
      <w:pPr>
        <w:pStyle w:val="Bibliography"/>
      </w:pPr>
      <w:r>
        <w:t xml:space="preserve">Osterhout, Lee, and Phillip J. Holcomb. 1992.</w:t>
      </w:r>
      <w:r>
        <w:t xml:space="preserve"> </w:t>
      </w:r>
      <w:r>
        <w:t xml:space="preserve">“Event-Related Brain Potentials Elicited by Syntactic Anomaly.”</w:t>
      </w:r>
      <w:r>
        <w:t xml:space="preserve"> </w:t>
      </w:r>
      <w:r>
        <w:rPr>
          <w:i/>
          <w:iCs/>
        </w:rPr>
        <w:t xml:space="preserve">Journal of Memory and Language</w:t>
      </w:r>
      <w:r>
        <w:t xml:space="preserve"> </w:t>
      </w:r>
      <w:r>
        <w:t xml:space="preserve">31 (6): 785–806.</w:t>
      </w:r>
      <w:r>
        <w:t xml:space="preserve"> </w:t>
      </w:r>
      <w:hyperlink r:id="rId280">
        <w:r>
          <w:rPr>
            <w:rStyle w:val="Hyperlink"/>
          </w:rPr>
          <w:t xml:space="preserve">https://doi.org/10.1016/0749-596X(92)90039-Z</w:t>
        </w:r>
      </w:hyperlink>
      <w:r>
        <w:t xml:space="preserve">.</w:t>
      </w:r>
    </w:p>
    <w:bookmarkEnd w:id="281"/>
    <w:bookmarkStart w:id="283" w:name="ref-osterhout2006"/>
    <w:p>
      <w:pPr>
        <w:pStyle w:val="Bibliography"/>
      </w:pPr>
      <w:r>
        <w:t xml:space="preserve">Osterhout, Lee, Judith McLaughlin, Ilona Pitkänen, Cheryl Frenck-Mestre, and Nicola Molinaro. 2006.</w:t>
      </w:r>
      <w:r>
        <w:t xml:space="preserve"> </w:t>
      </w:r>
      <w:r>
        <w:t xml:space="preserve">“Novice Learners, Longitudinal Designs, and Event-Related Potentials: A Means for Exploring the Neurocognition of Second Language Processing.”</w:t>
      </w:r>
      <w:r>
        <w:t xml:space="preserve"> </w:t>
      </w:r>
      <w:r>
        <w:rPr>
          <w:i/>
          <w:iCs/>
        </w:rPr>
        <w:t xml:space="preserve">Language Learning</w:t>
      </w:r>
      <w:r>
        <w:t xml:space="preserve"> </w:t>
      </w:r>
      <w:r>
        <w:t xml:space="preserve">56 (s1): 199–230.</w:t>
      </w:r>
      <w:r>
        <w:t xml:space="preserve"> </w:t>
      </w:r>
      <w:hyperlink r:id="rId282">
        <w:r>
          <w:rPr>
            <w:rStyle w:val="Hyperlink"/>
          </w:rPr>
          <w:t xml:space="preserve">https://doi.org/10.1111/j.1467-9922.2006.00361.x</w:t>
        </w:r>
      </w:hyperlink>
      <w:r>
        <w:t xml:space="preserve">.</w:t>
      </w:r>
    </w:p>
    <w:bookmarkEnd w:id="283"/>
    <w:bookmarkStart w:id="285" w:name="ref-peelen2023"/>
    <w:p>
      <w:pPr>
        <w:pStyle w:val="Bibliography"/>
      </w:pPr>
      <w:r>
        <w:t xml:space="preserve">Peelen, Marius V., and Paul E. Downing. 2023.</w:t>
      </w:r>
      <w:r>
        <w:t xml:space="preserve"> </w:t>
      </w:r>
      <w:r>
        <w:t xml:space="preserve">“Testing Cognitive Theories with Multivariate Pattern Analysis of Neuroimaging Data.”</w:t>
      </w:r>
      <w:r>
        <w:t xml:space="preserve"> </w:t>
      </w:r>
      <w:r>
        <w:rPr>
          <w:i/>
          <w:iCs/>
        </w:rPr>
        <w:t xml:space="preserve">Nature Human Behaviour</w:t>
      </w:r>
      <w:r>
        <w:t xml:space="preserve"> </w:t>
      </w:r>
      <w:r>
        <w:t xml:space="preserve">7 (9): 1430–41.</w:t>
      </w:r>
      <w:r>
        <w:t xml:space="preserve"> </w:t>
      </w:r>
      <w:hyperlink r:id="rId284">
        <w:r>
          <w:rPr>
            <w:rStyle w:val="Hyperlink"/>
          </w:rPr>
          <w:t xml:space="preserve">https://doi.org/10.1038/s41562-023-01680-z</w:t>
        </w:r>
      </w:hyperlink>
      <w:r>
        <w:t xml:space="preserve">.</w:t>
      </w:r>
    </w:p>
    <w:bookmarkEnd w:id="285"/>
    <w:bookmarkStart w:id="287" w:name="ref-pereirasoares2022"/>
    <w:p>
      <w:pPr>
        <w:pStyle w:val="Bibliography"/>
      </w:pPr>
      <w:r>
        <w:t xml:space="preserve">Pereira Soares, Sergio Miguel, Tanja Kupisch, and Jason Rothman. 2022.</w:t>
      </w:r>
      <w:r>
        <w:t xml:space="preserve"> </w:t>
      </w:r>
      <w:r>
        <w:t xml:space="preserve">“Testing Potential Transfer Effects in Heritage and Adult</w:t>
      </w:r>
      <w:r>
        <w:t xml:space="preserve"> </w:t>
      </w:r>
      <w:r>
        <w:t xml:space="preserve">L2</w:t>
      </w:r>
      <w:r>
        <w:t xml:space="preserve"> </w:t>
      </w:r>
      <w:r>
        <w:t xml:space="preserve">Bilinguals Acquiring a Mini Grammar as an Additional Language: An</w:t>
      </w:r>
      <w:r>
        <w:t xml:space="preserve"> </w:t>
      </w:r>
      <w:r>
        <w:t xml:space="preserve">ERP</w:t>
      </w:r>
      <w:r>
        <w:t xml:space="preserve"> </w:t>
      </w:r>
      <w:r>
        <w:t xml:space="preserve">Approach.”</w:t>
      </w:r>
      <w:r>
        <w:t xml:space="preserve"> </w:t>
      </w:r>
      <w:r>
        <w:rPr>
          <w:i/>
          <w:iCs/>
        </w:rPr>
        <w:t xml:space="preserve">Brain Sciences</w:t>
      </w:r>
      <w:r>
        <w:t xml:space="preserve"> </w:t>
      </w:r>
      <w:r>
        <w:t xml:space="preserve">12 (5): 669.</w:t>
      </w:r>
      <w:r>
        <w:t xml:space="preserve"> </w:t>
      </w:r>
      <w:hyperlink r:id="rId286">
        <w:r>
          <w:rPr>
            <w:rStyle w:val="Hyperlink"/>
          </w:rPr>
          <w:t xml:space="preserve">https://doi.org/10.3390/brainsci12050669</w:t>
        </w:r>
      </w:hyperlink>
      <w:r>
        <w:t xml:space="preserve">.</w:t>
      </w:r>
    </w:p>
    <w:bookmarkEnd w:id="287"/>
    <w:bookmarkStart w:id="289" w:name="ref-phipson2010"/>
    <w:p>
      <w:pPr>
        <w:pStyle w:val="Bibliography"/>
      </w:pPr>
      <w:r>
        <w:t xml:space="preserve">Phipson, Belinda, and Gordon K. Smyth. 2010.</w:t>
      </w:r>
      <w:r>
        <w:t xml:space="preserve"> </w:t>
      </w:r>
      <w:r>
        <w:t xml:space="preserve">“Permutation</w:t>
      </w:r>
      <w:r>
        <w:t xml:space="preserve"> </w:t>
      </w:r>
      <w:r>
        <w:t xml:space="preserve">P</w:t>
      </w:r>
      <w:r>
        <w:t xml:space="preserve">-Values Should Never Be Zero: Calculating Exact</w:t>
      </w:r>
      <w:r>
        <w:t xml:space="preserve"> </w:t>
      </w:r>
      <w:r>
        <w:t xml:space="preserve">P</w:t>
      </w:r>
      <w:r>
        <w:t xml:space="preserve">-Values When Permutations Are Randomly Drawn.”</w:t>
      </w:r>
      <w:r>
        <w:t xml:space="preserve"> </w:t>
      </w:r>
      <w:r>
        <w:rPr>
          <w:i/>
          <w:iCs/>
        </w:rPr>
        <w:t xml:space="preserve">Statistical Applications in Genetics and Molecular Biology</w:t>
      </w:r>
      <w:r>
        <w:t xml:space="preserve"> </w:t>
      </w:r>
      <w:r>
        <w:t xml:space="preserve">9 (1): Article 39.</w:t>
      </w:r>
      <w:r>
        <w:t xml:space="preserve"> </w:t>
      </w:r>
      <w:hyperlink r:id="rId288">
        <w:r>
          <w:rPr>
            <w:rStyle w:val="Hyperlink"/>
          </w:rPr>
          <w:t xml:space="preserve">https://doi.org/10.2202/1544-6115.1585</w:t>
        </w:r>
      </w:hyperlink>
      <w:r>
        <w:t xml:space="preserve">.</w:t>
      </w:r>
    </w:p>
    <w:bookmarkEnd w:id="289"/>
    <w:bookmarkStart w:id="291" w:name="ref-puigmayenco2020"/>
    <w:p>
      <w:pPr>
        <w:pStyle w:val="Bibliography"/>
      </w:pPr>
      <w:r>
        <w:t xml:space="preserve">Puig-Mayenco, Eloi, Jorge González Alonso, and Jason Rothman. 2020.</w:t>
      </w:r>
      <w:r>
        <w:t xml:space="preserve"> </w:t>
      </w:r>
      <w:r>
        <w:t xml:space="preserve">“A Systematic Review of Transfer Studies in Third Language Acquisition.”</w:t>
      </w:r>
      <w:r>
        <w:t xml:space="preserve"> </w:t>
      </w:r>
      <w:r>
        <w:rPr>
          <w:i/>
          <w:iCs/>
        </w:rPr>
        <w:t xml:space="preserve">Second Language Research</w:t>
      </w:r>
      <w:r>
        <w:t xml:space="preserve"> </w:t>
      </w:r>
      <w:r>
        <w:t xml:space="preserve">36 (1): 31–64.</w:t>
      </w:r>
      <w:r>
        <w:t xml:space="preserve"> </w:t>
      </w:r>
      <w:hyperlink r:id="rId290">
        <w:r>
          <w:rPr>
            <w:rStyle w:val="Hyperlink"/>
          </w:rPr>
          <w:t xml:space="preserve">https://doi.org/10.1177/0267658318809147</w:t>
        </w:r>
      </w:hyperlink>
      <w:r>
        <w:t xml:space="preserve">.</w:t>
      </w:r>
    </w:p>
    <w:bookmarkEnd w:id="291"/>
    <w:bookmarkStart w:id="293" w:name="ref-rcoreteam"/>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92">
        <w:r>
          <w:rPr>
            <w:rStyle w:val="Hyperlink"/>
          </w:rPr>
          <w:t xml:space="preserve">https://www.R-project.org/</w:t>
        </w:r>
      </w:hyperlink>
      <w:r>
        <w:t xml:space="preserve">.</w:t>
      </w:r>
    </w:p>
    <w:bookmarkEnd w:id="293"/>
    <w:bookmarkStart w:id="295" w:name="ref-ritchie2019"/>
    <w:p>
      <w:pPr>
        <w:pStyle w:val="Bibliography"/>
      </w:pPr>
      <w:r>
        <w:t xml:space="preserve">Ritchie, J. Brendan, David Michael Kaplan, and Colin Klein. 2019.</w:t>
      </w:r>
      <w:r>
        <w:t xml:space="preserve"> </w:t>
      </w:r>
      <w:r>
        <w:t xml:space="preserve">“Decoding the Brain: Neural Representation and the Limits of Multivariate Pattern Analysis in Cognitive Neuroscience.”</w:t>
      </w:r>
      <w:r>
        <w:t xml:space="preserve"> </w:t>
      </w:r>
      <w:r>
        <w:rPr>
          <w:i/>
          <w:iCs/>
        </w:rPr>
        <w:t xml:space="preserve">The British Journal for the Philosophy of Science</w:t>
      </w:r>
      <w:r>
        <w:t xml:space="preserve"> </w:t>
      </w:r>
      <w:r>
        <w:t xml:space="preserve">70 (2): 581–607.</w:t>
      </w:r>
      <w:r>
        <w:t xml:space="preserve"> </w:t>
      </w:r>
      <w:hyperlink r:id="rId294">
        <w:r>
          <w:rPr>
            <w:rStyle w:val="Hyperlink"/>
          </w:rPr>
          <w:t xml:space="preserve">https://doi.org/10.1093/bjps/axx023</w:t>
        </w:r>
      </w:hyperlink>
      <w:r>
        <w:t xml:space="preserve">.</w:t>
      </w:r>
    </w:p>
    <w:bookmarkEnd w:id="295"/>
    <w:bookmarkStart w:id="297" w:name="ref-robertson2004"/>
    <w:p>
      <w:pPr>
        <w:pStyle w:val="Bibliography"/>
      </w:pPr>
      <w:r>
        <w:t xml:space="preserve">Robertson, Edwin M., Alvaro Pascual-Leone, and R. Chris Miall. 2004.</w:t>
      </w:r>
      <w:r>
        <w:t xml:space="preserve"> </w:t>
      </w:r>
      <w:r>
        <w:t xml:space="preserve">“Current Concepts in Procedural Consolidation.”</w:t>
      </w:r>
      <w:r>
        <w:t xml:space="preserve"> </w:t>
      </w:r>
      <w:r>
        <w:rPr>
          <w:i/>
          <w:iCs/>
        </w:rPr>
        <w:t xml:space="preserve">Nature Reviews Neuroscience</w:t>
      </w:r>
      <w:r>
        <w:t xml:space="preserve"> </w:t>
      </w:r>
      <w:r>
        <w:t xml:space="preserve">5 (7): 576–82.</w:t>
      </w:r>
      <w:r>
        <w:t xml:space="preserve"> </w:t>
      </w:r>
      <w:hyperlink r:id="rId296">
        <w:r>
          <w:rPr>
            <w:rStyle w:val="Hyperlink"/>
          </w:rPr>
          <w:t xml:space="preserve">https://doi.org/10.1038/nrn1426</w:t>
        </w:r>
      </w:hyperlink>
      <w:r>
        <w:t xml:space="preserve">.</w:t>
      </w:r>
    </w:p>
    <w:bookmarkEnd w:id="297"/>
    <w:bookmarkStart w:id="299" w:name="ref-rothman2011"/>
    <w:p>
      <w:pPr>
        <w:pStyle w:val="Bibliography"/>
      </w:pPr>
      <w:r>
        <w:t xml:space="preserve">Rothman, Jason. 2011.</w:t>
      </w:r>
      <w:r>
        <w:t xml:space="preserve"> </w:t>
      </w:r>
      <w:r>
        <w:t xml:space="preserve">“</w:t>
      </w:r>
      <w:r>
        <w:t xml:space="preserve">L3</w:t>
      </w:r>
      <w:r>
        <w:t xml:space="preserve"> </w:t>
      </w:r>
      <w:r>
        <w:t xml:space="preserve">Syntactic Transfer Selectivity and Typological Determinacy: The Typological Primacy Model.”</w:t>
      </w:r>
      <w:r>
        <w:t xml:space="preserve"> </w:t>
      </w:r>
      <w:r>
        <w:rPr>
          <w:i/>
          <w:iCs/>
        </w:rPr>
        <w:t xml:space="preserve">Second Language Research</w:t>
      </w:r>
      <w:r>
        <w:t xml:space="preserve"> </w:t>
      </w:r>
      <w:r>
        <w:t xml:space="preserve">27 (1): 107–27.</w:t>
      </w:r>
      <w:r>
        <w:t xml:space="preserve"> </w:t>
      </w:r>
      <w:hyperlink r:id="rId298">
        <w:r>
          <w:rPr>
            <w:rStyle w:val="Hyperlink"/>
          </w:rPr>
          <w:t xml:space="preserve">https://doi.org/10.1177/0267658310386439</w:t>
        </w:r>
      </w:hyperlink>
      <w:r>
        <w:t xml:space="preserve">.</w:t>
      </w:r>
    </w:p>
    <w:bookmarkEnd w:id="299"/>
    <w:bookmarkStart w:id="301" w:name="ref-rothman2015"/>
    <w:p>
      <w:pPr>
        <w:pStyle w:val="Bibliography"/>
      </w:pPr>
      <w:r>
        <w:t xml:space="preserve">Rothman, Jason. 2015.</w:t>
      </w:r>
      <w:r>
        <w:t xml:space="preserve"> </w:t>
      </w:r>
      <w:r>
        <w:t xml:space="preserve">“Linguistic and Cognitive Motivations for the</w:t>
      </w:r>
      <w:r>
        <w:t xml:space="preserve"> </w:t>
      </w:r>
      <w:r>
        <w:t xml:space="preserve">Typological Primacy Model</w:t>
      </w:r>
      <w:r>
        <w:t xml:space="preserve"> </w:t>
      </w:r>
      <w:r>
        <w:t xml:space="preserve">(</w:t>
      </w:r>
      <w:r>
        <w:t xml:space="preserve">TPM</w:t>
      </w:r>
      <w:r>
        <w:t xml:space="preserve">) of Third Language (</w:t>
      </w:r>
      <w:r>
        <w:t xml:space="preserve">L3</w:t>
      </w:r>
      <w:r>
        <w:t xml:space="preserve">) Transfer: Timing of Acquisition and Proficiency Considered.”</w:t>
      </w:r>
      <w:r>
        <w:t xml:space="preserve"> </w:t>
      </w:r>
      <w:r>
        <w:rPr>
          <w:i/>
          <w:iCs/>
        </w:rPr>
        <w:t xml:space="preserve">Bilingualism: Language and Cognition</w:t>
      </w:r>
      <w:r>
        <w:t xml:space="preserve"> </w:t>
      </w:r>
      <w:r>
        <w:t xml:space="preserve">18 (2): 179–90.</w:t>
      </w:r>
      <w:r>
        <w:t xml:space="preserve"> </w:t>
      </w:r>
      <w:hyperlink r:id="rId300">
        <w:r>
          <w:rPr>
            <w:rStyle w:val="Hyperlink"/>
          </w:rPr>
          <w:t xml:space="preserve">https://doi.org/10.1017/S136672891300059X</w:t>
        </w:r>
      </w:hyperlink>
      <w:r>
        <w:t xml:space="preserve">.</w:t>
      </w:r>
    </w:p>
    <w:bookmarkEnd w:id="301"/>
    <w:bookmarkStart w:id="303" w:name="ref-rothmanalemanbanon2015"/>
    <w:p>
      <w:pPr>
        <w:pStyle w:val="Bibliography"/>
      </w:pPr>
      <w:r>
        <w:t xml:space="preserve">Rothman, Jason, José Alemán Bañón, and Jorge González Alonso. 2015.</w:t>
      </w:r>
      <w:r>
        <w:t xml:space="preserve"> </w:t>
      </w:r>
      <w:r>
        <w:t xml:space="preserve">“Neurolinguistic Measures of Typological Effects in Multilingual Transfer: Introducing an</w:t>
      </w:r>
      <w:r>
        <w:t xml:space="preserve"> </w:t>
      </w:r>
      <w:r>
        <w:t xml:space="preserve">ERP</w:t>
      </w:r>
      <w:r>
        <w:t xml:space="preserve"> </w:t>
      </w:r>
      <w:r>
        <w:t xml:space="preserve">Methodology.”</w:t>
      </w:r>
      <w:r>
        <w:t xml:space="preserve"> </w:t>
      </w:r>
      <w:r>
        <w:rPr>
          <w:i/>
          <w:iCs/>
        </w:rPr>
        <w:t xml:space="preserve">Frontiers in Psychology</w:t>
      </w:r>
      <w:r>
        <w:t xml:space="preserve"> </w:t>
      </w:r>
      <w:r>
        <w:t xml:space="preserve">6: 1087.</w:t>
      </w:r>
      <w:r>
        <w:t xml:space="preserve"> </w:t>
      </w:r>
      <w:hyperlink r:id="rId302">
        <w:r>
          <w:rPr>
            <w:rStyle w:val="Hyperlink"/>
          </w:rPr>
          <w:t xml:space="preserve">https://doi.org/10.3389/fpsyg.2015.01087</w:t>
        </w:r>
      </w:hyperlink>
      <w:r>
        <w:t xml:space="preserve">.</w:t>
      </w:r>
    </w:p>
    <w:bookmarkEnd w:id="303"/>
    <w:bookmarkStart w:id="305" w:name="ref-rothman2019"/>
    <w:p>
      <w:pPr>
        <w:pStyle w:val="Bibliography"/>
      </w:pPr>
      <w:r>
        <w:t xml:space="preserve">Rothman, Jason, Jorge González Alonso, and Eloi Puig-Mayenco. 2019.</w:t>
      </w:r>
      <w:r>
        <w:t xml:space="preserve"> </w:t>
      </w:r>
      <w:r>
        <w:rPr>
          <w:i/>
          <w:iCs/>
        </w:rPr>
        <w:t xml:space="preserve">Third Language Acquisition and Linguistic Transfer</w:t>
      </w:r>
      <w:r>
        <w:t xml:space="preserve">. Cambridge University Press.</w:t>
      </w:r>
      <w:r>
        <w:t xml:space="preserve"> </w:t>
      </w:r>
      <w:hyperlink r:id="rId304">
        <w:r>
          <w:rPr>
            <w:rStyle w:val="Hyperlink"/>
          </w:rPr>
          <w:t xml:space="preserve">https://doi.org/10.1017/9781316014660</w:t>
        </w:r>
      </w:hyperlink>
      <w:r>
        <w:t xml:space="preserve">.</w:t>
      </w:r>
    </w:p>
    <w:bookmarkEnd w:id="305"/>
    <w:bookmarkStart w:id="307" w:name="ref-rubin2021"/>
    <w:p>
      <w:pPr>
        <w:pStyle w:val="Bibliography"/>
      </w:pPr>
      <w:r>
        <w:t xml:space="preserve">Rubin, Mark. 2021.</w:t>
      </w:r>
      <w:r>
        <w:t xml:space="preserve"> </w:t>
      </w:r>
      <w:r>
        <w:t xml:space="preserve">“When to Adjust Alpha During Multiple Testing: A Consideration of Disjunction, Conjunction, and Individual Testing.”</w:t>
      </w:r>
      <w:r>
        <w:t xml:space="preserve"> </w:t>
      </w:r>
      <w:r>
        <w:rPr>
          <w:i/>
          <w:iCs/>
        </w:rPr>
        <w:t xml:space="preserve">Synthese</w:t>
      </w:r>
      <w:r>
        <w:t xml:space="preserve"> </w:t>
      </w:r>
      <w:r>
        <w:t xml:space="preserve">199 (3-4): 10969–1000.</w:t>
      </w:r>
      <w:r>
        <w:t xml:space="preserve"> </w:t>
      </w:r>
      <w:hyperlink r:id="rId306">
        <w:r>
          <w:rPr>
            <w:rStyle w:val="Hyperlink"/>
          </w:rPr>
          <w:t xml:space="preserve">https://doi.org/10.1007/s11229-021-03276-4</w:t>
        </w:r>
      </w:hyperlink>
      <w:r>
        <w:t xml:space="preserve">.</w:t>
      </w:r>
    </w:p>
    <w:bookmarkEnd w:id="307"/>
    <w:bookmarkStart w:id="309" w:name="ref-sassenhagen2019cluster"/>
    <w:p>
      <w:pPr>
        <w:pStyle w:val="Bibliography"/>
      </w:pPr>
      <w:r>
        <w:t xml:space="preserve">Sassenhagen, Jona, and Dejan Draschkow. 2019.</w:t>
      </w:r>
      <w:r>
        <w:t xml:space="preserve"> </w:t>
      </w:r>
      <w:r>
        <w:t xml:space="preserve">“Cluster-Based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 </w:t>
      </w:r>
      <w:r>
        <w:t xml:space="preserve">56 (6): e13335.</w:t>
      </w:r>
      <w:r>
        <w:t xml:space="preserve"> </w:t>
      </w:r>
      <w:hyperlink r:id="rId308">
        <w:r>
          <w:rPr>
            <w:rStyle w:val="Hyperlink"/>
          </w:rPr>
          <w:t xml:space="preserve">https://doi.org/10.1111/psyp.13335</w:t>
        </w:r>
      </w:hyperlink>
      <w:r>
        <w:t xml:space="preserve">.</w:t>
      </w:r>
    </w:p>
    <w:bookmarkEnd w:id="309"/>
    <w:bookmarkStart w:id="311" w:name="ref-sassenhagen2019"/>
    <w:p>
      <w:pPr>
        <w:pStyle w:val="Bibliography"/>
      </w:pPr>
      <w:r>
        <w:t xml:space="preserve">Sassenhagen, Jona, and Christian J. Fiebach. 2019.</w:t>
      </w:r>
      <w:r>
        <w:t xml:space="preserve"> </w:t>
      </w:r>
      <w:r>
        <w:t xml:space="preserve">“Finding the</w:t>
      </w:r>
      <w:r>
        <w:t xml:space="preserve"> </w:t>
      </w:r>
      <w:r>
        <w:t xml:space="preserve">P3</w:t>
      </w:r>
      <w:r>
        <w:t xml:space="preserve"> </w:t>
      </w:r>
      <w:r>
        <w:t xml:space="preserve">in the</w:t>
      </w:r>
      <w:r>
        <w:t xml:space="preserve"> </w:t>
      </w:r>
      <w:r>
        <w:t xml:space="preserve">P600</w:t>
      </w:r>
      <w:r>
        <w:t xml:space="preserve">: Decoding Shared Neural Mechanisms of Responses to Syntactic Violations and Oddball Targets.”</w:t>
      </w:r>
      <w:r>
        <w:t xml:space="preserve"> </w:t>
      </w:r>
      <w:r>
        <w:rPr>
          <w:i/>
          <w:iCs/>
        </w:rPr>
        <w:t xml:space="preserve">NeuroImage</w:t>
      </w:r>
      <w:r>
        <w:t xml:space="preserve"> </w:t>
      </w:r>
      <w:r>
        <w:t xml:space="preserve">200: 425–36.</w:t>
      </w:r>
      <w:r>
        <w:t xml:space="preserve"> </w:t>
      </w:r>
      <w:hyperlink r:id="rId310">
        <w:r>
          <w:rPr>
            <w:rStyle w:val="Hyperlink"/>
          </w:rPr>
          <w:t xml:space="preserve">https://doi.org/10.1016/j.neuroimage.2019.06.048</w:t>
        </w:r>
      </w:hyperlink>
      <w:r>
        <w:t xml:space="preserve">.</w:t>
      </w:r>
    </w:p>
    <w:bookmarkEnd w:id="311"/>
    <w:bookmarkStart w:id="313" w:name="ref-schad2021"/>
    <w:p>
      <w:pPr>
        <w:pStyle w:val="Bibliography"/>
      </w:pPr>
      <w:r>
        <w:t xml:space="preserve">Schad, Daniel J., Michael Betancourt, and Shravan Vasishth. 2021.</w:t>
      </w:r>
      <w:r>
        <w:t xml:space="preserve"> </w:t>
      </w:r>
      <w:r>
        <w:t xml:space="preserve">“Toward a Principled</w:t>
      </w:r>
      <w:r>
        <w:t xml:space="preserve"> </w:t>
      </w:r>
      <w:r>
        <w:t xml:space="preserve">Bayesian</w:t>
      </w:r>
      <w:r>
        <w:t xml:space="preserve"> </w:t>
      </w:r>
      <w:r>
        <w:t xml:space="preserve">Workflow in Cognitive Science.”</w:t>
      </w:r>
      <w:r>
        <w:t xml:space="preserve"> </w:t>
      </w:r>
      <w:r>
        <w:rPr>
          <w:i/>
          <w:iCs/>
        </w:rPr>
        <w:t xml:space="preserve">Psychological Methods</w:t>
      </w:r>
      <w:r>
        <w:t xml:space="preserve"> </w:t>
      </w:r>
      <w:r>
        <w:t xml:space="preserve">26 (1): 103–26.</w:t>
      </w:r>
      <w:r>
        <w:t xml:space="preserve"> </w:t>
      </w:r>
      <w:hyperlink r:id="rId312">
        <w:r>
          <w:rPr>
            <w:rStyle w:val="Hyperlink"/>
          </w:rPr>
          <w:t xml:space="preserve">https://doi.org/10.1037/met0000275</w:t>
        </w:r>
      </w:hyperlink>
      <w:r>
        <w:t xml:space="preserve">.</w:t>
      </w:r>
    </w:p>
    <w:bookmarkEnd w:id="313"/>
    <w:bookmarkStart w:id="315" w:name="ref-schielzeth2010"/>
    <w:p>
      <w:pPr>
        <w:pStyle w:val="Bibliography"/>
      </w:pPr>
      <w:r>
        <w:t xml:space="preserve">Schielzeth, Holger. 2010.</w:t>
      </w:r>
      <w:r>
        <w:t xml:space="preserve"> </w:t>
      </w:r>
      <w:r>
        <w:t xml:space="preserve">“Simple Means to Improve the Interpretability of Regression Coefficients.”</w:t>
      </w:r>
      <w:r>
        <w:t xml:space="preserve"> </w:t>
      </w:r>
      <w:r>
        <w:rPr>
          <w:i/>
          <w:iCs/>
        </w:rPr>
        <w:t xml:space="preserve">Methods in Ecology and Evolution</w:t>
      </w:r>
      <w:r>
        <w:t xml:space="preserve"> </w:t>
      </w:r>
      <w:r>
        <w:t xml:space="preserve">1 (2): 103–13.</w:t>
      </w:r>
      <w:r>
        <w:t xml:space="preserve"> </w:t>
      </w:r>
      <w:hyperlink r:id="rId314">
        <w:r>
          <w:rPr>
            <w:rStyle w:val="Hyperlink"/>
          </w:rPr>
          <w:t xml:space="preserve">https://doi.org/10.1111/j.2041-210X.2010.00012.x</w:t>
        </w:r>
      </w:hyperlink>
      <w:r>
        <w:t xml:space="preserve">.</w:t>
      </w:r>
    </w:p>
    <w:bookmarkEnd w:id="315"/>
    <w:bookmarkStart w:id="317" w:name="ref-schwartzsprouse2021"/>
    <w:p>
      <w:pPr>
        <w:pStyle w:val="Bibliography"/>
      </w:pPr>
      <w:r>
        <w:t xml:space="preserve">Schwartz, Bonnie D., and Rex A. Sprouse. 2021.</w:t>
      </w:r>
      <w:r>
        <w:t xml:space="preserve"> </w:t>
      </w:r>
      <w:r>
        <w:t xml:space="preserve">“The</w:t>
      </w:r>
      <w:r>
        <w:t xml:space="preserve"> </w:t>
      </w:r>
      <w:r>
        <w:t xml:space="preserve">Full Transfer/Full Access</w:t>
      </w:r>
      <w:r>
        <w:t xml:space="preserve"> </w:t>
      </w:r>
      <w:r>
        <w:t xml:space="preserve">Model and</w:t>
      </w:r>
      <w:r>
        <w:t xml:space="preserve"> </w:t>
      </w:r>
      <w:r>
        <w:t xml:space="preserve">L3</w:t>
      </w:r>
      <w:r>
        <w:t xml:space="preserve"> </w:t>
      </w:r>
      <w:r>
        <w:t xml:space="preserve">Cognitive States.”</w:t>
      </w:r>
      <w:r>
        <w:t xml:space="preserve"> </w:t>
      </w:r>
      <w:r>
        <w:rPr>
          <w:i/>
          <w:iCs/>
        </w:rPr>
        <w:t xml:space="preserve">Linguistic Approaches to Bilingualism</w:t>
      </w:r>
      <w:r>
        <w:t xml:space="preserve"> </w:t>
      </w:r>
      <w:r>
        <w:t xml:space="preserve">11 (1): 1–29.</w:t>
      </w:r>
      <w:r>
        <w:t xml:space="preserve"> </w:t>
      </w:r>
      <w:hyperlink r:id="rId316">
        <w:r>
          <w:rPr>
            <w:rStyle w:val="Hyperlink"/>
          </w:rPr>
          <w:t xml:space="preserve">https://doi.org/10.1075/lab.20055.sch</w:t>
        </w:r>
      </w:hyperlink>
      <w:r>
        <w:t xml:space="preserve">.</w:t>
      </w:r>
    </w:p>
    <w:bookmarkEnd w:id="317"/>
    <w:bookmarkStart w:id="319" w:name="ref-silva2017"/>
    <w:p>
      <w:pPr>
        <w:pStyle w:val="Bibliography"/>
      </w:pPr>
      <w:r>
        <w:t xml:space="preserve">Silva, Susana, Vasiliki Folia, Peter Hagoort, and Karl Magnus Petersson. 2017.</w:t>
      </w:r>
      <w:r>
        <w:t xml:space="preserve"> </w:t>
      </w:r>
      <w:r>
        <w:t xml:space="preserve">“The</w:t>
      </w:r>
      <w:r>
        <w:t xml:space="preserve"> </w:t>
      </w:r>
      <w:r>
        <w:t xml:space="preserve">P600</w:t>
      </w:r>
      <w:r>
        <w:t xml:space="preserve"> </w:t>
      </w:r>
      <w:r>
        <w:t xml:space="preserve">in Implicit Artificial Grammar Learning.”</w:t>
      </w:r>
      <w:r>
        <w:t xml:space="preserve"> </w:t>
      </w:r>
      <w:r>
        <w:rPr>
          <w:i/>
          <w:iCs/>
        </w:rPr>
        <w:t xml:space="preserve">Cognitive Science</w:t>
      </w:r>
      <w:r>
        <w:t xml:space="preserve"> </w:t>
      </w:r>
      <w:r>
        <w:t xml:space="preserve">41 (1): 137–57.</w:t>
      </w:r>
      <w:r>
        <w:t xml:space="preserve"> </w:t>
      </w:r>
      <w:hyperlink r:id="rId318">
        <w:r>
          <w:rPr>
            <w:rStyle w:val="Hyperlink"/>
          </w:rPr>
          <w:t xml:space="preserve">https://doi.org/10.1111/cogs.12343</w:t>
        </w:r>
      </w:hyperlink>
      <w:r>
        <w:t xml:space="preserve">.</w:t>
      </w:r>
    </w:p>
    <w:bookmarkEnd w:id="319"/>
    <w:bookmarkStart w:id="321" w:name="ref-skalba2026"/>
    <w:p>
      <w:pPr>
        <w:pStyle w:val="Bibliography"/>
      </w:pPr>
      <w:r>
        <w:t xml:space="preserve">Skałba, Anna, Sylwiusz Żychliński, and Magdalena Wrembel. 2026.</w:t>
      </w:r>
      <w:r>
        <w:t xml:space="preserve"> </w:t>
      </w:r>
      <w:r>
        <w:t xml:space="preserve">“Selective Cross-Linguistic Influence in</w:t>
      </w:r>
      <w:r>
        <w:t xml:space="preserve"> </w:t>
      </w:r>
      <w:r>
        <w:t xml:space="preserve">L3</w:t>
      </w:r>
      <w:r>
        <w:t xml:space="preserve"> </w:t>
      </w:r>
      <w:r>
        <w:t xml:space="preserve">Acquisition Ab Initio: An Eye-Tracking Study.”</w:t>
      </w:r>
      <w:r>
        <w:t xml:space="preserve"> </w:t>
      </w:r>
      <w:r>
        <w:rPr>
          <w:i/>
          <w:iCs/>
        </w:rPr>
        <w:t xml:space="preserve">Second Language Research</w:t>
      </w:r>
      <w:r>
        <w:t xml:space="preserve">, Advance online publication.</w:t>
      </w:r>
      <w:r>
        <w:t xml:space="preserve"> </w:t>
      </w:r>
      <w:hyperlink r:id="rId320">
        <w:r>
          <w:rPr>
            <w:rStyle w:val="Hyperlink"/>
          </w:rPr>
          <w:t xml:space="preserve">https://doi.org/10.1177/02676583261426778</w:t>
        </w:r>
      </w:hyperlink>
      <w:r>
        <w:t xml:space="preserve">.</w:t>
      </w:r>
    </w:p>
    <w:bookmarkEnd w:id="321"/>
    <w:bookmarkStart w:id="323" w:name="ref-slabakova2017"/>
    <w:p>
      <w:pPr>
        <w:pStyle w:val="Bibliography"/>
      </w:pPr>
      <w:r>
        <w:t xml:space="preserve">Slabakova, Roumyana. 2017.</w:t>
      </w:r>
      <w:r>
        <w:t xml:space="preserve"> </w:t>
      </w:r>
      <w:r>
        <w:t xml:space="preserve">“The Scalpel Model of Third Language Acquisition.”</w:t>
      </w:r>
      <w:r>
        <w:t xml:space="preserve"> </w:t>
      </w:r>
      <w:r>
        <w:rPr>
          <w:i/>
          <w:iCs/>
        </w:rPr>
        <w:t xml:space="preserve">International Journal of Bilingualism</w:t>
      </w:r>
      <w:r>
        <w:t xml:space="preserve"> </w:t>
      </w:r>
      <w:r>
        <w:t xml:space="preserve">21 (6): 651–65.</w:t>
      </w:r>
      <w:r>
        <w:t xml:space="preserve"> </w:t>
      </w:r>
      <w:hyperlink r:id="rId322">
        <w:r>
          <w:rPr>
            <w:rStyle w:val="Hyperlink"/>
          </w:rPr>
          <w:t xml:space="preserve">https://doi.org/10.1177/1367006916655413</w:t>
        </w:r>
      </w:hyperlink>
      <w:r>
        <w:t xml:space="preserve">.</w:t>
      </w:r>
    </w:p>
    <w:bookmarkEnd w:id="323"/>
    <w:bookmarkStart w:id="325" w:name="ref-tamminen2015"/>
    <w:p>
      <w:pPr>
        <w:pStyle w:val="Bibliography"/>
      </w:pPr>
      <w:r>
        <w:t xml:space="preserve">Tamminen, Jakke, Matthew H. Davis, and Kathleen Rastle. 2015.</w:t>
      </w:r>
      <w:r>
        <w:t xml:space="preserve"> </w:t>
      </w:r>
      <w:r>
        <w:t xml:space="preserve">“From Specific Examples to General Knowledge in Language Learning.”</w:t>
      </w:r>
      <w:r>
        <w:t xml:space="preserve"> </w:t>
      </w:r>
      <w:r>
        <w:rPr>
          <w:i/>
          <w:iCs/>
        </w:rPr>
        <w:t xml:space="preserve">Cognitive Psychology</w:t>
      </w:r>
      <w:r>
        <w:t xml:space="preserve"> </w:t>
      </w:r>
      <w:r>
        <w:t xml:space="preserve">79: 1–39.</w:t>
      </w:r>
      <w:r>
        <w:t xml:space="preserve"> </w:t>
      </w:r>
      <w:hyperlink r:id="rId324">
        <w:r>
          <w:rPr>
            <w:rStyle w:val="Hyperlink"/>
          </w:rPr>
          <w:t xml:space="preserve">https://doi.org/10.1016/j.cogpsych.2015.03.003</w:t>
        </w:r>
      </w:hyperlink>
      <w:r>
        <w:t xml:space="preserve">.</w:t>
      </w:r>
    </w:p>
    <w:bookmarkEnd w:id="325"/>
    <w:bookmarkStart w:id="327" w:name="ref-tanner2013"/>
    <w:p>
      <w:pPr>
        <w:pStyle w:val="Bibliography"/>
      </w:pPr>
      <w:r>
        <w:t xml:space="preserve">Tanner, Darren, Judith McLaughlin, Julia Herschensohn, and Lee Osterhout. 2013.</w:t>
      </w:r>
      <w:r>
        <w:t xml:space="preserve"> </w:t>
      </w:r>
      <w:r>
        <w:t xml:space="preserve">“Individual Differences Reveal Stages of</w:t>
      </w:r>
      <w:r>
        <w:t xml:space="preserve"> </w:t>
      </w:r>
      <w:r>
        <w:t xml:space="preserve">L2</w:t>
      </w:r>
      <w:r>
        <w:t xml:space="preserve"> </w:t>
      </w:r>
      <w:r>
        <w:t xml:space="preserve">Grammatical Acquisition:</w:t>
      </w:r>
      <w:r>
        <w:t xml:space="preserve"> </w:t>
      </w:r>
      <w:r>
        <w:t xml:space="preserve">ERP</w:t>
      </w:r>
      <w:r>
        <w:t xml:space="preserve"> </w:t>
      </w:r>
      <w:r>
        <w:t xml:space="preserve">Evidence.”</w:t>
      </w:r>
      <w:r>
        <w:t xml:space="preserve"> </w:t>
      </w:r>
      <w:r>
        <w:rPr>
          <w:i/>
          <w:iCs/>
        </w:rPr>
        <w:t xml:space="preserve">Bilingualism: Language and Cognition</w:t>
      </w:r>
      <w:r>
        <w:t xml:space="preserve"> </w:t>
      </w:r>
      <w:r>
        <w:t xml:space="preserve">16 (2): 367–82.</w:t>
      </w:r>
      <w:r>
        <w:t xml:space="preserve"> </w:t>
      </w:r>
      <w:hyperlink r:id="rId326">
        <w:r>
          <w:rPr>
            <w:rStyle w:val="Hyperlink"/>
          </w:rPr>
          <w:t xml:space="preserve">https://doi.org/10.1017/S1366728912000302</w:t>
        </w:r>
      </w:hyperlink>
      <w:r>
        <w:t xml:space="preserve">.</w:t>
      </w:r>
    </w:p>
    <w:bookmarkEnd w:id="327"/>
    <w:bookmarkStart w:id="329" w:name="ref-tanner2015"/>
    <w:p>
      <w:pPr>
        <w:pStyle w:val="Bibliography"/>
      </w:pPr>
      <w:r>
        <w:t xml:space="preserve">Tanner, Darren, Kara Morgan-Short, and Steven J. Luck. 2015.</w:t>
      </w:r>
      <w:r>
        <w:t xml:space="preserve"> </w:t>
      </w:r>
      <w:r>
        <w:t xml:space="preserve">“How Inappropriate High-Pass Filters Can Produce Artifactual Effects and Incorrect Conclusions in</w:t>
      </w:r>
      <w:r>
        <w:t xml:space="preserve"> </w:t>
      </w:r>
      <w:r>
        <w:t xml:space="preserve">ERP</w:t>
      </w:r>
      <w:r>
        <w:t xml:space="preserve"> </w:t>
      </w:r>
      <w:r>
        <w:t xml:space="preserve">Studies of Language and Cognition.”</w:t>
      </w:r>
      <w:r>
        <w:t xml:space="preserve"> </w:t>
      </w:r>
      <w:r>
        <w:rPr>
          <w:i/>
          <w:iCs/>
        </w:rPr>
        <w:t xml:space="preserve">Psychophysiology</w:t>
      </w:r>
      <w:r>
        <w:t xml:space="preserve"> </w:t>
      </w:r>
      <w:r>
        <w:t xml:space="preserve">52 (8): 997–1009.</w:t>
      </w:r>
      <w:r>
        <w:t xml:space="preserve"> </w:t>
      </w:r>
      <w:hyperlink r:id="rId328">
        <w:r>
          <w:rPr>
            <w:rStyle w:val="Hyperlink"/>
          </w:rPr>
          <w:t xml:space="preserve">https://doi.org/10.1111/psyp.12437</w:t>
        </w:r>
      </w:hyperlink>
      <w:r>
        <w:t xml:space="preserve">.</w:t>
      </w:r>
    </w:p>
    <w:bookmarkEnd w:id="329"/>
    <w:bookmarkStart w:id="331" w:name="ref-tanner2014"/>
    <w:p>
      <w:pPr>
        <w:pStyle w:val="Bibliography"/>
      </w:pPr>
      <w:r>
        <w:t xml:space="preserve">Tanner, Darren, and Janet G. Van Hell. 2014.</w:t>
      </w:r>
      <w:r>
        <w:t xml:space="preserve"> </w:t>
      </w:r>
      <w:r>
        <w:t xml:space="preserve">“</w:t>
      </w:r>
      <w:r>
        <w:t xml:space="preserve">ERPs</w:t>
      </w:r>
      <w:r>
        <w:t xml:space="preserve"> </w:t>
      </w:r>
      <w:r>
        <w:t xml:space="preserve">Reveal Individual Differences in Morphosyntactic Processing.”</w:t>
      </w:r>
      <w:r>
        <w:t xml:space="preserve"> </w:t>
      </w:r>
      <w:r>
        <w:rPr>
          <w:i/>
          <w:iCs/>
        </w:rPr>
        <w:t xml:space="preserve">Neuropsychologia</w:t>
      </w:r>
      <w:r>
        <w:t xml:space="preserve"> </w:t>
      </w:r>
      <w:r>
        <w:t xml:space="preserve">56: 289–301.</w:t>
      </w:r>
      <w:r>
        <w:t xml:space="preserve"> </w:t>
      </w:r>
      <w:hyperlink r:id="rId330">
        <w:r>
          <w:rPr>
            <w:rStyle w:val="Hyperlink"/>
          </w:rPr>
          <w:t xml:space="preserve">https://doi.org/10.1016/j.neuropsychologia.2014.02.002</w:t>
        </w:r>
      </w:hyperlink>
      <w:r>
        <w:t xml:space="preserve">.</w:t>
      </w:r>
    </w:p>
    <w:bookmarkEnd w:id="331"/>
    <w:bookmarkStart w:id="333" w:name="ref-teichmann2022"/>
    <w:p>
      <w:pPr>
        <w:pStyle w:val="Bibliography"/>
      </w:pPr>
      <w:r>
        <w:t xml:space="preserve">Teichmann, Lina. 2022.</w:t>
      </w:r>
      <w:r>
        <w:t xml:space="preserve"> </w:t>
      </w:r>
      <w:r>
        <w:t xml:space="preserve">“An Empirically Driven Guide on Using</w:t>
      </w:r>
      <w:r>
        <w:t xml:space="preserve"> </w:t>
      </w:r>
      <w:r>
        <w:t xml:space="preserve">Bayes</w:t>
      </w:r>
      <w:r>
        <w:t xml:space="preserve"> </w:t>
      </w:r>
      <w:r>
        <w:t xml:space="preserve">Factors for</w:t>
      </w:r>
      <w:r>
        <w:t xml:space="preserve"> </w:t>
      </w:r>
      <w:r>
        <w:t xml:space="preserve">M/EEG</w:t>
      </w:r>
      <w:r>
        <w:t xml:space="preserve"> </w:t>
      </w:r>
      <w:r>
        <w:t xml:space="preserve">Decoding.”</w:t>
      </w:r>
      <w:r>
        <w:t xml:space="preserve"> </w:t>
      </w:r>
      <w:r>
        <w:rPr>
          <w:i/>
          <w:iCs/>
        </w:rPr>
        <w:t xml:space="preserve">Aperture Neuro</w:t>
      </w:r>
      <w:r>
        <w:t xml:space="preserve"> </w:t>
      </w:r>
      <w:r>
        <w:t xml:space="preserve">2: 1–10.</w:t>
      </w:r>
      <w:r>
        <w:t xml:space="preserve"> </w:t>
      </w:r>
      <w:hyperlink r:id="rId332">
        <w:r>
          <w:rPr>
            <w:rStyle w:val="Hyperlink"/>
          </w:rPr>
          <w:t xml:space="preserve">https://doi.org/10.52294/apertureneuro.2022.2.maoc6465</w:t>
        </w:r>
      </w:hyperlink>
      <w:r>
        <w:t xml:space="preserve">.</w:t>
      </w:r>
    </w:p>
    <w:bookmarkEnd w:id="333"/>
    <w:bookmarkStart w:id="335" w:name="ref-vandeschoot2021"/>
    <w:p>
      <w:pPr>
        <w:pStyle w:val="Bibliography"/>
      </w:pPr>
      <w:r>
        <w:t xml:space="preserve">van de Schoot, Rens, Sarah Depaoli, Ruth King, et al.</w:t>
      </w:r>
      <w:r>
        <w:t xml:space="preserve"> 2021.</w:t>
      </w:r>
      <w:r>
        <w:t xml:space="preserve"> </w:t>
      </w:r>
      <w:r>
        <w:t xml:space="preserve">“</w:t>
      </w:r>
      <w:r>
        <w:t xml:space="preserve">Bayesian</w:t>
      </w:r>
      <w:r>
        <w:t xml:space="preserve"> </w:t>
      </w:r>
      <w:r>
        <w:t xml:space="preserve">Statistics and Modelling.”</w:t>
      </w:r>
      <w:r>
        <w:t xml:space="preserve"> </w:t>
      </w:r>
      <w:r>
        <w:rPr>
          <w:i/>
          <w:iCs/>
        </w:rPr>
        <w:t xml:space="preserve">Nature Reviews Methods Primers</w:t>
      </w:r>
      <w:r>
        <w:t xml:space="preserve"> </w:t>
      </w:r>
      <w:r>
        <w:t xml:space="preserve">1 (1): 1.</w:t>
      </w:r>
      <w:r>
        <w:t xml:space="preserve"> </w:t>
      </w:r>
      <w:hyperlink r:id="rId334">
        <w:r>
          <w:rPr>
            <w:rStyle w:val="Hyperlink"/>
          </w:rPr>
          <w:t xml:space="preserve">https://doi.org/10.1038/s43586-020-00001-2</w:t>
        </w:r>
      </w:hyperlink>
      <w:r>
        <w:t xml:space="preserve">.</w:t>
      </w:r>
    </w:p>
    <w:bookmarkEnd w:id="335"/>
    <w:bookmarkStart w:id="337" w:name="ref-varoquaux2018"/>
    <w:p>
      <w:pPr>
        <w:pStyle w:val="Bibliography"/>
      </w:pPr>
      <w:r>
        <w:t xml:space="preserve">Varoquaux, Gaël. 2018.</w:t>
      </w:r>
      <w:r>
        <w:t xml:space="preserve"> </w:t>
      </w:r>
      <w:r>
        <w:t xml:space="preserve">“Cross-Validation Failure: Small Sample Sizes Lead to Large Error Bars.”</w:t>
      </w:r>
      <w:r>
        <w:t xml:space="preserve"> </w:t>
      </w:r>
      <w:r>
        <w:rPr>
          <w:i/>
          <w:iCs/>
        </w:rPr>
        <w:t xml:space="preserve">NeuroImage</w:t>
      </w:r>
      <w:r>
        <w:t xml:space="preserve"> </w:t>
      </w:r>
      <w:r>
        <w:t xml:space="preserve">180: 68–77.</w:t>
      </w:r>
      <w:r>
        <w:t xml:space="preserve"> </w:t>
      </w:r>
      <w:hyperlink r:id="rId336">
        <w:r>
          <w:rPr>
            <w:rStyle w:val="Hyperlink"/>
          </w:rPr>
          <w:t xml:space="preserve">https://doi.org/10.1016/j.neuroimage.2017.06.061</w:t>
        </w:r>
      </w:hyperlink>
      <w:r>
        <w:t xml:space="preserve">.</w:t>
      </w:r>
    </w:p>
    <w:bookmarkEnd w:id="337"/>
    <w:bookmarkStart w:id="339" w:name="ref-varoquaux2017"/>
    <w:p>
      <w:pPr>
        <w:pStyle w:val="Bibliography"/>
      </w:pPr>
      <w:r>
        <w:t xml:space="preserve">Varoquaux, Gaël, Pradeep Reddy Raamana, Denis A. Engemann, Andrés Hoyos-Idrobo, Yannick Schwartz, and Bertrand Thirion. 2017.</w:t>
      </w:r>
      <w:r>
        <w:t xml:space="preserve"> </w:t>
      </w:r>
      <w:r>
        <w:t xml:space="preserve">“Assessing and Tuning Brain Decoders: Cross-Validation, Caveats, and Guidelines.”</w:t>
      </w:r>
      <w:r>
        <w:t xml:space="preserve"> </w:t>
      </w:r>
      <w:r>
        <w:rPr>
          <w:i/>
          <w:iCs/>
        </w:rPr>
        <w:t xml:space="preserve">NeuroImage</w:t>
      </w:r>
      <w:r>
        <w:t xml:space="preserve"> </w:t>
      </w:r>
      <w:r>
        <w:t xml:space="preserve">145: 166–79.</w:t>
      </w:r>
      <w:r>
        <w:t xml:space="preserve"> </w:t>
      </w:r>
      <w:hyperlink r:id="rId338">
        <w:r>
          <w:rPr>
            <w:rStyle w:val="Hyperlink"/>
          </w:rPr>
          <w:t xml:space="preserve">https://doi.org/10.1016/j.neuroimage.2016.10.038</w:t>
        </w:r>
      </w:hyperlink>
      <w:r>
        <w:t xml:space="preserve">.</w:t>
      </w:r>
    </w:p>
    <w:bookmarkEnd w:id="339"/>
    <w:bookmarkStart w:id="341" w:name="ref-vasishth2018"/>
    <w:p>
      <w:pPr>
        <w:pStyle w:val="Bibliography"/>
      </w:pPr>
      <w:r>
        <w:t xml:space="preserve">Vasishth, Shravan, Daniela Mertzen, Lena A. Jäger, and Andrew Gelman. 2018.</w:t>
      </w:r>
      <w:r>
        <w:t xml:space="preserve"> </w:t>
      </w:r>
      <w:r>
        <w:t xml:space="preserve">“The Statistical Significance Filter Leads to Overoptimistic Expectations of Replicability.”</w:t>
      </w:r>
      <w:r>
        <w:t xml:space="preserve"> </w:t>
      </w:r>
      <w:r>
        <w:rPr>
          <w:i/>
          <w:iCs/>
        </w:rPr>
        <w:t xml:space="preserve">Journal of Memory and Language</w:t>
      </w:r>
      <w:r>
        <w:t xml:space="preserve"> </w:t>
      </w:r>
      <w:r>
        <w:t xml:space="preserve">103: 151–75.</w:t>
      </w:r>
      <w:r>
        <w:t xml:space="preserve"> </w:t>
      </w:r>
      <w:hyperlink r:id="rId340">
        <w:r>
          <w:rPr>
            <w:rStyle w:val="Hyperlink"/>
          </w:rPr>
          <w:t xml:space="preserve">https://doi.org/10.1016/j.jml.2018.07.004</w:t>
        </w:r>
      </w:hyperlink>
      <w:r>
        <w:t xml:space="preserve">.</w:t>
      </w:r>
    </w:p>
    <w:bookmarkEnd w:id="341"/>
    <w:bookmarkStart w:id="343" w:name="ref-vehtari2021"/>
    <w:p>
      <w:pPr>
        <w:pStyle w:val="Bibliography"/>
      </w:pPr>
      <w:r>
        <w:t xml:space="preserve">Vehtari, Aki, Andrew Gelman, Daniel Simpson, Bob Carpenter, and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(2): 667–718.</w:t>
      </w:r>
      <w:r>
        <w:t xml:space="preserve"> </w:t>
      </w:r>
      <w:hyperlink r:id="rId342">
        <w:r>
          <w:rPr>
            <w:rStyle w:val="Hyperlink"/>
          </w:rPr>
          <w:t xml:space="preserve">https://doi.org/10.1214/20-BA1221</w:t>
        </w:r>
      </w:hyperlink>
      <w:r>
        <w:t xml:space="preserve">.</w:t>
      </w:r>
    </w:p>
    <w:bookmarkEnd w:id="343"/>
    <w:bookmarkStart w:id="345" w:name="ref-volpertesmond2021"/>
    <w:p>
      <w:pPr>
        <w:pStyle w:val="Bibliography"/>
      </w:pPr>
      <w:r>
        <w:t xml:space="preserve">Volpert-Esmond, Hannah I., Elizabeth Page-Gould, and Bruce D. Bartholow. 2021.</w:t>
      </w:r>
      <w:r>
        <w:t xml:space="preserve"> </w:t>
      </w:r>
      <w:r>
        <w:t xml:space="preserve">“Using Multilevel Models for the Analysis of Event-Related Potentials.”</w:t>
      </w:r>
      <w:r>
        <w:t xml:space="preserve"> </w:t>
      </w:r>
      <w:r>
        <w:rPr>
          <w:i/>
          <w:iCs/>
        </w:rPr>
        <w:t xml:space="preserve">International Journal of Psychophysiology</w:t>
      </w:r>
      <w:r>
        <w:t xml:space="preserve"> </w:t>
      </w:r>
      <w:r>
        <w:t xml:space="preserve">162: 145–56.</w:t>
      </w:r>
      <w:r>
        <w:t xml:space="preserve"> </w:t>
      </w:r>
      <w:hyperlink r:id="rId344">
        <w:r>
          <w:rPr>
            <w:rStyle w:val="Hyperlink"/>
          </w:rPr>
          <w:t xml:space="preserve">https://doi.org/10.1016/j.ijpsycho.2021.02.006</w:t>
        </w:r>
      </w:hyperlink>
      <w:r>
        <w:t xml:space="preserve">.</w:t>
      </w:r>
    </w:p>
    <w:bookmarkEnd w:id="345"/>
    <w:bookmarkStart w:id="347" w:name="ref-wagenmakers2012"/>
    <w:p>
      <w:pPr>
        <w:pStyle w:val="Bibliography"/>
      </w:pPr>
      <w:r>
        <w:t xml:space="preserve">Wagenmakers, Eric-Jan, Ruud Wetzels, Denny Borsboom, Han L. J. van der Maas, and Rogier A. Kievit</w:t>
      </w:r>
      <w:r>
        <w:t xml:space="preserve">. 2012.</w:t>
      </w:r>
      <w:r>
        <w:t xml:space="preserve"> </w:t>
      </w:r>
      <w:r>
        <w:t xml:space="preserve">“An Agenda for Purely Confirmatory Research.”</w:t>
      </w:r>
      <w:r>
        <w:t xml:space="preserve"> </w:t>
      </w:r>
      <w:r>
        <w:rPr>
          <w:i/>
          <w:iCs/>
        </w:rPr>
        <w:t xml:space="preserve">Perspectives on Psychological Science</w:t>
      </w:r>
      <w:r>
        <w:t xml:space="preserve"> </w:t>
      </w:r>
      <w:r>
        <w:t xml:space="preserve">7 (6): 632–38.</w:t>
      </w:r>
      <w:r>
        <w:t xml:space="preserve"> </w:t>
      </w:r>
      <w:hyperlink r:id="rId346">
        <w:r>
          <w:rPr>
            <w:rStyle w:val="Hyperlink"/>
          </w:rPr>
          <w:t xml:space="preserve">https://doi.org/10.1177/1745691612463078</w:t>
        </w:r>
      </w:hyperlink>
      <w:r>
        <w:t xml:space="preserve">.</w:t>
      </w:r>
    </w:p>
    <w:bookmarkEnd w:id="347"/>
    <w:bookmarkStart w:id="349" w:name="ref-wang2024"/>
    <w:p>
      <w:pPr>
        <w:pStyle w:val="Bibliography"/>
      </w:pPr>
      <w:r>
        <w:t xml:space="preserve">Wang, Lin, and Gina R. Kuperberg. 2024.</w:t>
      </w:r>
      <w:r>
        <w:t xml:space="preserve"> </w:t>
      </w:r>
      <w:r>
        <w:t xml:space="preserve">“Better Together: Integrating Multivariate with Univariate Methods, and</w:t>
      </w:r>
      <w:r>
        <w:t xml:space="preserve"> </w:t>
      </w:r>
      <w:r>
        <w:t xml:space="preserve">MEG</w:t>
      </w:r>
      <w:r>
        <w:t xml:space="preserve"> </w:t>
      </w:r>
      <w:r>
        <w:t xml:space="preserve">with</w:t>
      </w:r>
      <w:r>
        <w:t xml:space="preserve"> </w:t>
      </w:r>
      <w:r>
        <w:t xml:space="preserve">EEG</w:t>
      </w:r>
      <w:r>
        <w:t xml:space="preserve"> </w:t>
      </w:r>
      <w:r>
        <w:t xml:space="preserve">to Study Language Comprehension.”</w:t>
      </w:r>
      <w:r>
        <w:t xml:space="preserve"> </w:t>
      </w:r>
      <w:r>
        <w:rPr>
          <w:i/>
          <w:iCs/>
        </w:rPr>
        <w:t xml:space="preserve">Language, Cognition and Neuroscience</w:t>
      </w:r>
      <w:r>
        <w:t xml:space="preserve"> </w:t>
      </w:r>
      <w:r>
        <w:t xml:space="preserve">39 (8): 991–1019.</w:t>
      </w:r>
      <w:r>
        <w:t xml:space="preserve"> </w:t>
      </w:r>
      <w:hyperlink r:id="rId348">
        <w:r>
          <w:rPr>
            <w:rStyle w:val="Hyperlink"/>
          </w:rPr>
          <w:t xml:space="preserve">https://doi.org/10.1080/23273798.2023.2223783</w:t>
        </w:r>
      </w:hyperlink>
      <w:r>
        <w:t xml:space="preserve">.</w:t>
      </w:r>
    </w:p>
    <w:bookmarkEnd w:id="349"/>
    <w:bookmarkStart w:id="351" w:name="ref-westergaard2021"/>
    <w:p>
      <w:pPr>
        <w:pStyle w:val="Bibliography"/>
      </w:pPr>
      <w:r>
        <w:t xml:space="preserve">Westergaard, Marit. 2021.</w:t>
      </w:r>
      <w:r>
        <w:t xml:space="preserve"> </w:t>
      </w:r>
      <w:r>
        <w:t xml:space="preserve">“Microvariation in Multilingual Situations: The Importance of Property-by-Property Acquisition.”</w:t>
      </w:r>
      <w:r>
        <w:t xml:space="preserve"> </w:t>
      </w:r>
      <w:r>
        <w:rPr>
          <w:i/>
          <w:iCs/>
        </w:rPr>
        <w:t xml:space="preserve">Second Language Research</w:t>
      </w:r>
      <w:r>
        <w:t xml:space="preserve"> </w:t>
      </w:r>
      <w:r>
        <w:t xml:space="preserve">37 (3): 379–407.</w:t>
      </w:r>
      <w:r>
        <w:t xml:space="preserve"> </w:t>
      </w:r>
      <w:hyperlink r:id="rId350">
        <w:r>
          <w:rPr>
            <w:rStyle w:val="Hyperlink"/>
          </w:rPr>
          <w:t xml:space="preserve">https://doi.org/10.1177/0267658319884116</w:t>
        </w:r>
      </w:hyperlink>
      <w:r>
        <w:t xml:space="preserve">.</w:t>
      </w:r>
    </w:p>
    <w:bookmarkEnd w:id="351"/>
    <w:bookmarkStart w:id="353" w:name="ref-westergaard2017"/>
    <w:p>
      <w:pPr>
        <w:pStyle w:val="Bibliography"/>
      </w:pPr>
      <w:r>
        <w:t xml:space="preserve">Westergaard, Marit, Natalia Mitrofanova, Roksolana Mykhaylyk, and Yulia Rodina. 2017.</w:t>
      </w:r>
      <w:r>
        <w:t xml:space="preserve"> </w:t>
      </w:r>
      <w:r>
        <w:t xml:space="preserve">“Crosslinguistic Influence in the Acquisition of a Third Language: The</w:t>
      </w:r>
      <w:r>
        <w:t xml:space="preserve"> </w:t>
      </w:r>
      <w:r>
        <w:t xml:space="preserve">Linguistic Proximity Model</w:t>
      </w:r>
      <w:r>
        <w:t xml:space="preserve">.”</w:t>
      </w:r>
      <w:r>
        <w:t xml:space="preserve"> </w:t>
      </w:r>
      <w:r>
        <w:rPr>
          <w:i/>
          <w:iCs/>
        </w:rPr>
        <w:t xml:space="preserve">International Journal of Bilingualism</w:t>
      </w:r>
      <w:r>
        <w:t xml:space="preserve"> </w:t>
      </w:r>
      <w:r>
        <w:t xml:space="preserve">21 (6): 666–82.</w:t>
      </w:r>
      <w:r>
        <w:t xml:space="preserve"> </w:t>
      </w:r>
      <w:hyperlink r:id="rId352">
        <w:r>
          <w:rPr>
            <w:rStyle w:val="Hyperlink"/>
          </w:rPr>
          <w:t xml:space="preserve">https://doi.org/10.1177/1367006916648859</w:t>
        </w:r>
      </w:hyperlink>
      <w:r>
        <w:t xml:space="preserve">.</w:t>
      </w:r>
    </w:p>
    <w:bookmarkEnd w:id="353"/>
    <w:bookmarkStart w:id="355" w:name="ref-westergaard2023"/>
    <w:p>
      <w:pPr>
        <w:pStyle w:val="Bibliography"/>
      </w:pPr>
      <w:r>
        <w:t xml:space="preserve">Westergaard, Marit, Natalia Mitrofanova, Yulia Rodina, and Roumyana Slabakova. 2023.</w:t>
      </w:r>
      <w:r>
        <w:t xml:space="preserve"> </w:t>
      </w:r>
      <w:r>
        <w:t xml:space="preserve">“Full Transfer Potential in</w:t>
      </w:r>
      <w:r>
        <w:t xml:space="preserve"> </w:t>
      </w:r>
      <w:r>
        <w:t xml:space="preserve">L3/Ln</w:t>
      </w:r>
      <w:r>
        <w:t xml:space="preserve"> </w:t>
      </w:r>
      <w:r>
        <w:t xml:space="preserve">Acquisition: Crosslinguistic Influence as a Property-by-Property Process.”</w:t>
      </w:r>
      <w:r>
        <w:t xml:space="preserve"> </w:t>
      </w:r>
      <w:r>
        <w:t xml:space="preserve">In</w:t>
      </w:r>
      <w:r>
        <w:t xml:space="preserve"> </w:t>
      </w:r>
      <w:r>
        <w:rPr>
          <w:i/>
          <w:iCs/>
        </w:rPr>
        <w:t xml:space="preserve">The Cambridge Handbook of Third Language Acquisition</w:t>
      </w:r>
      <w:r>
        <w:t xml:space="preserve">. Cambridge University Press.</w:t>
      </w:r>
      <w:r>
        <w:t xml:space="preserve"> </w:t>
      </w:r>
      <w:hyperlink r:id="rId354">
        <w:r>
          <w:rPr>
            <w:rStyle w:val="Hyperlink"/>
          </w:rPr>
          <w:t xml:space="preserve">https://doi.org/10.1017/9781108957823.010</w:t>
        </w:r>
      </w:hyperlink>
      <w:r>
        <w:t xml:space="preserve">.</w:t>
      </w:r>
    </w:p>
    <w:bookmarkEnd w:id="355"/>
    <w:bookmarkStart w:id="357" w:name="ref-white2012"/>
    <w:p>
      <w:pPr>
        <w:pStyle w:val="Bibliography"/>
      </w:pPr>
      <w:r>
        <w:t xml:space="preserve">White, Erin Jacquelyn, Fred Genesee, and Karsten Steinhauer. 2012.</w:t>
      </w:r>
      <w:r>
        <w:t xml:space="preserve"> </w:t>
      </w:r>
      <w:r>
        <w:t xml:space="preserve">“Brain Responses Before and After Intensive Second Language Learning: Proficiency Based Changes and First Language Background Effects in Adult Learners.”</w:t>
      </w:r>
      <w:r>
        <w:t xml:space="preserve"> </w:t>
      </w:r>
      <w:r>
        <w:rPr>
          <w:i/>
          <w:iCs/>
        </w:rPr>
        <w:t xml:space="preserve">PLoS ONE</w:t>
      </w:r>
      <w:r>
        <w:t xml:space="preserve"> </w:t>
      </w:r>
      <w:r>
        <w:t xml:space="preserve">7 (12): e52318.</w:t>
      </w:r>
      <w:r>
        <w:t xml:space="preserve"> </w:t>
      </w:r>
      <w:hyperlink r:id="rId356">
        <w:r>
          <w:rPr>
            <w:rStyle w:val="Hyperlink"/>
          </w:rPr>
          <w:t xml:space="preserve">https://doi.org/10.1371/journal.pone.0052318</w:t>
        </w:r>
      </w:hyperlink>
      <w:r>
        <w:t xml:space="preserve">.</w:t>
      </w:r>
    </w:p>
    <w:bookmarkEnd w:id="357"/>
    <w:bookmarkStart w:id="359" w:name="ref-wickham2016"/>
    <w:p>
      <w:pPr>
        <w:pStyle w:val="Bibliography"/>
      </w:pPr>
      <w:r>
        <w:t xml:space="preserve">Wickham, Hadley. 2016.</w:t>
      </w:r>
      <w:r>
        <w:t xml:space="preserve"> </w:t>
      </w:r>
      <w:r>
        <w:rPr>
          <w:i/>
          <w:iCs/>
        </w:rPr>
        <w:t xml:space="preserve">ggplot2</w:t>
      </w:r>
      <w:r>
        <w:rPr>
          <w:i/>
          <w:iCs/>
        </w:rPr>
        <w:t xml:space="preserve">: Elegant Graphics for Data Analysis</w:t>
      </w:r>
      <w:r>
        <w:t xml:space="preserve">. Springer International Publishing.</w:t>
      </w:r>
      <w:r>
        <w:t xml:space="preserve"> </w:t>
      </w:r>
      <w:hyperlink r:id="rId358">
        <w:r>
          <w:rPr>
            <w:rStyle w:val="Hyperlink"/>
          </w:rPr>
          <w:t xml:space="preserve">https://doi.org/10.1007/978-3-319-24277-4</w:t>
        </w:r>
      </w:hyperlink>
      <w:r>
        <w:t xml:space="preserve">.</w:t>
      </w:r>
    </w:p>
    <w:bookmarkEnd w:id="359"/>
    <w:bookmarkStart w:id="361" w:name="ref-widmann2015"/>
    <w:p>
      <w:pPr>
        <w:pStyle w:val="Bibliography"/>
      </w:pPr>
      <w:r>
        <w:t xml:space="preserve">Widmann, Andreas, Erich Schröger, and Burkhard Maess. 2015.</w:t>
      </w:r>
      <w:r>
        <w:t xml:space="preserve"> </w:t>
      </w:r>
      <w:r>
        <w:t xml:space="preserve">“Digital Filter Design for Electrophysiological Data – a Practical Approach.”</w:t>
      </w:r>
      <w:r>
        <w:t xml:space="preserve"> </w:t>
      </w:r>
      <w:r>
        <w:rPr>
          <w:i/>
          <w:iCs/>
        </w:rPr>
        <w:t xml:space="preserve">Journal of Neuroscience Methods</w:t>
      </w:r>
      <w:r>
        <w:t xml:space="preserve"> </w:t>
      </w:r>
      <w:r>
        <w:t xml:space="preserve">250: 34–46.</w:t>
      </w:r>
      <w:r>
        <w:t xml:space="preserve"> </w:t>
      </w:r>
      <w:hyperlink r:id="rId360">
        <w:r>
          <w:rPr>
            <w:rStyle w:val="Hyperlink"/>
          </w:rPr>
          <w:t xml:space="preserve">https://doi.org/10.1016/j.jneumeth.2014.08.002</w:t>
        </w:r>
      </w:hyperlink>
      <w:r>
        <w:t xml:space="preserve">.</w:t>
      </w:r>
    </w:p>
    <w:bookmarkEnd w:id="361"/>
    <w:bookmarkStart w:id="363" w:name="ref-xu2024"/>
    <w:p>
      <w:pPr>
        <w:pStyle w:val="Bibliography"/>
      </w:pPr>
      <w:r>
        <w:t xml:space="preserve">Xu, Emily Shimeng, Stephen Matthews, Virginia Yip, and Patrick C. M. Wong. 2024.</w:t>
      </w:r>
      <w:r>
        <w:t xml:space="preserve"> </w:t>
      </w:r>
      <w:r>
        <w:t xml:space="preserve">“Memory Systems Modulate Crosslinguistic Influence on Third Language Morphosyntactic Acquisition.”</w:t>
      </w:r>
      <w:r>
        <w:t xml:space="preserve"> </w:t>
      </w:r>
      <w:r>
        <w:rPr>
          <w:i/>
          <w:iCs/>
        </w:rPr>
        <w:t xml:space="preserve">PLOS ONE</w:t>
      </w:r>
      <w:r>
        <w:t xml:space="preserve"> </w:t>
      </w:r>
      <w:r>
        <w:t xml:space="preserve">19 (7): e0304572.</w:t>
      </w:r>
      <w:r>
        <w:t xml:space="preserve"> </w:t>
      </w:r>
      <w:hyperlink r:id="rId362">
        <w:r>
          <w:rPr>
            <w:rStyle w:val="Hyperlink"/>
          </w:rPr>
          <w:t xml:space="preserve">https://doi.org/10.1371/journal.pone.0304572</w:t>
        </w:r>
      </w:hyperlink>
      <w:r>
        <w:t xml:space="preserve">.</w:t>
      </w:r>
    </w:p>
    <w:bookmarkEnd w:id="363"/>
    <w:bookmarkStart w:id="365" w:name="ref-zhao2025"/>
    <w:p>
      <w:pPr>
        <w:pStyle w:val="Bibliography"/>
      </w:pPr>
      <w:r>
        <w:t xml:space="preserve">Zhao, Junyuan, Ruimin Gao, and Jonathan R. Brennan. 2025.</w:t>
      </w:r>
      <w:r>
        <w:t xml:space="preserve"> </w:t>
      </w:r>
      <w:r>
        <w:t xml:space="preserve">“Decoding the Neural Dynamics of Headed Syntactic Structure Building.”</w:t>
      </w:r>
      <w:r>
        <w:t xml:space="preserve"> </w:t>
      </w:r>
      <w:r>
        <w:rPr>
          <w:i/>
          <w:iCs/>
        </w:rPr>
        <w:t xml:space="preserve">The Journal of Neuroscience</w:t>
      </w:r>
      <w:r>
        <w:t xml:space="preserve"> </w:t>
      </w:r>
      <w:r>
        <w:t xml:space="preserve">45 (17): e2126242025.</w:t>
      </w:r>
      <w:r>
        <w:t xml:space="preserve"> </w:t>
      </w:r>
      <w:hyperlink r:id="rId364">
        <w:r>
          <w:rPr>
            <w:rStyle w:val="Hyperlink"/>
          </w:rPr>
          <w:t xml:space="preserve">https://doi.org/10.1523/JNEUROSCI.2126-24.2025</w:t>
        </w:r>
      </w:hyperlink>
      <w:r>
        <w:t xml:space="preserve">.</w:t>
      </w:r>
    </w:p>
    <w:bookmarkEnd w:id="365"/>
    <w:bookmarkEnd w:id="366"/>
    <w:bookmarkEnd w:id="3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 repository documents a</w:t>
      </w:r>
      <w:r>
        <w:t xml:space="preserve"> </w:t>
      </w:r>
      <w:r>
        <w:t xml:space="preserve">configuration switch that refits the ERP grid with the four datasets retained, so the</w:t>
      </w:r>
      <w:r>
        <w:t xml:space="preserve"> </w:t>
      </w:r>
      <w:r>
        <w:t xml:space="preserve">full-sample counterpart of every ERP estimate reported here is recoverable. The behavioural</w:t>
      </w:r>
      <w:r>
        <w:t xml:space="preserve"> </w:t>
      </w:r>
      <w:r>
        <w:t xml:space="preserve">models are unaffected, the offline filter bearing only on the EEG, and the decoding</w:t>
      </w:r>
      <w:r>
        <w:t xml:space="preserve"> </w:t>
      </w:r>
      <w:r>
        <w:t xml:space="preserve">artefacts carry no tag for the switch, so a full-sample decoding run has to be kept apart</w:t>
      </w:r>
      <w:r>
        <w:t xml:space="preserve"> </w:t>
      </w:r>
      <w:r>
        <w:t xml:space="preserve">from the reported 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72" Target="media/rId72.png" /><Relationship Type="http://schemas.openxmlformats.org/officeDocument/2006/relationships/image" Id="rId14" Target="media/rId14.png" /><Relationship Type="http://schemas.openxmlformats.org/officeDocument/2006/relationships/image" Id="rId107" Target="media/rId107.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56" Target="media/rId56.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hyperlink" Id="rId270" Target="https://doi.org/10.1002/hbm.1058" TargetMode="External" /><Relationship Type="http://schemas.openxmlformats.org/officeDocument/2006/relationships/hyperlink" Id="rId111" Target="https://doi.org/10.1002/hbm.20851" TargetMode="External" /><Relationship Type="http://schemas.openxmlformats.org/officeDocument/2006/relationships/hyperlink" Id="rId358" Target="https://doi.org/10.1007/978-3-319-24277-4" TargetMode="External" /><Relationship Type="http://schemas.openxmlformats.org/officeDocument/2006/relationships/hyperlink" Id="rId306" Target="https://doi.org/10.1007/s11229-021-03276-4" TargetMode="External" /><Relationship Type="http://schemas.openxmlformats.org/officeDocument/2006/relationships/hyperlink" Id="rId280" Target="https://doi.org/10.1016/0749-596X(92)90039-Z" TargetMode="External" /><Relationship Type="http://schemas.openxmlformats.org/officeDocument/2006/relationships/hyperlink" Id="rId182" Target="https://doi.org/10.1016/S1364-6613(00)01839-8" TargetMode="External" /><Relationship Type="http://schemas.openxmlformats.org/officeDocument/2006/relationships/hyperlink" Id="rId276" Target="https://doi.org/10.1016/j.bandl.2013.04.005" TargetMode="External" /><Relationship Type="http://schemas.openxmlformats.org/officeDocument/2006/relationships/hyperlink" Id="rId148" Target="https://doi.org/10.1016/j.bandl.2019.01.003" TargetMode="External" /><Relationship Type="http://schemas.openxmlformats.org/officeDocument/2006/relationships/hyperlink" Id="rId324" Target="https://doi.org/10.1016/j.cogpsych.2015.03.003" TargetMode="External" /><Relationship Type="http://schemas.openxmlformats.org/officeDocument/2006/relationships/hyperlink" Id="rId224" Target="https://doi.org/10.1016/j.cortex.2024.05.007" TargetMode="External" /><Relationship Type="http://schemas.openxmlformats.org/officeDocument/2006/relationships/hyperlink" Id="rId344" Target="https://doi.org/10.1016/j.ijpsycho.2021.02.006" TargetMode="External" /><Relationship Type="http://schemas.openxmlformats.org/officeDocument/2006/relationships/hyperlink" Id="rId172" Target="https://doi.org/10.1016/j.jml.2007.11.004" TargetMode="External" /><Relationship Type="http://schemas.openxmlformats.org/officeDocument/2006/relationships/hyperlink" Id="rId216" Target="https://doi.org/10.1016/j.jml.2007.11.007" TargetMode="External" /><Relationship Type="http://schemas.openxmlformats.org/officeDocument/2006/relationships/hyperlink" Id="rId129" Target="https://doi.org/10.1016/j.jml.2007.12.005" TargetMode="External" /><Relationship Type="http://schemas.openxmlformats.org/officeDocument/2006/relationships/hyperlink" Id="rId135" Target="https://doi.org/10.1016/j.jml.2012.11.001" TargetMode="External" /><Relationship Type="http://schemas.openxmlformats.org/officeDocument/2006/relationships/hyperlink" Id="rId248" Target="https://doi.org/10.1016/j.jml.2017.01.001" TargetMode="External" /><Relationship Type="http://schemas.openxmlformats.org/officeDocument/2006/relationships/hyperlink" Id="rId340" Target="https://doi.org/10.1016/j.jml.2018.07.004" TargetMode="External" /><Relationship Type="http://schemas.openxmlformats.org/officeDocument/2006/relationships/hyperlink" Id="rId236" Target="https://doi.org/10.1016/j.jmva.2009.04.008" TargetMode="External" /><Relationship Type="http://schemas.openxmlformats.org/officeDocument/2006/relationships/hyperlink" Id="rId244" Target="https://doi.org/10.1016/j.jneumeth.2007.03.024" TargetMode="External" /><Relationship Type="http://schemas.openxmlformats.org/officeDocument/2006/relationships/hyperlink" Id="rId360" Target="https://doi.org/10.1016/j.jneumeth.2014.08.002" TargetMode="External" /><Relationship Type="http://schemas.openxmlformats.org/officeDocument/2006/relationships/hyperlink" Id="rId162" Target="https://doi.org/10.1016/j.jneumeth.2015.01.010" TargetMode="External" /><Relationship Type="http://schemas.openxmlformats.org/officeDocument/2006/relationships/hyperlink" Id="rId200" Target="https://doi.org/10.1016/j.jneuroling.2020.100939" TargetMode="External" /><Relationship Type="http://schemas.openxmlformats.org/officeDocument/2006/relationships/hyperlink" Id="rId150" Target="https://doi.org/10.1016/j.neubiorev.2015.01.010" TargetMode="External" /><Relationship Type="http://schemas.openxmlformats.org/officeDocument/2006/relationships/hyperlink" Id="rId168" Target="https://doi.org/10.1016/j.neuroimage.2014.04.037" TargetMode="External" /><Relationship Type="http://schemas.openxmlformats.org/officeDocument/2006/relationships/hyperlink" Id="rId117" Target="https://doi.org/10.1016/j.neuroimage.2016.07.040" TargetMode="External" /><Relationship Type="http://schemas.openxmlformats.org/officeDocument/2006/relationships/hyperlink" Id="rId338" Target="https://doi.org/10.1016/j.neuroimage.2016.10.038" TargetMode="External" /><Relationship Type="http://schemas.openxmlformats.org/officeDocument/2006/relationships/hyperlink" Id="rId336" Target="https://doi.org/10.1016/j.neuroimage.2017.06.061" TargetMode="External" /><Relationship Type="http://schemas.openxmlformats.org/officeDocument/2006/relationships/hyperlink" Id="rId214" Target="https://doi.org/10.1016/j.neuroimage.2017.08.005" TargetMode="External" /><Relationship Type="http://schemas.openxmlformats.org/officeDocument/2006/relationships/hyperlink" Id="rId310" Target="https://doi.org/10.1016/j.neuroimage.2019.06.048" TargetMode="External" /><Relationship Type="http://schemas.openxmlformats.org/officeDocument/2006/relationships/hyperlink" Id="rId174" Target="https://doi.org/10.1016/j.neuron.2015.09.004" TargetMode="External" /><Relationship Type="http://schemas.openxmlformats.org/officeDocument/2006/relationships/hyperlink" Id="rId330" Target="https://doi.org/10.1016/j.neuropsychologia.2014.02.002" TargetMode="External" /><Relationship Type="http://schemas.openxmlformats.org/officeDocument/2006/relationships/hyperlink" Id="rId131" Target="https://doi.org/10.1016/j.neuropsychologia.2015.10.020" TargetMode="External" /><Relationship Type="http://schemas.openxmlformats.org/officeDocument/2006/relationships/hyperlink" Id="rId160" Target="https://doi.org/10.1016/j.neuropsychologia.2025.109150" TargetMode="External" /><Relationship Type="http://schemas.openxmlformats.org/officeDocument/2006/relationships/hyperlink" Id="rId226" Target="https://doi.org/10.1016/j.tics.2014.01.002" TargetMode="External" /><Relationship Type="http://schemas.openxmlformats.org/officeDocument/2006/relationships/hyperlink" Id="rId119" Target="https://doi.org/10.1017/9781009400640.020" TargetMode="External" /><Relationship Type="http://schemas.openxmlformats.org/officeDocument/2006/relationships/hyperlink" Id="rId354" Target="https://doi.org/10.1017/9781108957823.010" TargetMode="External" /><Relationship Type="http://schemas.openxmlformats.org/officeDocument/2006/relationships/hyperlink" Id="rId304" Target="https://doi.org/10.1017/9781316014660" TargetMode="External" /><Relationship Type="http://schemas.openxmlformats.org/officeDocument/2006/relationships/hyperlink" Id="rId158" Target="https://doi.org/10.1017/S136672890700291X" TargetMode="External" /><Relationship Type="http://schemas.openxmlformats.org/officeDocument/2006/relationships/hyperlink" Id="rId326" Target="https://doi.org/10.1017/S1366728912000302" TargetMode="External" /><Relationship Type="http://schemas.openxmlformats.org/officeDocument/2006/relationships/hyperlink" Id="rId300" Target="https://doi.org/10.1017/S136672891300059X" TargetMode="External" /><Relationship Type="http://schemas.openxmlformats.org/officeDocument/2006/relationships/hyperlink" Id="rId206" Target="https://doi.org/10.1017/S1366728917000426" TargetMode="External" /><Relationship Type="http://schemas.openxmlformats.org/officeDocument/2006/relationships/hyperlink" Id="rId268" Target="https://doi.org/10.1017/S1366728917000566" TargetMode="External" /><Relationship Type="http://schemas.openxmlformats.org/officeDocument/2006/relationships/hyperlink" Id="rId238" Target="https://doi.org/10.1017/S1366728918001153" TargetMode="External" /><Relationship Type="http://schemas.openxmlformats.org/officeDocument/2006/relationships/hyperlink" Id="rId178" Target="https://doi.org/10.1037/0033-2909.125.6.777" TargetMode="External" /><Relationship Type="http://schemas.openxmlformats.org/officeDocument/2006/relationships/hyperlink" Id="rId170" Target="https://doi.org/10.1037/met0000065" TargetMode="External" /><Relationship Type="http://schemas.openxmlformats.org/officeDocument/2006/relationships/hyperlink" Id="rId142" Target="https://doi.org/10.1037/met0000159" TargetMode="External" /><Relationship Type="http://schemas.openxmlformats.org/officeDocument/2006/relationships/hyperlink" Id="rId312" Target="https://doi.org/10.1037/met0000275" TargetMode="External" /><Relationship Type="http://schemas.openxmlformats.org/officeDocument/2006/relationships/hyperlink" Id="rId123" Target="https://doi.org/10.1038/d41586-019-00857-9" TargetMode="External" /><Relationship Type="http://schemas.openxmlformats.org/officeDocument/2006/relationships/hyperlink" Id="rId230" Target="https://doi.org/10.1038/nn.2303" TargetMode="External" /><Relationship Type="http://schemas.openxmlformats.org/officeDocument/2006/relationships/hyperlink" Id="rId274" Target="https://doi.org/10.1038/nn.2886" TargetMode="External" /><Relationship Type="http://schemas.openxmlformats.org/officeDocument/2006/relationships/hyperlink" Id="rId250" Target="https://doi.org/10.1038/nn1264" TargetMode="External" /><Relationship Type="http://schemas.openxmlformats.org/officeDocument/2006/relationships/hyperlink" Id="rId296" Target="https://doi.org/10.1038/nrn1426" TargetMode="External" /><Relationship Type="http://schemas.openxmlformats.org/officeDocument/2006/relationships/hyperlink" Id="rId232" Target="https://doi.org/10.1038/s41562-021-01177-7" TargetMode="External" /><Relationship Type="http://schemas.openxmlformats.org/officeDocument/2006/relationships/hyperlink" Id="rId284" Target="https://doi.org/10.1038/s41562-023-01680-z" TargetMode="External" /><Relationship Type="http://schemas.openxmlformats.org/officeDocument/2006/relationships/hyperlink" Id="rId222" Target="https://doi.org/10.1038/s41593-020-0660-4" TargetMode="External" /><Relationship Type="http://schemas.openxmlformats.org/officeDocument/2006/relationships/hyperlink" Id="rId334" Target="https://doi.org/10.1038/s43586-020-00001-2" TargetMode="External" /><Relationship Type="http://schemas.openxmlformats.org/officeDocument/2006/relationships/hyperlink" Id="rId184" Target="https://doi.org/10.1073/pnas.012611199" TargetMode="External" /><Relationship Type="http://schemas.openxmlformats.org/officeDocument/2006/relationships/hyperlink" Id="rId278" Target="https://doi.org/10.1073/pnas.1708274114" TargetMode="External" /><Relationship Type="http://schemas.openxmlformats.org/officeDocument/2006/relationships/hyperlink" Id="rId316" Target="https://doi.org/10.1075/lab.20055.sch" TargetMode="External" /><Relationship Type="http://schemas.openxmlformats.org/officeDocument/2006/relationships/hyperlink" Id="rId254" Target="https://doi.org/10.1075/lab.22063.mit" TargetMode="External" /><Relationship Type="http://schemas.openxmlformats.org/officeDocument/2006/relationships/hyperlink" Id="rId246" Target="https://doi.org/10.1080/00031305.2017.1375986" TargetMode="External" /><Relationship Type="http://schemas.openxmlformats.org/officeDocument/2006/relationships/hyperlink" Id="rId180" Target="https://doi.org/10.1080/14790710408668175" TargetMode="External" /><Relationship Type="http://schemas.openxmlformats.org/officeDocument/2006/relationships/hyperlink" Id="rId202" Target="https://doi.org/10.1080/14790718.2024.2415993" TargetMode="External" /><Relationship Type="http://schemas.openxmlformats.org/officeDocument/2006/relationships/hyperlink" Id="rId194" Target="https://doi.org/10.1080/19345747.2011.618213" TargetMode="External" /><Relationship Type="http://schemas.openxmlformats.org/officeDocument/2006/relationships/hyperlink" Id="rId348" Target="https://doi.org/10.1080/23273798.2023.2223783" TargetMode="External" /><Relationship Type="http://schemas.openxmlformats.org/officeDocument/2006/relationships/hyperlink" Id="rId294" Target="https://doi.org/10.1093/bjps/axx023" TargetMode="External" /><Relationship Type="http://schemas.openxmlformats.org/officeDocument/2006/relationships/hyperlink" Id="rId186" Target="https://doi.org/10.1097/00001756-200110290-00048" TargetMode="External" /><Relationship Type="http://schemas.openxmlformats.org/officeDocument/2006/relationships/hyperlink" Id="rId166" Target="https://doi.org/10.1098/rstb.2009.0111" TargetMode="External" /><Relationship Type="http://schemas.openxmlformats.org/officeDocument/2006/relationships/hyperlink" Id="rId318" Target="https://doi.org/10.1111/cogs.12343" TargetMode="External" /><Relationship Type="http://schemas.openxmlformats.org/officeDocument/2006/relationships/hyperlink" Id="rId282" Target="https://doi.org/10.1111/j.1467-9922.2006.00361.x" TargetMode="External" /><Relationship Type="http://schemas.openxmlformats.org/officeDocument/2006/relationships/hyperlink" Id="rId258" Target="https://doi.org/10.1111/j.1467-9922.2009.00554.x" TargetMode="External" /><Relationship Type="http://schemas.openxmlformats.org/officeDocument/2006/relationships/hyperlink" Id="rId314" Target="https://doi.org/10.1111/j.2041-210X.2010.00012.x" TargetMode="External" /><Relationship Type="http://schemas.openxmlformats.org/officeDocument/2006/relationships/hyperlink" Id="rId328" Target="https://doi.org/10.1111/psyp.12437" TargetMode="External" /><Relationship Type="http://schemas.openxmlformats.org/officeDocument/2006/relationships/hyperlink" Id="rId308" Target="https://doi.org/10.1111/psyp.13335" TargetMode="External" /><Relationship Type="http://schemas.openxmlformats.org/officeDocument/2006/relationships/hyperlink" Id="rId113" Target="https://doi.org/10.1111/psyp.13451" TargetMode="External" /><Relationship Type="http://schemas.openxmlformats.org/officeDocument/2006/relationships/hyperlink" Id="rId127" Target="https://doi.org/10.1111/psyp.14302" TargetMode="External" /><Relationship Type="http://schemas.openxmlformats.org/officeDocument/2006/relationships/hyperlink" Id="rId212" Target="https://doi.org/10.1111/psyp.14491" TargetMode="External" /><Relationship Type="http://schemas.openxmlformats.org/officeDocument/2006/relationships/hyperlink" Id="rId154" Target="https://doi.org/10.1111/psyp.14570" TargetMode="External" /><Relationship Type="http://schemas.openxmlformats.org/officeDocument/2006/relationships/hyperlink" Id="rId188" Target="https://doi.org/10.1111/rssa.12378" TargetMode="External" /><Relationship Type="http://schemas.openxmlformats.org/officeDocument/2006/relationships/hyperlink" Id="rId210" Target="https://doi.org/10.1126/science.1063736" TargetMode="External" /><Relationship Type="http://schemas.openxmlformats.org/officeDocument/2006/relationships/hyperlink" Id="rId240" Target="https://doi.org/10.1126/science.aal3618" TargetMode="External" /><Relationship Type="http://schemas.openxmlformats.org/officeDocument/2006/relationships/hyperlink" Id="rId218" Target="https://doi.org/10.1162/089892903321107855" TargetMode="External" /><Relationship Type="http://schemas.openxmlformats.org/officeDocument/2006/relationships/hyperlink" Id="rId262" Target="https://doi.org/10.1162/0898929055002463" TargetMode="External" /><Relationship Type="http://schemas.openxmlformats.org/officeDocument/2006/relationships/hyperlink" Id="rId164" Target="https://doi.org/10.1162/jocn.2008.21031" TargetMode="External" /><Relationship Type="http://schemas.openxmlformats.org/officeDocument/2006/relationships/hyperlink" Id="rId260" Target="https://doi.org/10.1162/jocn_a_00119" TargetMode="External" /><Relationship Type="http://schemas.openxmlformats.org/officeDocument/2006/relationships/hyperlink" Id="rId208" Target="https://doi.org/10.1162/jocn_a_01068" TargetMode="External" /><Relationship Type="http://schemas.openxmlformats.org/officeDocument/2006/relationships/hyperlink" Id="rId133" Target="https://doi.org/10.1177/0267658307080557" TargetMode="External" /><Relationship Type="http://schemas.openxmlformats.org/officeDocument/2006/relationships/hyperlink" Id="rId298" Target="https://doi.org/10.1177/0267658310386439" TargetMode="External" /><Relationship Type="http://schemas.openxmlformats.org/officeDocument/2006/relationships/hyperlink" Id="rId176" Target="https://doi.org/10.1177/0267658310386647" TargetMode="External" /><Relationship Type="http://schemas.openxmlformats.org/officeDocument/2006/relationships/hyperlink" Id="rId290" Target="https://doi.org/10.1177/0267658318809147" TargetMode="External" /><Relationship Type="http://schemas.openxmlformats.org/officeDocument/2006/relationships/hyperlink" Id="rId350" Target="https://doi.org/10.1177/0267658319884116" TargetMode="External" /><Relationship Type="http://schemas.openxmlformats.org/officeDocument/2006/relationships/hyperlink" Id="rId156" Target="https://doi.org/10.1177/02676583251332128" TargetMode="External" /><Relationship Type="http://schemas.openxmlformats.org/officeDocument/2006/relationships/hyperlink" Id="rId320" Target="https://doi.org/10.1177/02676583261426778" TargetMode="External" /><Relationship Type="http://schemas.openxmlformats.org/officeDocument/2006/relationships/hyperlink" Id="rId352" Target="https://doi.org/10.1177/1367006916648859" TargetMode="External" /><Relationship Type="http://schemas.openxmlformats.org/officeDocument/2006/relationships/hyperlink" Id="rId121" Target="https://doi.org/10.1177/1367006916649265" TargetMode="External" /><Relationship Type="http://schemas.openxmlformats.org/officeDocument/2006/relationships/hyperlink" Id="rId322" Target="https://doi.org/10.1177/1367006916655413" TargetMode="External" /><Relationship Type="http://schemas.openxmlformats.org/officeDocument/2006/relationships/hyperlink" Id="rId346" Target="https://doi.org/10.1177/1745691612463078" TargetMode="External" /><Relationship Type="http://schemas.openxmlformats.org/officeDocument/2006/relationships/hyperlink" Id="rId192" Target="https://doi.org/10.1177/1745691614551642" TargetMode="External" /><Relationship Type="http://schemas.openxmlformats.org/officeDocument/2006/relationships/hyperlink" Id="rId266" Target="https://doi.org/10.1186/1471-2202-10-89" TargetMode="External" /><Relationship Type="http://schemas.openxmlformats.org/officeDocument/2006/relationships/hyperlink" Id="rId264" Target="https://doi.org/10.1186/1471-2202-8-18" TargetMode="External" /><Relationship Type="http://schemas.openxmlformats.org/officeDocument/2006/relationships/hyperlink" Id="rId198" Target="https://doi.org/10.1198/000313006X152649" TargetMode="External" /><Relationship Type="http://schemas.openxmlformats.org/officeDocument/2006/relationships/hyperlink" Id="rId190" Target="https://doi.org/10.1214/06-BA117A" TargetMode="External" /><Relationship Type="http://schemas.openxmlformats.org/officeDocument/2006/relationships/hyperlink" Id="rId196" Target="https://doi.org/10.1214/08-AOAS191" TargetMode="External" /><Relationship Type="http://schemas.openxmlformats.org/officeDocument/2006/relationships/hyperlink" Id="rId342" Target="https://doi.org/10.1214/20-BA1221" TargetMode="External" /><Relationship Type="http://schemas.openxmlformats.org/officeDocument/2006/relationships/hyperlink" Id="rId256" Target="https://doi.org/10.1371/journal.pone.0032974" TargetMode="External" /><Relationship Type="http://schemas.openxmlformats.org/officeDocument/2006/relationships/hyperlink" Id="rId356" Target="https://doi.org/10.1371/journal.pone.0052318" TargetMode="External" /><Relationship Type="http://schemas.openxmlformats.org/officeDocument/2006/relationships/hyperlink" Id="rId272" Target="https://doi.org/10.1371/journal.pone.0065046" TargetMode="External" /><Relationship Type="http://schemas.openxmlformats.org/officeDocument/2006/relationships/hyperlink" Id="rId252" Target="https://doi.org/10.1371/journal.pone.0152489" TargetMode="External" /><Relationship Type="http://schemas.openxmlformats.org/officeDocument/2006/relationships/hyperlink" Id="rId115" Target="https://doi.org/10.1371/journal.pone.0200791" TargetMode="External" /><Relationship Type="http://schemas.openxmlformats.org/officeDocument/2006/relationships/hyperlink" Id="rId204" Target="https://doi.org/10.1371/journal.pone.0247976" TargetMode="External" /><Relationship Type="http://schemas.openxmlformats.org/officeDocument/2006/relationships/hyperlink" Id="rId362" Target="https://doi.org/10.1371/journal.pone.0304572" TargetMode="External" /><Relationship Type="http://schemas.openxmlformats.org/officeDocument/2006/relationships/hyperlink" Id="rId364" Target="https://doi.org/10.1523/JNEUROSCI.2126-24.2025" TargetMode="External" /><Relationship Type="http://schemas.openxmlformats.org/officeDocument/2006/relationships/hyperlink" Id="rId152" Target="https://doi.org/10.18637/jss.v076.i01" TargetMode="External" /><Relationship Type="http://schemas.openxmlformats.org/officeDocument/2006/relationships/hyperlink" Id="rId144" Target="https://doi.org/10.18637/jss.v080.i01" TargetMode="External" /><Relationship Type="http://schemas.openxmlformats.org/officeDocument/2006/relationships/hyperlink" Id="rId288" Target="https://doi.org/10.2202/1544-6115.1585" TargetMode="External" /><Relationship Type="http://schemas.openxmlformats.org/officeDocument/2006/relationships/hyperlink" Id="rId146" Target="https://doi.org/10.32614/RJ-2018-017" TargetMode="External" /><Relationship Type="http://schemas.openxmlformats.org/officeDocument/2006/relationships/hyperlink" Id="rId220" Target="https://doi.org/10.3389/fnhum.2015.00151" TargetMode="External" /><Relationship Type="http://schemas.openxmlformats.org/officeDocument/2006/relationships/hyperlink" Id="rId302" Target="https://doi.org/10.3389/fpsyg.2015.01087" TargetMode="External" /><Relationship Type="http://schemas.openxmlformats.org/officeDocument/2006/relationships/hyperlink" Id="rId242" Target="https://doi.org/10.3389/fpsyg.2019.02767" TargetMode="External" /><Relationship Type="http://schemas.openxmlformats.org/officeDocument/2006/relationships/hyperlink" Id="rId228" Target="https://doi.org/10.3389/neuro.06.004.2008" TargetMode="External" /><Relationship Type="http://schemas.openxmlformats.org/officeDocument/2006/relationships/hyperlink" Id="rId286" Target="https://doi.org/10.3390/brainsci12050669" TargetMode="External" /><Relationship Type="http://schemas.openxmlformats.org/officeDocument/2006/relationships/hyperlink" Id="rId125" Target="https://doi.org/10.3390/languages8010090" TargetMode="External" /><Relationship Type="http://schemas.openxmlformats.org/officeDocument/2006/relationships/hyperlink" Id="rId234" Target="https://doi.org/10.3758/s13423-016-1221-4" TargetMode="External" /><Relationship Type="http://schemas.openxmlformats.org/officeDocument/2006/relationships/hyperlink" Id="rId332" Target="https://doi.org/10.52294/apertureneuro.2022.2.maoc6465" TargetMode="External" /><Relationship Type="http://schemas.openxmlformats.org/officeDocument/2006/relationships/hyperlink" Id="rId139" Target="https://doi.org/10.5281/zenodo.21252669" TargetMode="External" /><Relationship Type="http://schemas.openxmlformats.org/officeDocument/2006/relationships/hyperlink" Id="rId137" Target="https://doi.org/10.5281/zenodo.21266308" TargetMode="External" /><Relationship Type="http://schemas.openxmlformats.org/officeDocument/2006/relationships/hyperlink" Id="rId88" Target="https://github.com/pablobernabeu/LESS-morphosyntactic-transfer" TargetMode="External" /><Relationship Type="http://schemas.openxmlformats.org/officeDocument/2006/relationships/hyperlink" Id="rId49" Target="https://osf.io/tjr54" TargetMode="External" /><Relationship Type="http://schemas.openxmlformats.org/officeDocument/2006/relationships/hyperlink" Id="rId87" Target="https://osf.io/tq7vy" TargetMode="External" /><Relationship Type="http://schemas.openxmlformats.org/officeDocument/2006/relationships/hyperlink" Id="rId29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70" Target="https://doi.org/10.1002/hbm.1058" TargetMode="External" /><Relationship Type="http://schemas.openxmlformats.org/officeDocument/2006/relationships/hyperlink" Id="rId111" Target="https://doi.org/10.1002/hbm.20851" TargetMode="External" /><Relationship Type="http://schemas.openxmlformats.org/officeDocument/2006/relationships/hyperlink" Id="rId358" Target="https://doi.org/10.1007/978-3-319-24277-4" TargetMode="External" /><Relationship Type="http://schemas.openxmlformats.org/officeDocument/2006/relationships/hyperlink" Id="rId306" Target="https://doi.org/10.1007/s11229-021-03276-4" TargetMode="External" /><Relationship Type="http://schemas.openxmlformats.org/officeDocument/2006/relationships/hyperlink" Id="rId280" Target="https://doi.org/10.1016/0749-596X(92)90039-Z" TargetMode="External" /><Relationship Type="http://schemas.openxmlformats.org/officeDocument/2006/relationships/hyperlink" Id="rId182" Target="https://doi.org/10.1016/S1364-6613(00)01839-8" TargetMode="External" /><Relationship Type="http://schemas.openxmlformats.org/officeDocument/2006/relationships/hyperlink" Id="rId276" Target="https://doi.org/10.1016/j.bandl.2013.04.005" TargetMode="External" /><Relationship Type="http://schemas.openxmlformats.org/officeDocument/2006/relationships/hyperlink" Id="rId148" Target="https://doi.org/10.1016/j.bandl.2019.01.003" TargetMode="External" /><Relationship Type="http://schemas.openxmlformats.org/officeDocument/2006/relationships/hyperlink" Id="rId324" Target="https://doi.org/10.1016/j.cogpsych.2015.03.003" TargetMode="External" /><Relationship Type="http://schemas.openxmlformats.org/officeDocument/2006/relationships/hyperlink" Id="rId224" Target="https://doi.org/10.1016/j.cortex.2024.05.007" TargetMode="External" /><Relationship Type="http://schemas.openxmlformats.org/officeDocument/2006/relationships/hyperlink" Id="rId344" Target="https://doi.org/10.1016/j.ijpsycho.2021.02.006" TargetMode="External" /><Relationship Type="http://schemas.openxmlformats.org/officeDocument/2006/relationships/hyperlink" Id="rId172" Target="https://doi.org/10.1016/j.jml.2007.11.004" TargetMode="External" /><Relationship Type="http://schemas.openxmlformats.org/officeDocument/2006/relationships/hyperlink" Id="rId216" Target="https://doi.org/10.1016/j.jml.2007.11.007" TargetMode="External" /><Relationship Type="http://schemas.openxmlformats.org/officeDocument/2006/relationships/hyperlink" Id="rId129" Target="https://doi.org/10.1016/j.jml.2007.12.005" TargetMode="External" /><Relationship Type="http://schemas.openxmlformats.org/officeDocument/2006/relationships/hyperlink" Id="rId135" Target="https://doi.org/10.1016/j.jml.2012.11.001" TargetMode="External" /><Relationship Type="http://schemas.openxmlformats.org/officeDocument/2006/relationships/hyperlink" Id="rId248" Target="https://doi.org/10.1016/j.jml.2017.01.001" TargetMode="External" /><Relationship Type="http://schemas.openxmlformats.org/officeDocument/2006/relationships/hyperlink" Id="rId340" Target="https://doi.org/10.1016/j.jml.2018.07.004" TargetMode="External" /><Relationship Type="http://schemas.openxmlformats.org/officeDocument/2006/relationships/hyperlink" Id="rId236" Target="https://doi.org/10.1016/j.jmva.2009.04.008" TargetMode="External" /><Relationship Type="http://schemas.openxmlformats.org/officeDocument/2006/relationships/hyperlink" Id="rId244" Target="https://doi.org/10.1016/j.jneumeth.2007.03.024" TargetMode="External" /><Relationship Type="http://schemas.openxmlformats.org/officeDocument/2006/relationships/hyperlink" Id="rId360" Target="https://doi.org/10.1016/j.jneumeth.2014.08.002" TargetMode="External" /><Relationship Type="http://schemas.openxmlformats.org/officeDocument/2006/relationships/hyperlink" Id="rId162" Target="https://doi.org/10.1016/j.jneumeth.2015.01.010" TargetMode="External" /><Relationship Type="http://schemas.openxmlformats.org/officeDocument/2006/relationships/hyperlink" Id="rId200" Target="https://doi.org/10.1016/j.jneuroling.2020.100939" TargetMode="External" /><Relationship Type="http://schemas.openxmlformats.org/officeDocument/2006/relationships/hyperlink" Id="rId150" Target="https://doi.org/10.1016/j.neubiorev.2015.01.010" TargetMode="External" /><Relationship Type="http://schemas.openxmlformats.org/officeDocument/2006/relationships/hyperlink" Id="rId168" Target="https://doi.org/10.1016/j.neuroimage.2014.04.037" TargetMode="External" /><Relationship Type="http://schemas.openxmlformats.org/officeDocument/2006/relationships/hyperlink" Id="rId117" Target="https://doi.org/10.1016/j.neuroimage.2016.07.040" TargetMode="External" /><Relationship Type="http://schemas.openxmlformats.org/officeDocument/2006/relationships/hyperlink" Id="rId338" Target="https://doi.org/10.1016/j.neuroimage.2016.10.038" TargetMode="External" /><Relationship Type="http://schemas.openxmlformats.org/officeDocument/2006/relationships/hyperlink" Id="rId336" Target="https://doi.org/10.1016/j.neuroimage.2017.06.061" TargetMode="External" /><Relationship Type="http://schemas.openxmlformats.org/officeDocument/2006/relationships/hyperlink" Id="rId214" Target="https://doi.org/10.1016/j.neuroimage.2017.08.005" TargetMode="External" /><Relationship Type="http://schemas.openxmlformats.org/officeDocument/2006/relationships/hyperlink" Id="rId310" Target="https://doi.org/10.1016/j.neuroimage.2019.06.048" TargetMode="External" /><Relationship Type="http://schemas.openxmlformats.org/officeDocument/2006/relationships/hyperlink" Id="rId174" Target="https://doi.org/10.1016/j.neuron.2015.09.004" TargetMode="External" /><Relationship Type="http://schemas.openxmlformats.org/officeDocument/2006/relationships/hyperlink" Id="rId330" Target="https://doi.org/10.1016/j.neuropsychologia.2014.02.002" TargetMode="External" /><Relationship Type="http://schemas.openxmlformats.org/officeDocument/2006/relationships/hyperlink" Id="rId131" Target="https://doi.org/10.1016/j.neuropsychologia.2015.10.020" TargetMode="External" /><Relationship Type="http://schemas.openxmlformats.org/officeDocument/2006/relationships/hyperlink" Id="rId160" Target="https://doi.org/10.1016/j.neuropsychologia.2025.109150" TargetMode="External" /><Relationship Type="http://schemas.openxmlformats.org/officeDocument/2006/relationships/hyperlink" Id="rId226" Target="https://doi.org/10.1016/j.tics.2014.01.002" TargetMode="External" /><Relationship Type="http://schemas.openxmlformats.org/officeDocument/2006/relationships/hyperlink" Id="rId119" Target="https://doi.org/10.1017/9781009400640.020" TargetMode="External" /><Relationship Type="http://schemas.openxmlformats.org/officeDocument/2006/relationships/hyperlink" Id="rId354" Target="https://doi.org/10.1017/9781108957823.010" TargetMode="External" /><Relationship Type="http://schemas.openxmlformats.org/officeDocument/2006/relationships/hyperlink" Id="rId304" Target="https://doi.org/10.1017/9781316014660" TargetMode="External" /><Relationship Type="http://schemas.openxmlformats.org/officeDocument/2006/relationships/hyperlink" Id="rId158" Target="https://doi.org/10.1017/S136672890700291X" TargetMode="External" /><Relationship Type="http://schemas.openxmlformats.org/officeDocument/2006/relationships/hyperlink" Id="rId326" Target="https://doi.org/10.1017/S1366728912000302" TargetMode="External" /><Relationship Type="http://schemas.openxmlformats.org/officeDocument/2006/relationships/hyperlink" Id="rId300" Target="https://doi.org/10.1017/S136672891300059X" TargetMode="External" /><Relationship Type="http://schemas.openxmlformats.org/officeDocument/2006/relationships/hyperlink" Id="rId206" Target="https://doi.org/10.1017/S1366728917000426" TargetMode="External" /><Relationship Type="http://schemas.openxmlformats.org/officeDocument/2006/relationships/hyperlink" Id="rId268" Target="https://doi.org/10.1017/S1366728917000566" TargetMode="External" /><Relationship Type="http://schemas.openxmlformats.org/officeDocument/2006/relationships/hyperlink" Id="rId238" Target="https://doi.org/10.1017/S1366728918001153" TargetMode="External" /><Relationship Type="http://schemas.openxmlformats.org/officeDocument/2006/relationships/hyperlink" Id="rId178" Target="https://doi.org/10.1037/0033-2909.125.6.777" TargetMode="External" /><Relationship Type="http://schemas.openxmlformats.org/officeDocument/2006/relationships/hyperlink" Id="rId170" Target="https://doi.org/10.1037/met0000065" TargetMode="External" /><Relationship Type="http://schemas.openxmlformats.org/officeDocument/2006/relationships/hyperlink" Id="rId142" Target="https://doi.org/10.1037/met0000159" TargetMode="External" /><Relationship Type="http://schemas.openxmlformats.org/officeDocument/2006/relationships/hyperlink" Id="rId312" Target="https://doi.org/10.1037/met0000275" TargetMode="External" /><Relationship Type="http://schemas.openxmlformats.org/officeDocument/2006/relationships/hyperlink" Id="rId123" Target="https://doi.org/10.1038/d41586-019-00857-9" TargetMode="External" /><Relationship Type="http://schemas.openxmlformats.org/officeDocument/2006/relationships/hyperlink" Id="rId230" Target="https://doi.org/10.1038/nn.2303" TargetMode="External" /><Relationship Type="http://schemas.openxmlformats.org/officeDocument/2006/relationships/hyperlink" Id="rId274" Target="https://doi.org/10.1038/nn.2886" TargetMode="External" /><Relationship Type="http://schemas.openxmlformats.org/officeDocument/2006/relationships/hyperlink" Id="rId250" Target="https://doi.org/10.1038/nn1264" TargetMode="External" /><Relationship Type="http://schemas.openxmlformats.org/officeDocument/2006/relationships/hyperlink" Id="rId296" Target="https://doi.org/10.1038/nrn1426" TargetMode="External" /><Relationship Type="http://schemas.openxmlformats.org/officeDocument/2006/relationships/hyperlink" Id="rId232" Target="https://doi.org/10.1038/s41562-021-01177-7" TargetMode="External" /><Relationship Type="http://schemas.openxmlformats.org/officeDocument/2006/relationships/hyperlink" Id="rId284" Target="https://doi.org/10.1038/s41562-023-01680-z" TargetMode="External" /><Relationship Type="http://schemas.openxmlformats.org/officeDocument/2006/relationships/hyperlink" Id="rId222" Target="https://doi.org/10.1038/s41593-020-0660-4" TargetMode="External" /><Relationship Type="http://schemas.openxmlformats.org/officeDocument/2006/relationships/hyperlink" Id="rId334" Target="https://doi.org/10.1038/s43586-020-00001-2" TargetMode="External" /><Relationship Type="http://schemas.openxmlformats.org/officeDocument/2006/relationships/hyperlink" Id="rId184" Target="https://doi.org/10.1073/pnas.012611199" TargetMode="External" /><Relationship Type="http://schemas.openxmlformats.org/officeDocument/2006/relationships/hyperlink" Id="rId278" Target="https://doi.org/10.1073/pnas.1708274114" TargetMode="External" /><Relationship Type="http://schemas.openxmlformats.org/officeDocument/2006/relationships/hyperlink" Id="rId316" Target="https://doi.org/10.1075/lab.20055.sch" TargetMode="External" /><Relationship Type="http://schemas.openxmlformats.org/officeDocument/2006/relationships/hyperlink" Id="rId254" Target="https://doi.org/10.1075/lab.22063.mit" TargetMode="External" /><Relationship Type="http://schemas.openxmlformats.org/officeDocument/2006/relationships/hyperlink" Id="rId246" Target="https://doi.org/10.1080/00031305.2017.1375986" TargetMode="External" /><Relationship Type="http://schemas.openxmlformats.org/officeDocument/2006/relationships/hyperlink" Id="rId180" Target="https://doi.org/10.1080/14790710408668175" TargetMode="External" /><Relationship Type="http://schemas.openxmlformats.org/officeDocument/2006/relationships/hyperlink" Id="rId202" Target="https://doi.org/10.1080/14790718.2024.2415993" TargetMode="External" /><Relationship Type="http://schemas.openxmlformats.org/officeDocument/2006/relationships/hyperlink" Id="rId194" Target="https://doi.org/10.1080/19345747.2011.618213" TargetMode="External" /><Relationship Type="http://schemas.openxmlformats.org/officeDocument/2006/relationships/hyperlink" Id="rId348" Target="https://doi.org/10.1080/23273798.2023.2223783" TargetMode="External" /><Relationship Type="http://schemas.openxmlformats.org/officeDocument/2006/relationships/hyperlink" Id="rId294" Target="https://doi.org/10.1093/bjps/axx023" TargetMode="External" /><Relationship Type="http://schemas.openxmlformats.org/officeDocument/2006/relationships/hyperlink" Id="rId186" Target="https://doi.org/10.1097/00001756-200110290-00048" TargetMode="External" /><Relationship Type="http://schemas.openxmlformats.org/officeDocument/2006/relationships/hyperlink" Id="rId166" Target="https://doi.org/10.1098/rstb.2009.0111" TargetMode="External" /><Relationship Type="http://schemas.openxmlformats.org/officeDocument/2006/relationships/hyperlink" Id="rId318" Target="https://doi.org/10.1111/cogs.12343" TargetMode="External" /><Relationship Type="http://schemas.openxmlformats.org/officeDocument/2006/relationships/hyperlink" Id="rId282" Target="https://doi.org/10.1111/j.1467-9922.2006.00361.x" TargetMode="External" /><Relationship Type="http://schemas.openxmlformats.org/officeDocument/2006/relationships/hyperlink" Id="rId258" Target="https://doi.org/10.1111/j.1467-9922.2009.00554.x" TargetMode="External" /><Relationship Type="http://schemas.openxmlformats.org/officeDocument/2006/relationships/hyperlink" Id="rId314" Target="https://doi.org/10.1111/j.2041-210X.2010.00012.x" TargetMode="External" /><Relationship Type="http://schemas.openxmlformats.org/officeDocument/2006/relationships/hyperlink" Id="rId328" Target="https://doi.org/10.1111/psyp.12437" TargetMode="External" /><Relationship Type="http://schemas.openxmlformats.org/officeDocument/2006/relationships/hyperlink" Id="rId308" Target="https://doi.org/10.1111/psyp.13335" TargetMode="External" /><Relationship Type="http://schemas.openxmlformats.org/officeDocument/2006/relationships/hyperlink" Id="rId113" Target="https://doi.org/10.1111/psyp.13451" TargetMode="External" /><Relationship Type="http://schemas.openxmlformats.org/officeDocument/2006/relationships/hyperlink" Id="rId127" Target="https://doi.org/10.1111/psyp.14302" TargetMode="External" /><Relationship Type="http://schemas.openxmlformats.org/officeDocument/2006/relationships/hyperlink" Id="rId212" Target="https://doi.org/10.1111/psyp.14491" TargetMode="External" /><Relationship Type="http://schemas.openxmlformats.org/officeDocument/2006/relationships/hyperlink" Id="rId154" Target="https://doi.org/10.1111/psyp.14570" TargetMode="External" /><Relationship Type="http://schemas.openxmlformats.org/officeDocument/2006/relationships/hyperlink" Id="rId188" Target="https://doi.org/10.1111/rssa.12378" TargetMode="External" /><Relationship Type="http://schemas.openxmlformats.org/officeDocument/2006/relationships/hyperlink" Id="rId210" Target="https://doi.org/10.1126/science.1063736" TargetMode="External" /><Relationship Type="http://schemas.openxmlformats.org/officeDocument/2006/relationships/hyperlink" Id="rId240" Target="https://doi.org/10.1126/science.aal3618" TargetMode="External" /><Relationship Type="http://schemas.openxmlformats.org/officeDocument/2006/relationships/hyperlink" Id="rId218" Target="https://doi.org/10.1162/089892903321107855" TargetMode="External" /><Relationship Type="http://schemas.openxmlformats.org/officeDocument/2006/relationships/hyperlink" Id="rId262" Target="https://doi.org/10.1162/0898929055002463" TargetMode="External" /><Relationship Type="http://schemas.openxmlformats.org/officeDocument/2006/relationships/hyperlink" Id="rId164" Target="https://doi.org/10.1162/jocn.2008.21031" TargetMode="External" /><Relationship Type="http://schemas.openxmlformats.org/officeDocument/2006/relationships/hyperlink" Id="rId260" Target="https://doi.org/10.1162/jocn_a_00119" TargetMode="External" /><Relationship Type="http://schemas.openxmlformats.org/officeDocument/2006/relationships/hyperlink" Id="rId208" Target="https://doi.org/10.1162/jocn_a_01068" TargetMode="External" /><Relationship Type="http://schemas.openxmlformats.org/officeDocument/2006/relationships/hyperlink" Id="rId133" Target="https://doi.org/10.1177/0267658307080557" TargetMode="External" /><Relationship Type="http://schemas.openxmlformats.org/officeDocument/2006/relationships/hyperlink" Id="rId298" Target="https://doi.org/10.1177/0267658310386439" TargetMode="External" /><Relationship Type="http://schemas.openxmlformats.org/officeDocument/2006/relationships/hyperlink" Id="rId176" Target="https://doi.org/10.1177/0267658310386647" TargetMode="External" /><Relationship Type="http://schemas.openxmlformats.org/officeDocument/2006/relationships/hyperlink" Id="rId290" Target="https://doi.org/10.1177/0267658318809147" TargetMode="External" /><Relationship Type="http://schemas.openxmlformats.org/officeDocument/2006/relationships/hyperlink" Id="rId350" Target="https://doi.org/10.1177/0267658319884116" TargetMode="External" /><Relationship Type="http://schemas.openxmlformats.org/officeDocument/2006/relationships/hyperlink" Id="rId156" Target="https://doi.org/10.1177/02676583251332128" TargetMode="External" /><Relationship Type="http://schemas.openxmlformats.org/officeDocument/2006/relationships/hyperlink" Id="rId320" Target="https://doi.org/10.1177/02676583261426778" TargetMode="External" /><Relationship Type="http://schemas.openxmlformats.org/officeDocument/2006/relationships/hyperlink" Id="rId352" Target="https://doi.org/10.1177/1367006916648859" TargetMode="External" /><Relationship Type="http://schemas.openxmlformats.org/officeDocument/2006/relationships/hyperlink" Id="rId121" Target="https://doi.org/10.1177/1367006916649265" TargetMode="External" /><Relationship Type="http://schemas.openxmlformats.org/officeDocument/2006/relationships/hyperlink" Id="rId322" Target="https://doi.org/10.1177/1367006916655413" TargetMode="External" /><Relationship Type="http://schemas.openxmlformats.org/officeDocument/2006/relationships/hyperlink" Id="rId346" Target="https://doi.org/10.1177/1745691612463078" TargetMode="External" /><Relationship Type="http://schemas.openxmlformats.org/officeDocument/2006/relationships/hyperlink" Id="rId192" Target="https://doi.org/10.1177/1745691614551642" TargetMode="External" /><Relationship Type="http://schemas.openxmlformats.org/officeDocument/2006/relationships/hyperlink" Id="rId266" Target="https://doi.org/10.1186/1471-2202-10-89" TargetMode="External" /><Relationship Type="http://schemas.openxmlformats.org/officeDocument/2006/relationships/hyperlink" Id="rId264" Target="https://doi.org/10.1186/1471-2202-8-18" TargetMode="External" /><Relationship Type="http://schemas.openxmlformats.org/officeDocument/2006/relationships/hyperlink" Id="rId198" Target="https://doi.org/10.1198/000313006X152649" TargetMode="External" /><Relationship Type="http://schemas.openxmlformats.org/officeDocument/2006/relationships/hyperlink" Id="rId190" Target="https://doi.org/10.1214/06-BA117A" TargetMode="External" /><Relationship Type="http://schemas.openxmlformats.org/officeDocument/2006/relationships/hyperlink" Id="rId196" Target="https://doi.org/10.1214/08-AOAS191" TargetMode="External" /><Relationship Type="http://schemas.openxmlformats.org/officeDocument/2006/relationships/hyperlink" Id="rId342" Target="https://doi.org/10.1214/20-BA1221" TargetMode="External" /><Relationship Type="http://schemas.openxmlformats.org/officeDocument/2006/relationships/hyperlink" Id="rId256" Target="https://doi.org/10.1371/journal.pone.0032974" TargetMode="External" /><Relationship Type="http://schemas.openxmlformats.org/officeDocument/2006/relationships/hyperlink" Id="rId356" Target="https://doi.org/10.1371/journal.pone.0052318" TargetMode="External" /><Relationship Type="http://schemas.openxmlformats.org/officeDocument/2006/relationships/hyperlink" Id="rId272" Target="https://doi.org/10.1371/journal.pone.0065046" TargetMode="External" /><Relationship Type="http://schemas.openxmlformats.org/officeDocument/2006/relationships/hyperlink" Id="rId252" Target="https://doi.org/10.1371/journal.pone.0152489" TargetMode="External" /><Relationship Type="http://schemas.openxmlformats.org/officeDocument/2006/relationships/hyperlink" Id="rId115" Target="https://doi.org/10.1371/journal.pone.0200791" TargetMode="External" /><Relationship Type="http://schemas.openxmlformats.org/officeDocument/2006/relationships/hyperlink" Id="rId204" Target="https://doi.org/10.1371/journal.pone.0247976" TargetMode="External" /><Relationship Type="http://schemas.openxmlformats.org/officeDocument/2006/relationships/hyperlink" Id="rId362" Target="https://doi.org/10.1371/journal.pone.0304572" TargetMode="External" /><Relationship Type="http://schemas.openxmlformats.org/officeDocument/2006/relationships/hyperlink" Id="rId364" Target="https://doi.org/10.1523/JNEUROSCI.2126-24.2025" TargetMode="External" /><Relationship Type="http://schemas.openxmlformats.org/officeDocument/2006/relationships/hyperlink" Id="rId152" Target="https://doi.org/10.18637/jss.v076.i01" TargetMode="External" /><Relationship Type="http://schemas.openxmlformats.org/officeDocument/2006/relationships/hyperlink" Id="rId144" Target="https://doi.org/10.18637/jss.v080.i01" TargetMode="External" /><Relationship Type="http://schemas.openxmlformats.org/officeDocument/2006/relationships/hyperlink" Id="rId288" Target="https://doi.org/10.2202/1544-6115.1585" TargetMode="External" /><Relationship Type="http://schemas.openxmlformats.org/officeDocument/2006/relationships/hyperlink" Id="rId146" Target="https://doi.org/10.32614/RJ-2018-017" TargetMode="External" /><Relationship Type="http://schemas.openxmlformats.org/officeDocument/2006/relationships/hyperlink" Id="rId220" Target="https://doi.org/10.3389/fnhum.2015.00151" TargetMode="External" /><Relationship Type="http://schemas.openxmlformats.org/officeDocument/2006/relationships/hyperlink" Id="rId302" Target="https://doi.org/10.3389/fpsyg.2015.01087" TargetMode="External" /><Relationship Type="http://schemas.openxmlformats.org/officeDocument/2006/relationships/hyperlink" Id="rId242" Target="https://doi.org/10.3389/fpsyg.2019.02767" TargetMode="External" /><Relationship Type="http://schemas.openxmlformats.org/officeDocument/2006/relationships/hyperlink" Id="rId228" Target="https://doi.org/10.3389/neuro.06.004.2008" TargetMode="External" /><Relationship Type="http://schemas.openxmlformats.org/officeDocument/2006/relationships/hyperlink" Id="rId286" Target="https://doi.org/10.3390/brainsci12050669" TargetMode="External" /><Relationship Type="http://schemas.openxmlformats.org/officeDocument/2006/relationships/hyperlink" Id="rId125" Target="https://doi.org/10.3390/languages8010090" TargetMode="External" /><Relationship Type="http://schemas.openxmlformats.org/officeDocument/2006/relationships/hyperlink" Id="rId234" Target="https://doi.org/10.3758/s13423-016-1221-4" TargetMode="External" /><Relationship Type="http://schemas.openxmlformats.org/officeDocument/2006/relationships/hyperlink" Id="rId332" Target="https://doi.org/10.52294/apertureneuro.2022.2.maoc6465" TargetMode="External" /><Relationship Type="http://schemas.openxmlformats.org/officeDocument/2006/relationships/hyperlink" Id="rId139" Target="https://doi.org/10.5281/zenodo.21252669" TargetMode="External" /><Relationship Type="http://schemas.openxmlformats.org/officeDocument/2006/relationships/hyperlink" Id="rId137" Target="https://doi.org/10.5281/zenodo.21266308" TargetMode="External" /><Relationship Type="http://schemas.openxmlformats.org/officeDocument/2006/relationships/hyperlink" Id="rId88" Target="https://github.com/pablobernabeu/LESS-morphosyntactic-transfer" TargetMode="External" /><Relationship Type="http://schemas.openxmlformats.org/officeDocument/2006/relationships/hyperlink" Id="rId49" Target="https://osf.io/tjr54" TargetMode="External" /><Relationship Type="http://schemas.openxmlformats.org/officeDocument/2006/relationships/hyperlink" Id="rId87" Target="https://osf.io/tq7vy" TargetMode="External" /><Relationship Type="http://schemas.openxmlformats.org/officeDocument/2006/relationships/hyperlink" Id="rId29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Neurocognition of Longitudinal L3 Morphosyntactic Transfer: A Bayesian Single-Trial ERP Study of Three Grammatical Properties in Two Artificial Languages</dc:title>
  <dc:creator>Pablo Bernabeu; Christina Athanasiadi; Stella L. Pischinger; Gabriella Silva; My Ngoc Giang Hoang; Vincent DeLuca; Jason Rothman; Iva Ivanova; Claudia Poch; Jorge González Alonso</dc:creator>
  <cp:keywords>L3 acquisition, morphosyntactic transfer, ERP, artificial language, Bayesian multilevel models, retention</cp:keywords>
  <dcterms:created xsi:type="dcterms:W3CDTF">2026-09-08T07:27:52Z</dcterms:created>
  <dcterms:modified xsi:type="dcterms:W3CDTF">2026-09-08T07:27:52Z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Theories of third-language (L3) morphosyntactic transfer disagree over whether prior-language influence is wholesale or property-specific, and say little about how it changes with experience. We tracked behavioural and electrophysiological responses to three grammatical properties in 65 Norwegian–English bilinguals learning Mini-English or Mini-Norwegian across four grammaticality-judgement sessions, including a post-consolidation retention test; 64 contributed usable judgement data and 63 usable ERP data. Single-trial ERP amplitudes and judgement accuracy were analysed in Bayesian multilevel models, with whole-scalp decoding used to test whether grammaticality was represented in distributed activity. Gender agreement, whose Mini-Norwegian realisation matched the first language, showed the clearest transfer signature: its ERP grammaticality effect grew across sessions, and at retention the effect differed between mini-languages, with the Mini-English estimate lower than the Mini-Norwegian estimate. Behaviourally, this property also favoured Mini-Norwegian learners, the only first-language-congruent advantage. Differential object marking showed a transient early effect, a late language-conditioned modulation, and declining accuracy at retention. Verb–object number agreement, novel to both prior languages, strengthened across the retention interval, but only within Mini-Norwegian learners. The two novel properties also showed source-language modulations of opposite sign, which neither account explains. Whole-scalp decoding distinguished grammatical from ungrammatical trials only for gender agreement. The three properties therefore followed distinct trajectories, and the only first-language-congruent advantage appeared where the artificial-language form matched Norwegian. These findings favour property-specific over wholesale transfer, although the conclusion remains provisional because only gender agreement clearly dissociated the accounts.</vt:lpwstr>
  </property>
  <property fmtid="{D5CDD505-2E9C-101B-9397-08002B2CF9AE}" pid="3" name="affiliations">
    <vt:lpwstr/>
  </property>
  <property fmtid="{D5CDD505-2E9C-101B-9397-08002B2CF9AE}" pid="4" name="author-note">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editor">
    <vt:lpwstr>source</vt:lpwstr>
  </property>
  <property fmtid="{D5CDD505-2E9C-101B-9397-08002B2CF9AE}" pid="11" name="execute">
    <vt:lpwstr/>
  </property>
  <property fmtid="{D5CDD505-2E9C-101B-9397-08002B2CF9AE}" pid="12" name="floatsintext">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horttitle">
    <vt:lpwstr>Longitudinal L3 Morphosyntactic Transfer</vt:lpwstr>
  </property>
  <property fmtid="{D5CDD505-2E9C-101B-9397-08002B2CF9AE}" pid="18" name="toc-title">
    <vt:lpwstr>Table of contents</vt:lpwstr>
  </property>
</Properties>
</file>