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2026-06-13</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w:t>
      </w:r>
      <w:r>
        <w:t xml:space="preserve"> </w:t>
      </w:r>
      <w:r>
        <w:t xml:space="preserve">‘OpenSesame’</w:t>
      </w:r>
      <w:r>
        <w:t xml:space="preserve"> </w:t>
      </w:r>
      <w:r>
        <w:t xml:space="preserve">and browser-based</w:t>
      </w:r>
      <w:r>
        <w:t xml:space="preserve"> </w:t>
      </w:r>
      <w:r>
        <w:t xml:space="preserve">‘jsPsych’</w:t>
      </w:r>
      <w:r>
        <w:t xml:space="preserve"> </w:t>
      </w:r>
      <w:r>
        <w:t xml:space="preserve">experiments,</w:t>
      </w:r>
      <w:r>
        <w:t xml:space="preserve"> </w:t>
      </w:r>
      <w:r>
        <w:t xml:space="preserve">the two laboratory targets time-locking their electroencephalography triggers to</w:t>
      </w:r>
      <w:r>
        <w:t xml:space="preserve"> </w:t>
      </w:r>
      <w:r>
        <w:t xml:space="preserve">stimulus onset. The trial is described declaratively as a sequence of events, so the</w:t>
      </w:r>
      <w:r>
        <w:t xml:space="preserve"> </w:t>
      </w:r>
      <w:r>
        <w:t xml:space="preserve">same engine builds factorial word studies, lexical decision with generated</w:t>
      </w:r>
      <w:r>
        <w:t xml:space="preserve"> </w:t>
      </w:r>
      <w:r>
        <w:t xml:space="preserve">pseudowords, priming and self-paced reading from configuration rather than code.</w:t>
      </w:r>
      <w:r>
        <w:t xml:space="preserve"> </w:t>
      </w:r>
      <w:r>
        <w:t xml:space="preserve">The matching and generation are deterministic, so the two engines select</w:t>
      </w:r>
      <w:r>
        <w:t xml:space="preserve"> </w:t>
      </w:r>
      <w:r>
        <w:t xml:space="preserve">identical materials; we</w:t>
      </w:r>
      <w:r>
        <w:t xml:space="preserve"> </w:t>
      </w:r>
      <w:r>
        <w:t xml:space="preserve">demonstrate</w:t>
      </w:r>
      <w:r>
        <w:t xml:space="preserve"> </w:t>
      </w:r>
      <w:r>
        <w:t xml:space="preserve">this on eight worked examples in English, Spanish and Mandarin Chinese — across</w:t>
      </w:r>
      <w:r>
        <w:t xml:space="preserve"> </w:t>
      </w:r>
      <w:r>
        <w:t xml:space="preserve">word, pseudoword, paired and sentence stimuli — one of which shows that the</w:t>
      </w:r>
      <w:r>
        <w:t xml:space="preserve"> </w:t>
      </w:r>
      <w:r>
        <w:t xml:space="preserve">workflow extends to a logographic writing system. The</w:t>
      </w:r>
      <w:r>
        <w:t xml:space="preserve"> </w:t>
      </w:r>
      <w:r>
        <w:t xml:space="preserve">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 that research objects be findable, accessible,</w:t>
      </w:r>
      <w:r>
        <w:t xml:space="preserve"> </w:t>
      </w:r>
      <w:r>
        <w:t xml:space="preserve">interoperable and reusable —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This preparatory machinery is where a quiet reproducibility problem lives.</w:t>
      </w:r>
      <w:r>
        <w:t xml:space="preserve"> </w:t>
      </w:r>
      <w:r>
        <w:t xml:space="preserve">Surveys of open-science practice in linguistics find that experimental materials</w:t>
      </w:r>
      <w:r>
        <w:t xml:space="preserve"> </w:t>
      </w:r>
      <w:r>
        <w:t xml:space="preserve">are rarely shared: across a broad sample only about one article in six stated</w:t>
      </w:r>
      <w:r>
        <w:t xml:space="preserve"> </w:t>
      </w:r>
      <w:r>
        <w:t xml:space="preserve">that its materials were available, and the sharing of materials, data and</w:t>
      </w:r>
      <w:r>
        <w:t xml:space="preserve"> </w:t>
      </w:r>
      <w:r>
        <w:t xml:space="preserve">protocols has scarcely improved over a decade</w:t>
      </w:r>
      <w:r>
        <w:t xml:space="preserve"> </w:t>
      </w:r>
      <w:r>
        <w:t xml:space="preserve">(Bochynska et al., 2023)</w:t>
      </w:r>
      <w:r>
        <w:t xml:space="preserve">. Yet</w:t>
      </w:r>
      <w:r>
        <w:t xml:space="preserve"> </w:t>
      </w:r>
      <w:r>
        <w:t xml:space="preserve">materials are a precondition both for replicating a result and for judging how far</w:t>
      </w:r>
      <w:r>
        <w:t xml:space="preserve"> </w:t>
      </w:r>
      <w:r>
        <w:t xml:space="preserve">it generalises. The gap compounds an analytic one: quantitative phonetic and</w:t>
      </w:r>
      <w:r>
        <w:t xml:space="preserve"> </w:t>
      </w:r>
      <w:r>
        <w:t xml:space="preserve">psycholinguistic work affords many undocumented choices — how a stimulus set is</w:t>
      </w:r>
      <w:r>
        <w:t xml:space="preserve"> </w:t>
      </w:r>
      <w:r>
        <w:t xml:space="preserve">assembled, how a measure is quantified — and exploiting this flexibility inflates</w:t>
      </w:r>
      <w:r>
        <w:t xml:space="preserve"> </w:t>
      </w:r>
      <w:r>
        <w:t xml:space="preserve">false positives</w:t>
      </w:r>
      <w:r>
        <w:t xml:space="preserve"> </w:t>
      </w:r>
      <w:r>
        <w:t xml:space="preserve">(</w:t>
      </w:r>
      <w:r>
        <w:t xml:space="preserve">Coretta et al.</w:t>
      </w:r>
      <w:r>
        <w:t xml:space="preserve">, 2023; Roettger, 2019; Roettger et al., 2019)</w:t>
      </w:r>
      <w:r>
        <w:t xml:space="preserve">. Transparent, runnable, shareable materials are part</w:t>
      </w:r>
      <w:r>
        <w:t xml:space="preserve"> </w:t>
      </w:r>
      <w:r>
        <w:t xml:space="preserve">of the remedy these authors call for.</w:t>
      </w:r>
    </w:p>
    <w:p>
      <w:pPr>
        <w:pStyle w:val="BodyText"/>
      </w:pPr>
      <w:r>
        <w:t xml:space="preserve">There is also a statistical reason to take materials seriously. The items in an</w:t>
      </w:r>
      <w:r>
        <w:t xml:space="preserve"> </w:t>
      </w:r>
      <w:r>
        <w:t xml:space="preserve">experiment are a sample from a larger population of possible items, and a</w:t>
      </w:r>
      <w:r>
        <w:t xml:space="preserve"> </w:t>
      </w:r>
      <w:r>
        <w:t xml:space="preserve">conclusion is meant to hold for that population, not merely for the words actually</w:t>
      </w:r>
      <w:r>
        <w:t xml:space="preserve"> </w:t>
      </w:r>
      <w:r>
        <w:t xml:space="preserve">shown. Treating items as a fixed rather than a random factor inflates Type I error</w:t>
      </w:r>
      <w:r>
        <w:t xml:space="preserve"> </w:t>
      </w:r>
      <w:r>
        <w:t xml:space="preserve">— the language-as-fixed-effect fallacy</w:t>
      </w:r>
      <w:r>
        <w:t xml:space="preserve"> </w:t>
      </w:r>
      <w:r>
        <w:t xml:space="preserve">(Clark, 1973)</w:t>
      </w:r>
      <w:r>
        <w:t xml:space="preserve"> </w:t>
      </w:r>
      <w:r>
        <w:t xml:space="preserve">— and recent work</w:t>
      </w:r>
      <w:r>
        <w:t xml:space="preserve"> </w:t>
      </w:r>
      <w:r>
        <w:t xml:space="preserve">recasts the same point as a</w:t>
      </w:r>
      <w:r>
        <w:t xml:space="preserve"> </w:t>
      </w:r>
      <w:r>
        <w:rPr>
          <w:i/>
          <w:iCs/>
        </w:rPr>
        <w:t xml:space="preserve">generalizability crisis</w:t>
      </w:r>
      <w:r>
        <w:t xml:space="preserve">: researchers routinely model</w:t>
      </w:r>
      <w:r>
        <w:t xml:space="preserve"> </w:t>
      </w:r>
      <w:r>
        <w:t xml:space="preserve">participants as a random factor but not stimuli, and so claim more than their</w:t>
      </w:r>
      <w:r>
        <w:t xml:space="preserve"> </w:t>
      </w:r>
      <w:r>
        <w:t xml:space="preserve">designs license</w:t>
      </w:r>
      <w:r>
        <w:t xml:space="preserve"> </w:t>
      </w:r>
      <w:r>
        <w:t xml:space="preserve">(Yarkoni, 2020)</w:t>
      </w:r>
      <w:r>
        <w:t xml:space="preserve">. A tool that makes the construction</w:t>
      </w:r>
      <w:r>
        <w:t xml:space="preserve"> </w:t>
      </w:r>
      <w:r>
        <w:t xml:space="preserve">of a matched, balanced item set explicit, reproducible and shareable is therefore</w:t>
      </w:r>
      <w:r>
        <w:t xml:space="preserve"> </w:t>
      </w:r>
      <w:r>
        <w:t xml:space="preserve">not a convenience but part of the methodological infrastructure that careful</w:t>
      </w:r>
      <w:r>
        <w:t xml:space="preserve"> </w:t>
      </w:r>
      <w:r>
        <w:t xml:space="preserve">inference requires.</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resampling 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not a missing capability but a missing integration.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fills these gaps; both presentation targets time-lock the marker to stimulus onset (see below). It is released as two</w:t>
      </w:r>
      <w:r>
        <w:t xml:space="preserve"> </w:t>
      </w:r>
      <w:r>
        <w:t xml:space="preserve">independent but structurally identical packages — a</w:t>
      </w:r>
      <w:r>
        <w:t xml:space="preserve"> </w:t>
      </w:r>
      <w:r>
        <w:t xml:space="preserve">‘CRAN’</w:t>
      </w:r>
      <w:r>
        <w:t xml:space="preserve">-ready R package and a</w:t>
      </w:r>
      <w:r>
        <w:t xml:space="preserve"> </w:t>
      </w:r>
      <w:r>
        <w:t xml:space="preserve">‘PyPI’</w:t>
      </w:r>
      <w:r>
        <w:t xml:space="preserve">-ready Python package —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then writes a</w:t>
      </w:r>
      <w:r>
        <w:t xml:space="preserve"> </w:t>
      </w:r>
      <w:r>
        <w:t xml:space="preserve">‘PsychoPy’</w:t>
      </w:r>
      <w:r>
        <w:t xml:space="preserve"> </w:t>
      </w:r>
      <w:r>
        <w:t xml:space="preserve">script in which each onset trigger is</w:t>
      </w:r>
      <w:r>
        <w:t xml:space="preserve"> </w:t>
      </w:r>
      <w:r>
        <w:t xml:space="preserve">bound to the exact screen flip on which the critical stimulus appears, using</w:t>
      </w:r>
      <w:r>
        <w:t xml:space="preserve"> </w:t>
      </w:r>
      <w:r>
        <w:rPr>
          <w:rStyle w:val="VerbatimChar"/>
        </w:rPr>
        <w:t xml:space="preserve">win.callOnFlip</w:t>
      </w:r>
      <w:r>
        <w:t xml:space="preserve">,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materials.</w:t>
      </w:r>
      <w:r>
        <w:t xml:space="preserve"> </w:t>
      </w:r>
      <w:r>
        <w:t xml:space="preserve">The trial itself is not hard-wired to a single task: a design declares an ordered</w:t>
      </w:r>
      <w:r>
        <w:t xml:space="preserve"> </w:t>
      </w:r>
      <w:r>
        <w:t xml:space="preserve">sequence of trial</w:t>
      </w:r>
      <w:r>
        <w:t xml:space="preserve"> </w:t>
      </w:r>
      <w:r>
        <w:rPr>
          <w:i/>
          <w:iCs/>
        </w:rPr>
        <w:t xml:space="preserve">events</w:t>
      </w:r>
      <w:r>
        <w:t xml:space="preserve">, and both backends render that sequence, so the same</w:t>
      </w:r>
      <w:r>
        <w:t xml:space="preserve"> </w:t>
      </w:r>
      <w:r>
        <w:t xml:space="preserve">machinery produces a factorial word study, a lexical-decision task with generated</w:t>
      </w:r>
      <w:r>
        <w:t xml:space="preserve"> </w:t>
      </w:r>
      <w:r>
        <w:t xml:space="preserve">pseudowords, a primed design or a self-paced reading study from configuration</w:t>
      </w:r>
      <w:r>
        <w:t xml:space="preserve"> </w:t>
      </w:r>
      <w:r>
        <w:t xml:space="preserve">rather than new code.</w:t>
      </w:r>
      <w:r>
        <w:t xml:space="preserve"> </w:t>
      </w:r>
      <w:r>
        <w:t xml:space="preserve">‘lexsync’</w:t>
      </w:r>
      <w:r>
        <w:t xml:space="preserve"> </w:t>
      </w:r>
      <w:r>
        <w:t xml:space="preserve">thus generalises the materials workflow of</w:t>
      </w:r>
      <w:r>
        <w:t xml:space="preserve"> </w:t>
      </w:r>
      <w:r>
        <w:t xml:space="preserve">González Alonso et al. (2025)</w:t>
      </w:r>
      <w:r>
        <w:t xml:space="preserve"> </w:t>
      </w:r>
      <w:r>
        <w:t xml:space="preserve">— itself an artificial-grammar study — into a reusable,</w:t>
      </w:r>
      <w:r>
        <w:t xml:space="preserve"> </w:t>
      </w:r>
      <w:r>
        <w:t xml:space="preserve">FAIR-compliant tool for many psycholinguistic paradigms.</w:t>
      </w:r>
    </w:p>
    <w:bookmarkEnd w:id="9"/>
    <w:bookmarkStart w:id="17"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or an</w:t>
      </w:r>
      <w:r>
        <w:t xml:space="preserve"> </w:t>
      </w:r>
      <w:r>
        <w:t xml:space="preserve">item table and 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generation</w:t>
      </w:r>
      <w:r>
        <w:t xml:space="preserve"> </w:t>
      </w:r>
      <w:r>
        <w:t xml:space="preserve">(deterministic pseudoword generation),</w:t>
      </w:r>
      <w:r>
        <w:t xml:space="preserve"> </w:t>
      </w:r>
      <w:r>
        <w:rPr>
          <w:rStyle w:val="VerbatimChar"/>
        </w:rPr>
        <w:t xml:space="preserve">paradigms</w:t>
      </w:r>
      <w:r>
        <w:t xml:space="preserve"> </w:t>
      </w:r>
      <w:r>
        <w:t xml:space="preserve">(the trial-event</w:t>
      </w:r>
      <w:r>
        <w:t xml:space="preserve"> </w:t>
      </w:r>
      <w:r>
        <w:t xml:space="preserve">registry),</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datasheet</w:t>
      </w:r>
      <w:r>
        <w:t xml:space="preserve"> </w:t>
      </w:r>
      <w:r>
        <w:t xml:space="preserve">(the materials datasheet and pre-registration</w:t>
      </w:r>
      <w:r>
        <w:t xml:space="preserve"> </w:t>
      </w:r>
      <w:r>
        <w:t xml:space="preserve">template),</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 orchestrator,</w:t>
      </w:r>
      <w:r>
        <w:t xml:space="preserve"> </w:t>
      </w:r>
      <w:r>
        <w:rPr>
          <w:rStyle w:val="VerbatimChar"/>
        </w:rPr>
        <w:t xml:space="preserve">run_pipeline</w:t>
      </w:r>
      <w:r>
        <w:t xml:space="preserve">, drives them in an explicit loop</w:t>
      </w:r>
      <w:r>
        <w:t xml:space="preserve"> </w:t>
      </w:r>
      <w:r>
        <w:t xml:space="preserve">over designs and languages, so that adding a language, a design or a paradigm is a</w:t>
      </w:r>
      <w:r>
        <w:t xml:space="preserve"> </w:t>
      </w:r>
      <w:r>
        <w:t xml:space="preserve">matter of supplying a configuration file (and, where relevant, a lexicon or item</w:t>
      </w:r>
      <w:r>
        <w:t xml:space="preserve"> </w:t>
      </w:r>
      <w:r>
        <w:t xml:space="preserve">table)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 </w:t>
      </w:r>
      <w:r>
        <w:t xml:space="preserve">and</w:t>
      </w:r>
      <w:r>
        <w:t xml:space="preserve"> </w:t>
      </w:r>
      <w:r>
        <w:t xml:space="preserve">‘jsonlite’</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Stimuli are only as good as the corpus behind them.</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 among them SUBTLEX-CH for Chinese</w:t>
      </w:r>
      <w:r>
        <w:t xml:space="preserve"> </w:t>
      </w:r>
      <w:r>
        <w:t xml:space="preserve">(Cai &amp; Brysbaert, 2010)</w:t>
      </w:r>
      <w:r>
        <w:t xml:space="preserve"> </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 a parity we verify below.</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 as orthographic neighbourhood density is with word length and</w:t>
      </w:r>
      <w:r>
        <w:t xml:space="preserve"> </w:t>
      </w:r>
      <w:r>
        <w:t xml:space="preserve">frequency —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between conditions,</w:t>
      </w:r>
      <w:r>
        <w:t xml:space="preserve"> </w:t>
      </w:r>
      <w:r>
        <w:t xml:space="preserve">together with a 90% confidence interval on that difference.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 and hence</w:t>
      </w:r>
      <w:r>
        <w:t xml:space="preserve"> </w:t>
      </w:r>
      <w:r>
        <w:t xml:space="preserve">the dependence on the number of items —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bound-referenced verdict; the 90%</w:t>
      </w:r>
      <w:r>
        <w:t xml:space="preserve"> </w:t>
      </w:r>
      <w:r>
        <w:t xml:space="preserve">interval is exactly the interval whose lying inside the bound corresponds to a</w:t>
      </w:r>
      <w:r>
        <w:t xml:space="preserve"> </w:t>
      </w:r>
      <w:r>
        <w:t xml:space="preserve">TOST at the .05 level, so the two are coherent and the interval is the more</w:t>
      </w:r>
      <w:r>
        <w:t xml:space="preserve"> </w:t>
      </w:r>
      <w:r>
        <w:t xml:space="preserve">transparent of the pair. Together they make the realised control explicit, in the</w:t>
      </w:r>
      <w:r>
        <w:t xml:space="preserve"> </w:t>
      </w:r>
      <w:r>
        <w:t xml:space="preserve">spirit of the original workflow’s balance checks, and the run log makes a run</w:t>
      </w:r>
      <w:r>
        <w:t xml:space="preserve"> </w:t>
      </w:r>
      <w:r>
        <w:t xml:space="preserve">auditable.</w:t>
      </w:r>
    </w:p>
    <w:p>
      <w:pPr>
        <w:pStyle w:val="BodyText"/>
      </w:pPr>
      <w:r>
        <w:t xml:space="preserve">Finally, each design is accompanied by a</w:t>
      </w:r>
      <w:r>
        <w:t xml:space="preserve"> </w:t>
      </w:r>
      <w:r>
        <w:rPr>
          <w:i/>
          <w:iCs/>
        </w:rPr>
        <w:t xml:space="preserve">materials datasheet</w:t>
      </w:r>
      <w:r>
        <w:t xml:space="preserve"> </w:t>
      </w:r>
      <w:r>
        <w:t xml:space="preserve">— a machine-readable</w:t>
      </w:r>
      <w:r>
        <w:t xml:space="preserve"> </w:t>
      </w:r>
      <w:r>
        <w:t xml:space="preserve">JSON record and a human-readable Markdown summary of its provenance: the corpus or</w:t>
      </w:r>
      <w:r>
        <w:t xml:space="preserve"> </w:t>
      </w:r>
      <w:r>
        <w:t xml:space="preserve">item table and its checksum, the dimensions and how they were computed, the</w:t>
      </w:r>
      <w:r>
        <w:t xml:space="preserve"> </w:t>
      </w:r>
      <w:r>
        <w:t xml:space="preserve">selection or matching method and its parameters, the realised control (the effect</w:t>
      </w:r>
      <w:r>
        <w:t xml:space="preserve"> </w:t>
      </w:r>
      <w:r>
        <w:t xml:space="preserve">sizes, intervals and equivalence verdicts above), the counterbalancing recipe, and</w:t>
      </w:r>
      <w:r>
        <w:t xml:space="preserve"> </w:t>
      </w:r>
      <w:r>
        <w:t xml:space="preserve">the seed, software versions and file checksums needed to reproduce the materials</w:t>
      </w:r>
      <w:r>
        <w:t xml:space="preserve"> </w:t>
      </w:r>
      <w:r>
        <w:t xml:space="preserve">exactly. The datasheet also emits an auto-filled Methods paragraph and a</w:t>
      </w:r>
      <w:r>
        <w:t xml:space="preserve"> </w:t>
      </w:r>
      <w:r>
        <w:t xml:space="preserve">pre-registration template with its Materials section completed. This is a direct</w:t>
      </w:r>
      <w:r>
        <w:t xml:space="preserve"> </w:t>
      </w:r>
      <w:r>
        <w:t xml:space="preserve">response to the finding that experimental materials are rarely shared in a usable</w:t>
      </w:r>
      <w:r>
        <w:t xml:space="preserve"> </w:t>
      </w:r>
      <w:r>
        <w:t xml:space="preserve">form</w:t>
      </w:r>
      <w:r>
        <w:t xml:space="preserve"> </w:t>
      </w:r>
      <w:r>
        <w:t xml:space="preserve">(Bochynska et al., 2023; Roettger, 2019)</w:t>
      </w:r>
      <w:r>
        <w:t xml:space="preserve">: the materials, the</w:t>
      </w:r>
      <w:r>
        <w:t xml:space="preserve"> </w:t>
      </w:r>
      <w:r>
        <w:t xml:space="preserve">procedure and the record of how they were made travel together.</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immediately after</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the marker is written right after the verified</w:t>
      </w:r>
      <w:r>
        <w:t xml:space="preserve"> </w:t>
      </w:r>
      <w:r>
        <w:t xml:space="preserve">flip, so both targets are time-locked to stimulus onset:</w:t>
      </w:r>
      <w:r>
        <w:t xml:space="preserve"> </w:t>
      </w:r>
      <w:r>
        <w:t xml:space="preserve">‘PsychoPy’</w:t>
      </w:r>
      <w:r>
        <w:t xml:space="preserve"> </w:t>
      </w:r>
      <w:r>
        <w:t xml:space="preserve">binds the</w:t>
      </w:r>
      <w:r>
        <w:t xml:space="preserve"> </w:t>
      </w:r>
      <w:r>
        <w:t xml:space="preserve">marker to the flip with</w:t>
      </w:r>
      <w:r>
        <w:t xml:space="preserve"> </w:t>
      </w:r>
      <w:r>
        <w:rPr>
          <w:rStyle w:val="VerbatimChar"/>
        </w:rPr>
        <w:t xml:space="preserve">win.callOnFlip</w:t>
      </w:r>
      <w:r>
        <w:t xml:space="preserve">, and</w:t>
      </w:r>
      <w:r>
        <w:t xml:space="preserve"> </w:t>
      </w:r>
      <w:r>
        <w:t xml:space="preserve">‘OpenSesame’</w:t>
      </w:r>
      <w:r>
        <w:t xml:space="preserve"> </w:t>
      </w:r>
      <w:r>
        <w:t xml:space="preserve">writes it immediately</w:t>
      </w:r>
      <w:r>
        <w:t xml:space="preserve"> </w:t>
      </w:r>
      <w:r>
        <w:t xml:space="preserve">after the refresh-blocking</w:t>
      </w:r>
      <w:r>
        <w:t xml:space="preserve"> </w:t>
      </w:r>
      <w:r>
        <w:rPr>
          <w:rStyle w:val="VerbatimChar"/>
        </w:rPr>
        <w:t xml:space="preserve">show()</w:t>
      </w:r>
      <w:r>
        <w:t xml:space="preserve">, the platform’s recommended method. We</w:t>
      </w:r>
      <w:r>
        <w:t xml:space="preserve"> </w:t>
      </w:r>
      <w:r>
        <w:t xml:space="preserve">recommend a photodiode check in either case. Notably, neither the matching nor the script generation</w:t>
      </w:r>
      <w:r>
        <w:t xml:space="preserve"> </w:t>
      </w:r>
      <w:r>
        <w:t xml:space="preserve">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X6829ce20097d7c548bcccabf6ac7a3853417634"/>
    <w:p>
      <w:pPr>
        <w:pStyle w:val="Heading2"/>
      </w:pPr>
      <w:r>
        <w:t xml:space="preserve">Paradigm generality: the trial-event model</w:t>
      </w:r>
    </w:p>
    <w:p>
      <w:pPr>
        <w:pStyle w:val="FirstParagraph"/>
      </w:pPr>
      <w:r>
        <w:t xml:space="preserve">The original workflow built one kind of trial — a fixation cross, a single word</w:t>
      </w:r>
      <w:r>
        <w:t xml:space="preserve"> </w:t>
      </w:r>
      <w:r>
        <w:t xml:space="preserve">and a response — and wrote it into the experiment by hand.</w:t>
      </w:r>
      <w:r>
        <w:t xml:space="preserve"> </w:t>
      </w:r>
      <w:r>
        <w:t xml:space="preserve">‘lexsync’</w:t>
      </w:r>
      <w:r>
        <w:t xml:space="preserve"> </w:t>
      </w:r>
      <w:r>
        <w:t xml:space="preserve">replaces that</w:t>
      </w:r>
      <w:r>
        <w:t xml:space="preserve"> </w:t>
      </w:r>
      <w:r>
        <w:t xml:space="preserve">fixed structure with a declarative one. A trial is an ordered list of</w:t>
      </w:r>
      <w:r>
        <w:t xml:space="preserve"> </w:t>
      </w:r>
      <w:r>
        <w:rPr>
          <w:i/>
          <w:iCs/>
        </w:rPr>
        <w:t xml:space="preserve">events</w:t>
      </w:r>
      <w:r>
        <w:t xml:space="preserve">,</w:t>
      </w:r>
      <w:r>
        <w:t xml:space="preserve"> </w:t>
      </w:r>
      <w:r>
        <w:t xml:space="preserve">each a small record naming its type (a fixation, a piece of text, a mask, a blank</w:t>
      </w:r>
      <w:r>
        <w:t xml:space="preserve"> </w:t>
      </w:r>
      <w:r>
        <w:t xml:space="preserve">interval, a region-by-region passage, a response or a comprehension question), its</w:t>
      </w:r>
      <w:r>
        <w:t xml:space="preserve"> </w:t>
      </w:r>
      <w:r>
        <w:t xml:space="preserve">content (a literal such as a fixation cross, or a reference to a field of the</w:t>
      </w:r>
      <w:r>
        <w:t xml:space="preserve"> </w:t>
      </w:r>
      <w:r>
        <w:t xml:space="preserve">trial such as the target word or the sentence), its duration, and an optional EEG</w:t>
      </w:r>
      <w:r>
        <w:t xml:space="preserve"> </w:t>
      </w:r>
      <w:r>
        <w:t xml:space="preserve">trigger that may be locked to the event’s onset. A</w:t>
      </w:r>
      <w:r>
        <w:t xml:space="preserve"> </w:t>
      </w:r>
      <w:r>
        <w:rPr>
          <w:i/>
          <w:iCs/>
        </w:rPr>
        <w:t xml:space="preserve">paradigm</w:t>
      </w:r>
      <w:r>
        <w:t xml:space="preserve"> </w:t>
      </w:r>
      <w:r>
        <w:t xml:space="preserve">is simply a named</w:t>
      </w:r>
      <w:r>
        <w:t xml:space="preserve"> </w:t>
      </w:r>
      <w:r>
        <w:t xml:space="preserve">default sequence of such events together with the trial fields it requires; a</w:t>
      </w:r>
      <w:r>
        <w:t xml:space="preserve"> </w:t>
      </w:r>
      <w:r>
        <w:t xml:space="preserve">design either selects a paradigm or supplies its own event list. All three</w:t>
      </w:r>
      <w:r>
        <w:t xml:space="preserve"> </w:t>
      </w:r>
      <w:r>
        <w:t xml:space="preserve">presentation backends iterate the same list — the</w:t>
      </w:r>
      <w:r>
        <w:t xml:space="preserve"> </w:t>
      </w:r>
      <w:r>
        <w:t xml:space="preserve">‘PsychoPy’</w:t>
      </w:r>
      <w:r>
        <w:t xml:space="preserve"> </w:t>
      </w:r>
      <w:r>
        <w:t xml:space="preserve">script interprets it</w:t>
      </w:r>
      <w:r>
        <w:t xml:space="preserve"> </w:t>
      </w:r>
      <w:r>
        <w:t xml:space="preserve">at run time, the</w:t>
      </w:r>
      <w:r>
        <w:t xml:space="preserve"> </w:t>
      </w:r>
      <w:r>
        <w:t xml:space="preserve">‘OpenSesame’</w:t>
      </w:r>
      <w:r>
        <w:t xml:space="preserve"> </w:t>
      </w:r>
      <w:r>
        <w:t xml:space="preserve">generator emits one block per event, and the</w:t>
      </w:r>
      <w:r>
        <w:t xml:space="preserve"> </w:t>
      </w:r>
      <w:r>
        <w:t xml:space="preserve">‘jsPsych’</w:t>
      </w:r>
      <w:r>
        <w:t xml:space="preserve"> </w:t>
      </w:r>
      <w:r>
        <w:t xml:space="preserve">generator builds a browser timeline from it — so adding a paradigm is a</w:t>
      </w:r>
      <w:r>
        <w:t xml:space="preserve"> </w:t>
      </w:r>
      <w:r>
        <w:t xml:space="preserve">matter of configuration, not backend code, and the targets stay in step by</w:t>
      </w:r>
      <w:r>
        <w:t xml:space="preserve"> </w:t>
      </w:r>
      <w:r>
        <w:t xml:space="preserve">construction. The</w:t>
      </w:r>
      <w:r>
        <w:t xml:space="preserve"> </w:t>
      </w:r>
      <w:r>
        <w:t xml:space="preserve">‘jsPsych’</w:t>
      </w:r>
      <w:r>
        <w:t xml:space="preserve"> </w:t>
      </w:r>
      <w:r>
        <w:t xml:space="preserve">target is a single self-contained HTML file that runs</w:t>
      </w:r>
      <w:r>
        <w:t xml:space="preserve"> </w:t>
      </w:r>
      <w:r>
        <w:t xml:space="preserve">in any modern browser, letting anyone reproduce the exact procedure online from the</w:t>
      </w:r>
      <w:r>
        <w:t xml:space="preserve"> </w:t>
      </w:r>
      <w:r>
        <w:t xml:space="preserve">same materials; because a browser cannot drive a parallel port, each onset marker</w:t>
      </w:r>
      <w:r>
        <w:t xml:space="preserve"> </w:t>
      </w:r>
      <w:r>
        <w:t xml:space="preserve">is recorded in the trial’s data rather than written to hardware (online EEG</w:t>
      </w:r>
      <w:r>
        <w:t xml:space="preserve"> </w:t>
      </w:r>
      <w:r>
        <w:t xml:space="preserve">synchronisation would route it through WebSerial or a photodiode). Stimulus text is always written as data into the conditions file the</w:t>
      </w:r>
      <w:r>
        <w:t xml:space="preserve"> </w:t>
      </w:r>
      <w:r>
        <w:t xml:space="preserve">experiment reads, never interpolated into the generated code, and every value is</w:t>
      </w:r>
      <w:r>
        <w:t xml:space="preserve"> </w:t>
      </w:r>
      <w:r>
        <w:t xml:space="preserve">validated (no control characters; bounded length) before it is written, so a</w:t>
      </w:r>
      <w:r>
        <w:t xml:space="preserve"> </w:t>
      </w:r>
      <w:r>
        <w:t xml:space="preserve">malformed item cannot corrupt a script.</w:t>
      </w:r>
    </w:p>
    <w:p>
      <w:pPr>
        <w:pStyle w:val="BodyText"/>
      </w:pPr>
      <w:r>
        <w:t xml:space="preserve">Items reach a design from one of three sources. The corpus source is the matching</w:t>
      </w:r>
      <w:r>
        <w:t xml:space="preserve"> </w:t>
      </w:r>
      <w:r>
        <w:t xml:space="preserve">engine described above. The</w:t>
      </w:r>
      <w:r>
        <w:t xml:space="preserve"> </w:t>
      </w:r>
      <w:r>
        <w:rPr>
          <w:i/>
          <w:iCs/>
        </w:rPr>
        <w:t xml:space="preserve">table</w:t>
      </w:r>
      <w:r>
        <w:t xml:space="preserve"> </w:t>
      </w:r>
      <w:r>
        <w:t xml:space="preserve">source loads a user-supplied set of items —</w:t>
      </w:r>
      <w:r>
        <w:t xml:space="preserve"> </w:t>
      </w:r>
      <w:r>
        <w:t xml:space="preserve">prime–target pairs, or sentences segmented into regions with a comprehension</w:t>
      </w:r>
      <w:r>
        <w:t xml:space="preserve"> </w:t>
      </w:r>
      <w:r>
        <w:t xml:space="preserve">question — validated against the paradigm’s required fields and counterbalanced by</w:t>
      </w:r>
      <w:r>
        <w:t xml:space="preserve"> </w:t>
      </w:r>
      <w:r>
        <w:t xml:space="preserve">a Latin square that shows each item once per list in a rotated condition, so a</w:t>
      </w:r>
      <w:r>
        <w:t xml:space="preserve"> </w:t>
      </w:r>
      <w:r>
        <w:t xml:space="preserve">target is never repeated within a list. The</w:t>
      </w:r>
      <w:r>
        <w:t xml:space="preserve"> </w:t>
      </w:r>
      <w:r>
        <w:rPr>
          <w:i/>
          <w:iCs/>
        </w:rPr>
        <w:t xml:space="preserve">generate</w:t>
      </w:r>
      <w:r>
        <w:t xml:space="preserve"> </w:t>
      </w:r>
      <w:r>
        <w:t xml:space="preserve">source builds pseudowords.</w:t>
      </w:r>
      <w:r>
        <w:t xml:space="preserve"> </w:t>
      </w:r>
      <w:r>
        <w:t xml:space="preserve">For each real word</w:t>
      </w:r>
      <w:r>
        <w:t xml:space="preserve"> </w:t>
      </w:r>
      <w:r>
        <w:t xml:space="preserve">‘lexsync’</w:t>
      </w:r>
      <w:r>
        <w:t xml:space="preserve"> </w:t>
      </w:r>
      <w:r>
        <w:t xml:space="preserve">derives a length-matched, orthographically legal</w:t>
      </w:r>
      <w:r>
        <w:t xml:space="preserve"> </w:t>
      </w:r>
      <w:r>
        <w:t xml:space="preserve">non-word by changing the fewest letters such that every resulting letter bigram is</w:t>
      </w:r>
      <w:r>
        <w:t xml:space="preserve"> </w:t>
      </w:r>
      <w:r>
        <w:t xml:space="preserve">attested in the corpus and the form is not itself a word, choosing among the legal</w:t>
      </w:r>
      <w:r>
        <w:t xml:space="preserve"> </w:t>
      </w:r>
      <w:r>
        <w:t xml:space="preserve">candidates the most bigram-plausible with a byte-order tie-break. This is a</w:t>
      </w:r>
      <w:r>
        <w:t xml:space="preserve"> </w:t>
      </w:r>
      <w:r>
        <w:t xml:space="preserve">deterministic, cross-engine-reproducible relative of</w:t>
      </w:r>
      <w:r>
        <w:t xml:space="preserve"> </w:t>
      </w:r>
      <w:r>
        <w:t xml:space="preserve">‘Wuggy’</w:t>
      </w:r>
      <w:r>
        <w:t xml:space="preserve"> </w:t>
      </w:r>
      <w:r>
        <w:t xml:space="preserve">(Keuleers &amp; Brysbaert, 2010)</w:t>
      </w:r>
      <w:r>
        <w:t xml:space="preserve">: where Wuggy models subsyllabic structure,</w:t>
      </w:r>
      <w:r>
        <w:t xml:space="preserve"> </w:t>
      </w:r>
      <w:r>
        <w:t xml:space="preserve">‘lexsync’</w:t>
      </w:r>
      <w:r>
        <w:t xml:space="preserve"> </w:t>
      </w:r>
      <w:r>
        <w:t xml:space="preserve">trades</w:t>
      </w:r>
      <w:r>
        <w:t xml:space="preserve"> </w:t>
      </w:r>
      <w:r>
        <w:t xml:space="preserve">that for exact length matching and identical output from the R and Python engines.</w:t>
      </w:r>
    </w:p>
    <w:bookmarkEnd w:id="15"/>
    <w:bookmarkStart w:id="16"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6"/>
    <w:bookmarkEnd w:id="17"/>
    <w:bookmarkStart w:id="30"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eight demonstrations. The first five are</w:t>
      </w:r>
      <w:r>
        <w:t xml:space="preserve"> </w:t>
      </w:r>
      <w:r>
        <w:t xml:space="preserve">corpus-matched word contrasts; the last three exercise other paradigms. Of the</w:t>
      </w:r>
      <w:r>
        <w:t xml:space="preserve"> </w:t>
      </w:r>
      <w:r>
        <w:t xml:space="preserve">matched contrasts, four are alphabetic: a high- versus low-frequency contrast and</w:t>
      </w:r>
      <w:r>
        <w:t xml:space="preserve"> </w:t>
      </w:r>
      <w:r>
        <w:t xml:space="preserve">a dense- versus sparse-neighbourhood contrast, each in English and in Spanish,</w:t>
      </w:r>
      <w:r>
        <w:t xml:space="preserve"> </w:t>
      </w:r>
      <w:r>
        <w:t xml:space="preserve">drawn from thirty-thousand-word lexica. The frequency contrast matches items on</w:t>
      </w:r>
      <w:r>
        <w:t xml:space="preserve"> </w:t>
      </w:r>
      <w:r>
        <w:t xml:space="preserve">length, neighbourhood density and OLD20; the neighbourhood contrast matches on</w:t>
      </w:r>
      <w:r>
        <w:t xml:space="preserve"> </w:t>
      </w:r>
      <w:r>
        <w:t xml:space="preserve">length and frequency. The fifth is a high- versus low-frequency contrast in</w:t>
      </w:r>
      <w:r>
        <w:t xml:space="preserve"> </w:t>
      </w:r>
      <w:r>
        <w:t xml:space="preserve">Mandarin Chinese, included to show that the pipeline generalises to a logographic</w:t>
      </w:r>
      <w:r>
        <w:t xml:space="preserve"> </w:t>
      </w:r>
      <w:r>
        <w:t xml:space="preserve">writing system (see</w:t>
      </w:r>
      <w:r>
        <w:t xml:space="preserve"> </w:t>
      </w:r>
      <w:r>
        <w:rPr>
          <w:i/>
          <w:iCs/>
        </w:rPr>
        <w:t xml:space="preserve">Generalisation to a logographic script</w:t>
      </w:r>
      <w:r>
        <w:t xml:space="preserve">, below). The</w:t>
      </w:r>
      <w:r>
        <w:t xml:space="preserve"> </w:t>
      </w:r>
      <w:r>
        <w:t xml:space="preserve">remaining three — lexical decision, priming and self-paced reading — show the</w:t>
      </w:r>
      <w:r>
        <w:t xml:space="preserve"> </w:t>
      </w:r>
      <w:r>
        <w:t xml:space="preserve">trial-event model carrying word, pseudoword, paired and sentence stimuli (see</w:t>
      </w:r>
      <w:r>
        <w:t xml:space="preserve"> </w:t>
      </w:r>
      <w:r>
        <w:rPr>
          <w:i/>
          <w:iCs/>
        </w:rPr>
        <w:t xml:space="preserve">Beyond word lists</w:t>
      </w:r>
      <w:r>
        <w:t xml:space="preserve">, below). Each demonstration was produced by both the R and the</w:t>
      </w:r>
      <w:r>
        <w:t xml:space="preserve"> </w:t>
      </w:r>
      <w:r>
        <w:t xml:space="preserve">Python engine. All tables and figures in this section are computed at render time</w:t>
      </w:r>
      <w:r>
        <w:t xml:space="preserve"> </w:t>
      </w:r>
      <w:r>
        <w:t xml:space="preserve">from the generated output. The tables that follow summarise the five matched word</w:t>
      </w:r>
      <w:r>
        <w:t xml:space="preserve"> </w:t>
      </w:r>
      <w:r>
        <w:t xml:space="preserve">contrasts, for which a controlled-versus-manipulated report is defined.</w:t>
      </w:r>
    </w:p>
    <w:tbl>
      <w:tblPr>
        <w:tblStyle w:val="Table"/>
        <w:tblW w:type="pct" w:w="5000"/>
        <w:tblLayout w:type="fixed"/>
        <w:tblLook w:firstRow="0" w:lastRow="0" w:firstColumn="0" w:lastColumn="0" w:noHBand="0" w:noVBand="0" w:val="0000"/>
      </w:tblPr>
      <w:tblGrid>
        <w:gridCol w:w="7920"/>
      </w:tblGrid>
      <w:tr>
        <w:tc>
          <w:tcPr/>
          <w:bookmarkStart w:id="18"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8"/>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2" w:name="fig-balance"/>
          <w:p>
            <w:pPr>
              <w:pStyle w:val="Compact"/>
              <w:jc w:val="center"/>
            </w:pPr>
            <w:r>
              <w:drawing>
                <wp:inline>
                  <wp:extent cx="5334000" cy="3259666"/>
                  <wp:effectExtent b="0" l="0" r="0" t="0"/>
                  <wp:docPr descr="" title="" id="20" name="Picture"/>
                  <a:graphic>
                    <a:graphicData uri="http://schemas.openxmlformats.org/drawingml/2006/picture">
                      <pic:pic>
                        <pic:nvPicPr>
                          <pic:cNvPr descr="manuscript_files/figure-docx/fig-balance-1.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2"/>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3"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3"/>
          <w:p/>
        </w:tc>
      </w:tr>
    </w:tbl>
    <w:p>
      <w:pPr>
        <w:pStyle w:val="BodyText"/>
      </w:pPr>
      <w:r>
        <w:t xml:space="preserve">In every demonstration each controlled dimension’s 90% confidence interval lies</w:t>
      </w:r>
      <w:r>
        <w:t xml:space="preserve"> </w:t>
      </w:r>
      <w:r>
        <w:t xml:space="preserve">within the 0.5-</w:t>
      </w:r>
      <w:r>
        <w:rPr>
          <w:i/>
          <w:iCs/>
        </w:rPr>
        <w:t xml:space="preserve">SD</w:t>
      </w:r>
      <w:r>
        <w:t xml:space="preserve"> </w:t>
      </w:r>
      <w:r>
        <w:t xml:space="preserve">bound (</w:t>
      </w:r>
      <w:r>
        <w:rPr>
          <w:i/>
          <w:iCs/>
        </w:rPr>
        <w:t xml:space="preserve">n</w:t>
      </w:r>
      <w:r>
        <w:t xml:space="preserve"> </w:t>
      </w:r>
      <w:r>
        <w:t xml:space="preserve">= 80 per condition), so the realised imbalance is</w:t>
      </w:r>
      <w:r>
        <w:t xml:space="preserve"> </w:t>
      </w:r>
      <w:r>
        <w:t xml:space="preserve">small even at the interval’s far end — not merely non-significant. The TOST agrees,</w:t>
      </w:r>
      <w:r>
        <w:t xml:space="preserve"> </w:t>
      </w:r>
      <w:r>
        <w:t xml:space="preserve">declaring each dimension equivalent at the .05 level, but the interval is the more</w:t>
      </w:r>
      <w:r>
        <w:t xml:space="preserve"> </w:t>
      </w:r>
      <w:r>
        <w:t xml:space="preserve">informative statement because it would widen, and the claim would weaken, were the</w:t>
      </w:r>
      <w:r>
        <w:t xml:space="preserve"> </w:t>
      </w:r>
      <w:r>
        <w:t xml:space="preserve">item count reduced. The neighbourhood contrasts are the 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thus a solved engineering problem</w:t>
      </w:r>
      <w:r>
        <w:t xml:space="preserve"> </w:t>
      </w:r>
      <w:r>
        <w:t xml:space="preserve">rather than an inherent limit on the design, and</w:t>
      </w:r>
      <w:r>
        <w:t xml:space="preserve"> </w:t>
      </w:r>
      <w:r>
        <w:t xml:space="preserve">‘lexsync’</w:t>
      </w:r>
      <w:r>
        <w:t xml:space="preserve"> </w:t>
      </w:r>
      <w:r>
        <w:t xml:space="preserve">reports the realised</w:t>
      </w:r>
      <w:r>
        <w:t xml:space="preserve"> </w:t>
      </w:r>
      <w:r>
        <w:t xml:space="preserve">control transparently — effect size and interval first, equivalence test as a</w:t>
      </w:r>
      <w:r>
        <w:t xml:space="preserve"> </w:t>
      </w:r>
      <w:r>
        <w:t xml:space="preserve">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4"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5"/>
          <w:p/>
        </w:tc>
      </w:tr>
    </w:tbl>
    <w:bookmarkStart w:id="28"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t xml:space="preserve"> </w:t>
      </w:r>
      <w:r>
        <w:rPr>
          <w:rStyle w:val="VerbatimChar"/>
        </w:rPr>
        <w:t xml:space="preserve">wordfreq</w:t>
      </w:r>
      <w:r>
        <w:t xml:space="preserve">‘s Chinese data</w:t>
      </w:r>
      <w:r>
        <w:t xml:space="preserve"> </w:t>
      </w:r>
      <w:r>
        <w:t xml:space="preserve">(Speer, 2022)</w:t>
      </w:r>
      <w:r>
        <w:t xml:space="preserve"> </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 tens of single-character substitutions each, an</w:t>
      </w:r>
      <w:r>
        <w:t xml:space="preserve"> </w:t>
      </w:r>
      <w:r>
        <w:t xml:space="preserve">order of magnitude more than the alphabetic words above —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6"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6"/>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five</w:t>
      </w:r>
      <w:r>
        <w:t xml:space="preserve"> </w:t>
      </w:r>
      <w:r>
        <w:t xml:space="preserve">matched word contrasts</w:t>
      </w:r>
      <w:r>
        <w:t xml:space="preserve"> </w:t>
      </w:r>
      <w:r>
        <w:t xml:space="preserve">all 800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7"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7"/>
          <w:p/>
        </w:tc>
      </w:tr>
    </w:tbl>
    <w:bookmarkEnd w:id="28"/>
    <w:bookmarkStart w:id="29" w:name="beyond-word-lists-three-paradigms"/>
    <w:p>
      <w:pPr>
        <w:pStyle w:val="Heading2"/>
      </w:pPr>
      <w:r>
        <w:t xml:space="preserve">Beyond word lists: three paradigms</w:t>
      </w:r>
    </w:p>
    <w:p>
      <w:pPr>
        <w:pStyle w:val="FirstParagraph"/>
      </w:pPr>
      <w:r>
        <w:t xml:space="preserve">The same engine builds tasks that are not word lists. Three further demonstrations,</w:t>
      </w:r>
      <w:r>
        <w:t xml:space="preserve"> </w:t>
      </w:r>
      <w:r>
        <w:t xml:space="preserve">each in English, exercise a different stimulus structure and trial procedure</w:t>
      </w:r>
      <w:r>
        <w:t xml:space="preserve"> </w:t>
      </w:r>
      <w:r>
        <w:t xml:space="preserve">through the trial-event model. A</w:t>
      </w:r>
      <w:r>
        <w:t xml:space="preserve"> </w:t>
      </w:r>
      <w:r>
        <w:rPr>
          <w:b/>
          <w:bCs/>
        </w:rPr>
        <w:t xml:space="preserve">lexical-decision</w:t>
      </w:r>
      <w:r>
        <w:t xml:space="preserve"> </w:t>
      </w:r>
      <w:r>
        <w:t xml:space="preserve">design contrasts</w:t>
      </w:r>
      <w:r>
        <w:t xml:space="preserve"> </w:t>
      </w:r>
      <w:r>
        <w:t xml:space="preserve">60 real words with 60 pseudowords generated to match them in</w:t>
      </w:r>
      <w:r>
        <w:t xml:space="preserve"> </w:t>
      </w:r>
      <w:r>
        <w:t xml:space="preserve">length; the generated non-words are orthographically legal and absent from the</w:t>
      </w:r>
      <w:r>
        <w:t xml:space="preserve"> </w:t>
      </w:r>
      <w:r>
        <w:t xml:space="preserve">corpus, and length is equated by construction (Cohen’s</w:t>
      </w:r>
      <w:r>
        <w:t xml:space="preserve"> </w:t>
      </w:r>
      <w:r>
        <w:rPr>
          <w:i/>
          <w:iCs/>
        </w:rPr>
        <w:t xml:space="preserve">d</w:t>
      </w:r>
      <w:r>
        <w:t xml:space="preserve"> </w:t>
      </w:r>
      <w:r>
        <w:t xml:space="preserve">=</w:t>
      </w:r>
      <w:r>
        <w:t xml:space="preserve"> </w:t>
      </w:r>
      <w:r>
        <w:t xml:space="preserve">0.00). A</w:t>
      </w:r>
      <w:r>
        <w:t xml:space="preserve"> </w:t>
      </w:r>
      <w:r>
        <w:rPr>
          <w:b/>
          <w:bCs/>
        </w:rPr>
        <w:t xml:space="preserve">priming</w:t>
      </w:r>
      <w:r>
        <w:t xml:space="preserve"> </w:t>
      </w:r>
      <w:r>
        <w:t xml:space="preserve">design draws 12</w:t>
      </w:r>
      <w:r>
        <w:t xml:space="preserve"> </w:t>
      </w:r>
      <w:r>
        <w:t xml:space="preserve">prime–target pairs from an item table and contrasts related with unrelated primes,</w:t>
      </w:r>
      <w:r>
        <w:t xml:space="preserve"> </w:t>
      </w:r>
      <w:r>
        <w:t xml:space="preserve">its trial inserting a brief prime and a mask before the onset-locked target. A</w:t>
      </w:r>
      <w:r>
        <w:t xml:space="preserve"> </w:t>
      </w:r>
      <w:r>
        <w:rPr>
          <w:b/>
          <w:bCs/>
        </w:rPr>
        <w:t xml:space="preserve">self-paced reading</w:t>
      </w:r>
      <w:r>
        <w:t xml:space="preserve"> </w:t>
      </w:r>
      <w:r>
        <w:t xml:space="preserve">design presents 10 sentences region by region, the</w:t>
      </w:r>
      <w:r>
        <w:t xml:space="preserve"> </w:t>
      </w:r>
      <w:r>
        <w:t xml:space="preserve">grammatical–ungrammatical manipulation falling on the onset-locked critical region</w:t>
      </w:r>
      <w:r>
        <w:t xml:space="preserve"> </w:t>
      </w:r>
      <w:r>
        <w:t xml:space="preserve">and followed by a comprehension question. Each design compiles from the same event</w:t>
      </w:r>
      <w:r>
        <w:t xml:space="preserve"> </w:t>
      </w:r>
      <w:r>
        <w:t xml:space="preserve">list to a runnable</w:t>
      </w:r>
      <w:r>
        <w:t xml:space="preserve"> </w:t>
      </w:r>
      <w:r>
        <w:t xml:space="preserve">‘PsychoPy’</w:t>
      </w:r>
      <w:r>
        <w:t xml:space="preserve"> </w:t>
      </w:r>
      <w:r>
        <w:t xml:space="preserve">script, a valid</w:t>
      </w:r>
      <w:r>
        <w:t xml:space="preserve"> </w:t>
      </w:r>
      <w:r>
        <w:t xml:space="preserve">‘OpenSesame’</w:t>
      </w:r>
      <w:r>
        <w:t xml:space="preserve"> </w:t>
      </w:r>
      <w:r>
        <w:t xml:space="preserve">experiment and a</w:t>
      </w:r>
      <w:r>
        <w:t xml:space="preserve"> </w:t>
      </w:r>
      <w:r>
        <w:t xml:space="preserve">self-contained browser-based</w:t>
      </w:r>
      <w:r>
        <w:t xml:space="preserve"> </w:t>
      </w:r>
      <w:r>
        <w:t xml:space="preserve">‘jsPsych’</w:t>
      </w:r>
      <w:r>
        <w:t xml:space="preserve"> </w:t>
      </w:r>
      <w:r>
        <w:t xml:space="preserve">experiment, and the R and Python engines</w:t>
      </w:r>
      <w:r>
        <w:t xml:space="preserve"> </w:t>
      </w:r>
      <w:r>
        <w:t xml:space="preserve">select identical materials in every case —</w:t>
      </w:r>
      <w:r>
        <w:t xml:space="preserve"> </w:t>
      </w:r>
      <w:r>
        <w:t xml:space="preserve">including, for lexical decision, the very same deterministically generated</w:t>
      </w:r>
      <w:r>
        <w:t xml:space="preserve"> </w:t>
      </w:r>
      <w:r>
        <w:t xml:space="preserve">pseudowords.</w:t>
      </w:r>
    </w:p>
    <w:bookmarkEnd w:id="29"/>
    <w:bookmarkEnd w:id="30"/>
    <w:bookmarkStart w:id="31"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contribution is integration rather than a single new capability:</w:t>
      </w:r>
      <w:r>
        <w:t xml:space="preserve"> </w:t>
      </w:r>
      <w:r>
        <w:t xml:space="preserve">multidimensional matching exists in</w:t>
      </w:r>
      <w:r>
        <w:t xml:space="preserve"> </w:t>
      </w:r>
      <w:r>
        <w:t xml:space="preserve">‘LexOPS’</w:t>
      </w:r>
      <w:r>
        <w:t xml:space="preserve"> </w:t>
      </w:r>
      <w:r>
        <w:t xml:space="preserve">and</w:t>
      </w:r>
      <w:r>
        <w:t xml:space="preserve"> </w:t>
      </w:r>
      <w:r>
        <w:t xml:space="preserve">‘LIBRA’</w:t>
      </w:r>
      <w:r>
        <w:t xml:space="preserve">, and precise</w:t>
      </w:r>
      <w:r>
        <w:t xml:space="preserve"> </w:t>
      </w:r>
      <w:r>
        <w:t xml:space="preserve">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presentation targets upgrade the sequence-ordered triggers of the original</w:t>
      </w:r>
      <w:r>
        <w:t xml:space="preserve"> </w:t>
      </w:r>
      <w:r>
        <w:t xml:space="preserve">workflow to onset-aligned markers —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 corpus access, dimension derivation,</w:t>
      </w:r>
      <w:r>
        <w:t xml:space="preserve"> </w:t>
      </w:r>
      <w:r>
        <w:t xml:space="preserve">matching, counterbalancing and CJK-font script generation all work unchanged —</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 The</w:t>
      </w:r>
      <w:r>
        <w:t xml:space="preserve"> </w:t>
      </w:r>
      <w:r>
        <w:t xml:space="preserve">example item tables for the paired and sentence paradigms are deliberately small,</w:t>
      </w:r>
      <w:r>
        <w:t xml:space="preserve"> </w:t>
      </w:r>
      <w:r>
        <w:t xml:space="preserve">intended to exercise and document the pipeline rather than to constitute validated</w:t>
      </w:r>
      <w:r>
        <w:t xml:space="preserve"> </w:t>
      </w:r>
      <w:r>
        <w:t xml:space="preserve">materials; researchers supply their own.</w:t>
      </w:r>
    </w:p>
    <w:p>
      <w:pPr>
        <w:pStyle w:val="BodyText"/>
      </w:pPr>
      <w:r>
        <w:t xml:space="preserve">Several further extensions follow directly from the motivation and slot into the</w:t>
      </w:r>
      <w:r>
        <w:t xml:space="preserve"> </w:t>
      </w:r>
      <w:r>
        <w:t xml:space="preserve">existing module structure. The web target above could be joined by a</w:t>
      </w:r>
      <w:r>
        <w:t xml:space="preserve"> </w:t>
      </w:r>
      <w:r>
        <w:t xml:space="preserve">‘PCIbex’</w:t>
      </w:r>
      <w:r>
        <w:t xml:space="preserve"> </w:t>
      </w:r>
      <w:r>
        <w:t xml:space="preserve">reading study and by client-side hardware synchronisation (WebSerial or a</w:t>
      </w:r>
      <w:r>
        <w:t xml:space="preserve"> </w:t>
      </w:r>
      <w:r>
        <w:t xml:space="preserve">photodiode patch), so that online studies inherit the same onset markers the</w:t>
      </w:r>
      <w:r>
        <w:t xml:space="preserve"> </w:t>
      </w:r>
      <w:r>
        <w:t xml:space="preserve">laboratory targets write. Richer</w:t>
      </w:r>
      <w:r>
        <w:t xml:space="preserve"> </w:t>
      </w:r>
      <w:r>
        <w:t xml:space="preserve">dimensions — phonological (syllable count, phonotactic probability), semantic</w:t>
      </w:r>
      <w:r>
        <w:t xml:space="preserve"> </w:t>
      </w:r>
      <w:r>
        <w:t xml:space="preserve">(concreteness, age of acquisition, valence) and predictability (n-gram or</w:t>
      </w:r>
      <w:r>
        <w:t xml:space="preserve"> </w:t>
      </w:r>
      <w:r>
        <w:t xml:space="preserve">language-model surprisal) — would broaden the designs the matcher supports.</w:t>
      </w:r>
      <w:r>
        <w:t xml:space="preserve"> </w:t>
      </w:r>
      <w:r>
        <w:t xml:space="preserve">Finally, resampling multiple matched item sets, or sampling items per participant,</w:t>
      </w:r>
      <w:r>
        <w:t xml:space="preserve"> </w:t>
      </w:r>
      <w:r>
        <w:t xml:space="preserve">would let a study treat its items as the random factor they are</w:t>
      </w:r>
      <w:r>
        <w:t xml:space="preserve"> </w:t>
      </w:r>
      <w:r>
        <w:t xml:space="preserve">(Clark, 1973; Yarkoni, 2020)</w:t>
      </w:r>
      <w:r>
        <w:t xml:space="preserve">. A graphical interface is a</w:t>
      </w:r>
      <w:r>
        <w:t xml:space="preserve"> </w:t>
      </w:r>
      <w:r>
        <w:t xml:space="preserve">further possibility.</w:t>
      </w:r>
    </w:p>
    <w:bookmarkEnd w:id="31"/>
    <w:bookmarkStart w:id="33"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2"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w:t>
      </w:r>
      <w:r>
        <w:t xml:space="preserve"> </w:t>
      </w:r>
      <w:r>
        <w:rPr>
          <w:b/>
          <w:bCs/>
        </w:rPr>
        <w:t xml:space="preserve">paradigm</w:t>
      </w:r>
      <w:r>
        <w:t xml:space="preserve">, add an entry to the registry in</w:t>
      </w:r>
      <w:r>
        <w:t xml:space="preserve"> </w:t>
      </w:r>
      <w:r>
        <w:rPr>
          <w:rStyle w:val="VerbatimChar"/>
        </w:rPr>
        <w:t xml:space="preserve">paradigms</w:t>
      </w:r>
      <w:r>
        <w:t xml:space="preserve"> </w:t>
      </w:r>
      <w:r>
        <w:t xml:space="preserve">giving its default</w:t>
      </w:r>
      <w:r>
        <w:t xml:space="preserve"> </w:t>
      </w:r>
      <w:r>
        <w:t xml:space="preserve">event sequence, the trial fields it requires and its counterbalancing recipe; both</w:t>
      </w:r>
      <w:r>
        <w:t xml:space="preserve"> </w:t>
      </w:r>
      <w:r>
        <w:t xml:space="preserve">backends then render it with no further code. To add a</w:t>
      </w:r>
      <w:r>
        <w:t xml:space="preserve"> </w:t>
      </w:r>
      <w:r>
        <w:rPr>
          <w:b/>
          <w:bCs/>
        </w:rPr>
        <w:t xml:space="preserve">lexical dimension</w:t>
      </w:r>
      <w:r>
        <w:t xml:space="preserve">, edit</w:t>
      </w:r>
      <w:r>
        <w:t xml:space="preserve"> </w:t>
      </w:r>
      <w:r>
        <w:rPr>
          <w:rStyle w:val="VerbatimChar"/>
        </w:rPr>
        <w:t xml:space="preserve">compute</w:t>
      </w:r>
      <w:r>
        <w:t xml:space="preserve">-style functions in</w:t>
      </w:r>
      <w:r>
        <w:t xml:space="preserve"> </w:t>
      </w:r>
      <w:r>
        <w:rPr>
          <w:rStyle w:val="VerbatimChar"/>
        </w:rPr>
        <w:t xml:space="preserve">querying</w:t>
      </w:r>
      <w:r>
        <w:t xml:space="preserve"> </w:t>
      </w:r>
      <w:r>
        <w:t xml:space="preserve">(</w:t>
      </w:r>
      <w:r>
        <w:rPr>
          <w:rStyle w:val="VerbatimChar"/>
        </w:rPr>
        <w:t xml:space="preserve">add_neighbourhood</w:t>
      </w:r>
      <w:r>
        <w:t xml:space="preserve"> </w:t>
      </w:r>
      <w:r>
        <w:t xml:space="preserve">and the dimension</w:t>
      </w:r>
      <w:r>
        <w:t xml:space="preserve"> </w:t>
      </w:r>
      <w:r>
        <w:t xml:space="preserve">table in</w:t>
      </w:r>
      <w:r>
        <w:t xml:space="preserve"> </w:t>
      </w:r>
      <w:r>
        <w:rPr>
          <w:rStyle w:val="VerbatimChar"/>
        </w:rPr>
        <w:t xml:space="preserve">config/schema.yaml</w:t>
      </w:r>
      <w:r>
        <w:t xml:space="preserve">) in both packages. To add a</w:t>
      </w:r>
      <w:r>
        <w:t xml:space="preserve"> </w:t>
      </w:r>
      <w:r>
        <w:rPr>
          <w:b/>
          <w:bCs/>
        </w:rPr>
        <w:t xml:space="preserve">presentation target</w:t>
      </w:r>
      <w:r>
        <w:t xml:space="preserve">,</w:t>
      </w:r>
      <w:r>
        <w:t xml:space="preserve"> </w:t>
      </w:r>
      <w:r>
        <w:t xml:space="preserve">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w:t>
      </w:r>
      <w:r>
        <w:t xml:space="preserve">that walks the same rendered</w:t>
      </w:r>
      <w:r>
        <w:t xml:space="preserve"> </w:t>
      </w:r>
      <w:r>
        <w:t xml:space="preserve">event list. To add a</w:t>
      </w:r>
      <w:r>
        <w:t xml:space="preserve"> </w:t>
      </w:r>
      <w:r>
        <w:rPr>
          <w:b/>
          <w:bCs/>
        </w:rPr>
        <w:t xml:space="preserve">corpus or language</w:t>
      </w:r>
      <w:r>
        <w:t xml:space="preserve">, add an entry to</w:t>
      </w:r>
      <w:r>
        <w:t xml:space="preserve"> </w:t>
      </w:r>
      <w:r>
        <w:rPr>
          <w:rStyle w:val="VerbatimChar"/>
        </w:rPr>
        <w:t xml:space="preserve">corpora/registry.yaml</w:t>
      </w:r>
      <w:r>
        <w:t xml:space="preserve">; no code change is required for SUBTLEX-family or</w:t>
      </w:r>
      <w:r>
        <w:t xml:space="preserve"> </w:t>
      </w:r>
      <w:r>
        <w:t xml:space="preserve">‘wordfreq’</w:t>
      </w:r>
      <w:r>
        <w:t xml:space="preserve"> </w:t>
      </w:r>
      <w:r>
        <w:t xml:space="preserve">sources.</w:t>
      </w:r>
    </w:p>
    <w:p>
      <w:r>
        <w:br w:type="page"/>
      </w:r>
    </w:p>
    <w:bookmarkEnd w:id="32"/>
    <w:bookmarkEnd w:id="33"/>
    <w:bookmarkStart w:id="79" w:name="references"/>
    <w:p>
      <w:pPr>
        <w:pStyle w:val="Heading1"/>
      </w:pPr>
      <w:r>
        <w:t xml:space="preserve">References</w:t>
      </w:r>
    </w:p>
    <w:bookmarkStart w:id="78" w:name="refs"/>
    <w:bookmarkStart w:id="35" w:name="ref-bochynska2023reproducible"/>
    <w:p>
      <w:pPr>
        <w:pStyle w:val="Bibliography"/>
      </w:pPr>
      <w:r>
        <w:t xml:space="preserve">Bochynska, A., Keeble, L., Halfacre, C., Casillas, J. V., Champagne, I.-A., Chen, K., Röthlisberger, M., Buchanan, E. M., &amp; Roettger, T. B.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34">
        <w:r>
          <w:rPr>
            <w:rStyle w:val="Hyperlink"/>
          </w:rPr>
          <w:t xml:space="preserve">https://doi.org/10.5070/G6011239</w:t>
        </w:r>
      </w:hyperlink>
    </w:p>
    <w:bookmarkEnd w:id="35"/>
    <w:bookmarkStart w:id="37"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36">
        <w:r>
          <w:rPr>
            <w:rStyle w:val="Hyperlink"/>
          </w:rPr>
          <w:t xml:space="preserve">https://doi.org/10.3758/BRM.41.4.977</w:t>
        </w:r>
      </w:hyperlink>
    </w:p>
    <w:bookmarkEnd w:id="37"/>
    <w:bookmarkStart w:id="39"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38">
        <w:r>
          <w:rPr>
            <w:rStyle w:val="Hyperlink"/>
          </w:rPr>
          <w:t xml:space="preserve">https://doi.org/10.1371/journal.pone.0010729</w:t>
        </w:r>
      </w:hyperlink>
    </w:p>
    <w:bookmarkEnd w:id="39"/>
    <w:bookmarkStart w:id="41" w:name="ref-clark1973language"/>
    <w:p>
      <w:pPr>
        <w:pStyle w:val="Bibliography"/>
      </w:pPr>
      <w:r>
        <w:t xml:space="preserve">Clark, H. H. (1973). The language-as-fixed-effect fallacy:</w:t>
      </w:r>
      <w:r>
        <w:t xml:space="preserve"> </w:t>
      </w:r>
      <w:r>
        <w:t xml:space="preserve">A</w:t>
      </w:r>
      <w:r>
        <w:t xml:space="preserve"> </w:t>
      </w:r>
      <w:r>
        <w:t xml:space="preserve">critique of language statistics in psychological research.</w:t>
      </w:r>
      <w:r>
        <w:t xml:space="preserve"> </w:t>
      </w:r>
      <w:r>
        <w:rPr>
          <w:i/>
          <w:iCs/>
        </w:rPr>
        <w:t xml:space="preserve">Journal of Verbal Learning and Verbal Behavior</w:t>
      </w:r>
      <w:r>
        <w:t xml:space="preserve">,</w:t>
      </w:r>
      <w:r>
        <w:t xml:space="preserve"> </w:t>
      </w:r>
      <w:r>
        <w:rPr>
          <w:i/>
          <w:iCs/>
        </w:rPr>
        <w:t xml:space="preserve">12</w:t>
      </w:r>
      <w:r>
        <w:t xml:space="preserve">(4), 335–359.</w:t>
      </w:r>
      <w:r>
        <w:t xml:space="preserve"> </w:t>
      </w:r>
      <w:hyperlink r:id="rId40">
        <w:r>
          <w:rPr>
            <w:rStyle w:val="Hyperlink"/>
          </w:rPr>
          <w:t xml:space="preserve">https://doi.org/10.1016/S0022-5371(73)80014-3</w:t>
        </w:r>
      </w:hyperlink>
    </w:p>
    <w:bookmarkEnd w:id="41"/>
    <w:bookmarkStart w:id="42"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42"/>
    <w:bookmarkStart w:id="44" w:name="ref-coretta2023multidimensional"/>
    <w:p>
      <w:pPr>
        <w:pStyle w:val="Bibliography"/>
      </w:pPr>
      <w:r>
        <w:t xml:space="preserve">Coretta, S., Casillas, J. V., Roessig, S., et al.</w:t>
      </w:r>
      <w:r>
        <w:t xml:space="preserve"> (2023). Multidimensional signals and analytic flexibility:</w:t>
      </w:r>
      <w:r>
        <w:t xml:space="preserve"> </w:t>
      </w:r>
      <w:r>
        <w:t xml:space="preserve">Estimating</w:t>
      </w:r>
      <w:r>
        <w:t xml:space="preserve"> </w:t>
      </w:r>
      <w:r>
        <w:t xml:space="preserve">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43">
        <w:r>
          <w:rPr>
            <w:rStyle w:val="Hyperlink"/>
          </w:rPr>
          <w:t xml:space="preserve">https://doi.org/10.1177/25152459231162567</w:t>
        </w:r>
      </w:hyperlink>
    </w:p>
    <w:bookmarkEnd w:id="44"/>
    <w:bookmarkStart w:id="45"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45"/>
    <w:bookmarkStart w:id="47"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46">
        <w:r>
          <w:rPr>
            <w:rStyle w:val="Hyperlink"/>
          </w:rPr>
          <w:t xml:space="preserve">https://doi.org/10.1080/14790718.2024.2415993</w:t>
        </w:r>
      </w:hyperlink>
    </w:p>
    <w:bookmarkEnd w:id="47"/>
    <w:bookmarkStart w:id="49"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48">
        <w:r>
          <w:rPr>
            <w:rStyle w:val="Hyperlink"/>
          </w:rPr>
          <w:t xml:space="preserve">https://doi.org/10.1080/17470218.2013.850521</w:t>
        </w:r>
      </w:hyperlink>
    </w:p>
    <w:bookmarkEnd w:id="49"/>
    <w:bookmarkStart w:id="51"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50">
        <w:r>
          <w:rPr>
            <w:rStyle w:val="Hyperlink"/>
          </w:rPr>
          <w:t xml:space="preserve">https://doi.org/10.3758/s13428-024-02347-x</w:t>
        </w:r>
      </w:hyperlink>
    </w:p>
    <w:bookmarkEnd w:id="51"/>
    <w:bookmarkStart w:id="53" w:name="ref-keuleers2010wuggy"/>
    <w:p>
      <w:pPr>
        <w:pStyle w:val="Bibliography"/>
      </w:pPr>
      <w:r>
        <w:t xml:space="preserve">Keuleers, E., &amp; Brysbaert, M. (2010). Wuggy:</w:t>
      </w:r>
      <w:r>
        <w:t xml:space="preserve"> </w:t>
      </w:r>
      <w:r>
        <w:t xml:space="preserve">A</w:t>
      </w:r>
      <w:r>
        <w:t xml:space="preserve"> </w:t>
      </w:r>
      <w:r>
        <w:t xml:space="preserve">multilingual pseudoword generator.</w:t>
      </w:r>
      <w:r>
        <w:t xml:space="preserve"> </w:t>
      </w:r>
      <w:r>
        <w:rPr>
          <w:i/>
          <w:iCs/>
        </w:rPr>
        <w:t xml:space="preserve">Behavior Research Methods</w:t>
      </w:r>
      <w:r>
        <w:t xml:space="preserve">,</w:t>
      </w:r>
      <w:r>
        <w:t xml:space="preserve"> </w:t>
      </w:r>
      <w:r>
        <w:rPr>
          <w:i/>
          <w:iCs/>
        </w:rPr>
        <w:t xml:space="preserve">42</w:t>
      </w:r>
      <w:r>
        <w:t xml:space="preserve">(3), 627–633.</w:t>
      </w:r>
      <w:r>
        <w:t xml:space="preserve"> </w:t>
      </w:r>
      <w:hyperlink r:id="rId52">
        <w:r>
          <w:rPr>
            <w:rStyle w:val="Hyperlink"/>
          </w:rPr>
          <w:t xml:space="preserve">https://doi.org/10.3758/BRM.42.3.627</w:t>
        </w:r>
      </w:hyperlink>
    </w:p>
    <w:bookmarkEnd w:id="53"/>
    <w:bookmarkStart w:id="55"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54">
        <w:r>
          <w:rPr>
            <w:rStyle w:val="Hyperlink"/>
          </w:rPr>
          <w:t xml:space="preserve">https://doi.org/10.1177/1948550617697177</w:t>
        </w:r>
      </w:hyperlink>
    </w:p>
    <w:bookmarkEnd w:id="55"/>
    <w:bookmarkStart w:id="57"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56">
        <w:r>
          <w:rPr>
            <w:rStyle w:val="Hyperlink"/>
          </w:rPr>
          <w:t xml:space="preserve">https://doi.org/10.1016/j.mex.2021.101545</w:t>
        </w:r>
      </w:hyperlink>
    </w:p>
    <w:bookmarkEnd w:id="57"/>
    <w:bookmarkStart w:id="59"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58">
        <w:r>
          <w:rPr>
            <w:rStyle w:val="Hyperlink"/>
          </w:rPr>
          <w:t xml:space="preserve">https://doi.org/10.3758/s13428-011-0168-7</w:t>
        </w:r>
      </w:hyperlink>
    </w:p>
    <w:bookmarkEnd w:id="59"/>
    <w:bookmarkStart w:id="61"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60">
        <w:r>
          <w:rPr>
            <w:rStyle w:val="Hyperlink"/>
          </w:rPr>
          <w:t xml:space="preserve">https://doi.org/10.3758/s13428-018-01193-y</w:t>
        </w:r>
      </w:hyperlink>
    </w:p>
    <w:bookmarkEnd w:id="61"/>
    <w:bookmarkStart w:id="63" w:name="ref-roettger2019degrees"/>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62">
        <w:r>
          <w:rPr>
            <w:rStyle w:val="Hyperlink"/>
          </w:rPr>
          <w:t xml:space="preserve">https://doi.org/10.5334/labphon.147</w:t>
        </w:r>
      </w:hyperlink>
    </w:p>
    <w:bookmarkEnd w:id="63"/>
    <w:bookmarkStart w:id="65" w:name="ref-roettger2019emergent"/>
    <w:p>
      <w:pPr>
        <w:pStyle w:val="Bibliography"/>
      </w:pPr>
      <w:r>
        <w:t xml:space="preserve">Roettger, T. B., Winter, B., &amp; Baayen, H. (2019). Emergent data analysis in phonetic sciences:</w:t>
      </w:r>
      <w:r>
        <w:t xml:space="preserve"> </w:t>
      </w:r>
      <w:r>
        <w:t xml:space="preserve">Towards</w:t>
      </w:r>
      <w:r>
        <w:t xml:space="preserve"> </w:t>
      </w:r>
      <w:r>
        <w:t xml:space="preserve">pluralism and reproducibility.</w:t>
      </w:r>
      <w:r>
        <w:t xml:space="preserve"> </w:t>
      </w:r>
      <w:r>
        <w:rPr>
          <w:i/>
          <w:iCs/>
        </w:rPr>
        <w:t xml:space="preserve">Journal of Phonetics</w:t>
      </w:r>
      <w:r>
        <w:t xml:space="preserve">,</w:t>
      </w:r>
      <w:r>
        <w:t xml:space="preserve"> </w:t>
      </w:r>
      <w:r>
        <w:rPr>
          <w:i/>
          <w:iCs/>
        </w:rPr>
        <w:t xml:space="preserve">73</w:t>
      </w:r>
      <w:r>
        <w:t xml:space="preserve">, 1–7.</w:t>
      </w:r>
      <w:r>
        <w:t xml:space="preserve"> </w:t>
      </w:r>
      <w:hyperlink r:id="rId64">
        <w:r>
          <w:rPr>
            <w:rStyle w:val="Hyperlink"/>
          </w:rPr>
          <w:t xml:space="preserve">https://doi.org/10.1016/j.wocn.2018.12.001</w:t>
        </w:r>
      </w:hyperlink>
    </w:p>
    <w:bookmarkEnd w:id="65"/>
    <w:bookmarkStart w:id="67"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66">
        <w:r>
          <w:rPr>
            <w:rStyle w:val="Hyperlink"/>
          </w:rPr>
          <w:t xml:space="preserve">https://doi.org/10.1016/j.bandl.2016.08.001</w:t>
        </w:r>
      </w:hyperlink>
    </w:p>
    <w:bookmarkEnd w:id="67"/>
    <w:bookmarkStart w:id="69"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68">
        <w:r>
          <w:rPr>
            <w:rStyle w:val="Hyperlink"/>
          </w:rPr>
          <w:t xml:space="preserve">https://doi.org/10.5281/zenodo.7199437</w:t>
        </w:r>
      </w:hyperlink>
    </w:p>
    <w:bookmarkEnd w:id="69"/>
    <w:bookmarkStart w:id="71"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70">
        <w:r>
          <w:rPr>
            <w:rStyle w:val="Hyperlink"/>
          </w:rPr>
          <w:t xml:space="preserve">https://doi.org/10.3758/s13428-020-01389-1</w:t>
        </w:r>
      </w:hyperlink>
    </w:p>
    <w:bookmarkEnd w:id="71"/>
    <w:bookmarkStart w:id="73"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72">
        <w:r>
          <w:rPr>
            <w:rStyle w:val="Hyperlink"/>
          </w:rPr>
          <w:t xml:space="preserve">https://doi.org/10.1038/sdata.2016.18</w:t>
        </w:r>
      </w:hyperlink>
    </w:p>
    <w:bookmarkEnd w:id="73"/>
    <w:bookmarkStart w:id="75" w:name="ref-yarkoni2020generalizability"/>
    <w:p>
      <w:pPr>
        <w:pStyle w:val="Bibliography"/>
      </w:pPr>
      <w:r>
        <w:t xml:space="preserve">Yarkoni, T. (2020).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74">
        <w:r>
          <w:rPr>
            <w:rStyle w:val="Hyperlink"/>
          </w:rPr>
          <w:t xml:space="preserve">https://doi.org/10.1017/S0140525X20001685</w:t>
        </w:r>
      </w:hyperlink>
    </w:p>
    <w:bookmarkEnd w:id="75"/>
    <w:bookmarkStart w:id="77"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76">
        <w:r>
          <w:rPr>
            <w:rStyle w:val="Hyperlink"/>
          </w:rPr>
          <w:t xml:space="preserve">https://doi.org/10.3758/pbr.15.5.971</w:t>
        </w:r>
      </w:hyperlink>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0" Target="https://doi.org/10.1016/S0022-5371(73)80014-3" TargetMode="External" /><Relationship Type="http://schemas.openxmlformats.org/officeDocument/2006/relationships/hyperlink" Id="rId66" Target="https://doi.org/10.1016/j.bandl.2016.08.001" TargetMode="External" /><Relationship Type="http://schemas.openxmlformats.org/officeDocument/2006/relationships/hyperlink" Id="rId56" Target="https://doi.org/10.1016/j.mex.2021.101545" TargetMode="External" /><Relationship Type="http://schemas.openxmlformats.org/officeDocument/2006/relationships/hyperlink" Id="rId64" Target="https://doi.org/10.1016/j.wocn.2018.12.001" TargetMode="External" /><Relationship Type="http://schemas.openxmlformats.org/officeDocument/2006/relationships/hyperlink" Id="rId74" Target="https://doi.org/10.1017/S0140525X20001685" TargetMode="External" /><Relationship Type="http://schemas.openxmlformats.org/officeDocument/2006/relationships/hyperlink" Id="rId72" Target="https://doi.org/10.1038/sdata.2016.18" TargetMode="External" /><Relationship Type="http://schemas.openxmlformats.org/officeDocument/2006/relationships/hyperlink" Id="rId46" Target="https://doi.org/10.1080/14790718.2024.2415993" TargetMode="External" /><Relationship Type="http://schemas.openxmlformats.org/officeDocument/2006/relationships/hyperlink" Id="rId48" Target="https://doi.org/10.1080/17470218.2013.850521" TargetMode="External" /><Relationship Type="http://schemas.openxmlformats.org/officeDocument/2006/relationships/hyperlink" Id="rId54" Target="https://doi.org/10.1177/1948550617697177" TargetMode="External" /><Relationship Type="http://schemas.openxmlformats.org/officeDocument/2006/relationships/hyperlink" Id="rId43" Target="https://doi.org/10.1177/25152459231162567" TargetMode="External" /><Relationship Type="http://schemas.openxmlformats.org/officeDocument/2006/relationships/hyperlink" Id="rId38" Target="https://doi.org/10.1371/journal.pone.0010729" TargetMode="External" /><Relationship Type="http://schemas.openxmlformats.org/officeDocument/2006/relationships/hyperlink" Id="rId36" Target="https://doi.org/10.3758/BRM.41.4.977" TargetMode="External" /><Relationship Type="http://schemas.openxmlformats.org/officeDocument/2006/relationships/hyperlink" Id="rId52" Target="https://doi.org/10.3758/BRM.42.3.627" TargetMode="External" /><Relationship Type="http://schemas.openxmlformats.org/officeDocument/2006/relationships/hyperlink" Id="rId76" Target="https://doi.org/10.3758/pbr.15.5.971" TargetMode="External" /><Relationship Type="http://schemas.openxmlformats.org/officeDocument/2006/relationships/hyperlink" Id="rId58" Target="https://doi.org/10.3758/s13428-011-0168-7" TargetMode="External" /><Relationship Type="http://schemas.openxmlformats.org/officeDocument/2006/relationships/hyperlink" Id="rId60" Target="https://doi.org/10.3758/s13428-018-01193-y" TargetMode="External" /><Relationship Type="http://schemas.openxmlformats.org/officeDocument/2006/relationships/hyperlink" Id="rId70" Target="https://doi.org/10.3758/s13428-020-01389-1" TargetMode="External" /><Relationship Type="http://schemas.openxmlformats.org/officeDocument/2006/relationships/hyperlink" Id="rId50" Target="https://doi.org/10.3758/s13428-024-02347-x" TargetMode="External" /><Relationship Type="http://schemas.openxmlformats.org/officeDocument/2006/relationships/hyperlink" Id="rId34" Target="https://doi.org/10.5070/G6011239" TargetMode="External" /><Relationship Type="http://schemas.openxmlformats.org/officeDocument/2006/relationships/hyperlink" Id="rId68" Target="https://doi.org/10.5281/zenodo.7199437" TargetMode="External" /><Relationship Type="http://schemas.openxmlformats.org/officeDocument/2006/relationships/hyperlink" Id="rId62" Target="https://doi.org/10.5334/labphon.147"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16/S0022-5371(73)80014-3" TargetMode="External" /><Relationship Type="http://schemas.openxmlformats.org/officeDocument/2006/relationships/hyperlink" Id="rId66" Target="https://doi.org/10.1016/j.bandl.2016.08.001" TargetMode="External" /><Relationship Type="http://schemas.openxmlformats.org/officeDocument/2006/relationships/hyperlink" Id="rId56" Target="https://doi.org/10.1016/j.mex.2021.101545" TargetMode="External" /><Relationship Type="http://schemas.openxmlformats.org/officeDocument/2006/relationships/hyperlink" Id="rId64" Target="https://doi.org/10.1016/j.wocn.2018.12.001" TargetMode="External" /><Relationship Type="http://schemas.openxmlformats.org/officeDocument/2006/relationships/hyperlink" Id="rId74" Target="https://doi.org/10.1017/S0140525X20001685" TargetMode="External" /><Relationship Type="http://schemas.openxmlformats.org/officeDocument/2006/relationships/hyperlink" Id="rId72" Target="https://doi.org/10.1038/sdata.2016.18" TargetMode="External" /><Relationship Type="http://schemas.openxmlformats.org/officeDocument/2006/relationships/hyperlink" Id="rId46" Target="https://doi.org/10.1080/14790718.2024.2415993" TargetMode="External" /><Relationship Type="http://schemas.openxmlformats.org/officeDocument/2006/relationships/hyperlink" Id="rId48" Target="https://doi.org/10.1080/17470218.2013.850521" TargetMode="External" /><Relationship Type="http://schemas.openxmlformats.org/officeDocument/2006/relationships/hyperlink" Id="rId54" Target="https://doi.org/10.1177/1948550617697177" TargetMode="External" /><Relationship Type="http://schemas.openxmlformats.org/officeDocument/2006/relationships/hyperlink" Id="rId43" Target="https://doi.org/10.1177/25152459231162567" TargetMode="External" /><Relationship Type="http://schemas.openxmlformats.org/officeDocument/2006/relationships/hyperlink" Id="rId38" Target="https://doi.org/10.1371/journal.pone.0010729" TargetMode="External" /><Relationship Type="http://schemas.openxmlformats.org/officeDocument/2006/relationships/hyperlink" Id="rId36" Target="https://doi.org/10.3758/BRM.41.4.977" TargetMode="External" /><Relationship Type="http://schemas.openxmlformats.org/officeDocument/2006/relationships/hyperlink" Id="rId52" Target="https://doi.org/10.3758/BRM.42.3.627" TargetMode="External" /><Relationship Type="http://schemas.openxmlformats.org/officeDocument/2006/relationships/hyperlink" Id="rId76" Target="https://doi.org/10.3758/pbr.15.5.971" TargetMode="External" /><Relationship Type="http://schemas.openxmlformats.org/officeDocument/2006/relationships/hyperlink" Id="rId58" Target="https://doi.org/10.3758/s13428-011-0168-7" TargetMode="External" /><Relationship Type="http://schemas.openxmlformats.org/officeDocument/2006/relationships/hyperlink" Id="rId60" Target="https://doi.org/10.3758/s13428-018-01193-y" TargetMode="External" /><Relationship Type="http://schemas.openxmlformats.org/officeDocument/2006/relationships/hyperlink" Id="rId70" Target="https://doi.org/10.3758/s13428-020-01389-1" TargetMode="External" /><Relationship Type="http://schemas.openxmlformats.org/officeDocument/2006/relationships/hyperlink" Id="rId50" Target="https://doi.org/10.3758/s13428-024-02347-x" TargetMode="External" /><Relationship Type="http://schemas.openxmlformats.org/officeDocument/2006/relationships/hyperlink" Id="rId34" Target="https://doi.org/10.5070/G6011239" TargetMode="External" /><Relationship Type="http://schemas.openxmlformats.org/officeDocument/2006/relationships/hyperlink" Id="rId68" Target="https://doi.org/10.5281/zenodo.7199437" TargetMode="External" /><Relationship Type="http://schemas.openxmlformats.org/officeDocument/2006/relationships/hyperlink" Id="rId62" Target="https://doi.org/10.5334/labphon.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2026-06-13T21:03:39Z</dcterms:created>
  <dcterms:modified xsi:type="dcterms:W3CDTF">2026-06-13T21:03:39Z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‘OpenSesame’ and browser-based ‘jsPsych’ experiments, the two laboratory targets time-locking their electroencephalography triggers to stimulus onset. The trial is described declaratively as a sequence of events, so the same engine builds factorial word studies, lexical decision with generated pseudowords, priming and self-paced reading from configuration rather than code. The matching and generation are deterministic, so the two engines select identical materials; we demonstrate this on eight worked examples in English, Spanish and Mandarin Chinese — across word, pseudoword, paired and sentence stimuli — one of which shows that the workflow extends to a logographic writing system.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2026-06-13</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