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2026-06-14</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time-locking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matching and generation are deterministic, so the two engines select</w:t>
      </w:r>
      <w:r>
        <w:t xml:space="preserve"> </w:t>
      </w:r>
      <w:r>
        <w:t xml:space="preserve">identical materials; we</w:t>
      </w:r>
      <w:r>
        <w:t xml:space="preserve"> </w:t>
      </w:r>
      <w:r>
        <w:t xml:space="preserve">demonstrate</w:t>
      </w:r>
      <w:r>
        <w:t xml:space="preserve"> </w:t>
      </w:r>
      <w:r>
        <w:t xml:space="preserve">this on nine worked examples in English, Spanish and Mandarin Chinese — across</w:t>
      </w:r>
      <w:r>
        <w:t xml:space="preserve"> </w:t>
      </w:r>
      <w:r>
        <w:t xml:space="preserve">word, pseudoword, paired and sentence stimuli — one of which shows that the</w:t>
      </w:r>
      <w:r>
        <w:t xml:space="preserve"> </w:t>
      </w:r>
      <w:r>
        <w:t xml:space="preserve">workflow extends to a logographic writing system.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 how a stimulus set is</w:t>
      </w:r>
      <w:r>
        <w:t xml:space="preserve"> </w:t>
      </w:r>
      <w:r>
        <w:t xml:space="preserve">assembled, how a measure is quantified —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 the language-as-fixed-effect fallacy</w:t>
      </w:r>
      <w:r>
        <w:t xml:space="preserve"> </w:t>
      </w:r>
      <w:r>
        <w:t xml:space="preserve">(Clark, 1973)</w:t>
      </w:r>
      <w:r>
        <w:t xml:space="preserve"> </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2020)</w:t>
      </w:r>
      <w:r>
        <w:t xml:space="preserve">. A tool that makes the construction</w:t>
      </w:r>
      <w:r>
        <w:t xml:space="preserve"> </w:t>
      </w:r>
      <w:r>
        <w:t xml:space="preserve">of a matched, balanced item set explicit, reproducible and shareable is therefore</w:t>
      </w:r>
      <w:r>
        <w:t xml:space="preserve"> </w:t>
      </w:r>
      <w:r>
        <w:t xml:space="preserve">not a convenience but part of the methodological infrastructure that careful</w:t>
      </w:r>
      <w:r>
        <w:t xml:space="preserve"> </w:t>
      </w:r>
      <w:r>
        <w:t xml:space="preserve">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critical stimulus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both backends render that sequence, so the same</w:t>
      </w:r>
      <w:r>
        <w:t xml:space="preserve"> </w:t>
      </w:r>
      <w:r>
        <w:t xml:space="preserve">machinery produces a factorial word study, a lexical-decision task with generated</w:t>
      </w:r>
      <w:r>
        <w:t xml:space="preserve"> </w:t>
      </w:r>
      <w:r>
        <w:t xml:space="preserve">pseudowords, a primed design or a self-paced reading study from configuration</w:t>
      </w:r>
      <w:r>
        <w:t xml:space="preserve"> </w:t>
      </w:r>
      <w:r>
        <w:t xml:space="preserve">rather than new code.</w:t>
      </w:r>
      <w:r>
        <w:t xml:space="preserve"> </w:t>
      </w:r>
      <w:r>
        <w:t xml:space="preserve">‘lexsync’</w:t>
      </w:r>
      <w:r>
        <w:t xml:space="preserve"> </w:t>
      </w:r>
      <w:r>
        <w:t xml:space="preserve">thus generalises the materials workflow of</w:t>
      </w:r>
      <w:r>
        <w:t xml:space="preserve"> </w:t>
      </w:r>
      <w:r>
        <w:t xml:space="preserve">González Alonso et al. (2025)</w:t>
      </w:r>
      <w:r>
        <w:t xml:space="preserve"> </w:t>
      </w:r>
      <w:r>
        <w:t xml:space="preserve">— itself an artificial-grammar study — into a reusable,</w:t>
      </w:r>
      <w:r>
        <w:t xml:space="preserve"> </w:t>
      </w:r>
      <w:r>
        <w:t xml:space="preserve">FAIR-compliant tool for many psycholinguistic paradigms.</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 among them SUBTLEX-CH for Chinese</w:t>
      </w:r>
      <w:r>
        <w:t xml:space="preserve"> </w:t>
      </w:r>
      <w:r>
        <w:t xml:space="preserve">(Cai &amp; Brysbaert, 2010)</w:t>
      </w:r>
      <w:r>
        <w:t xml:space="preserve"> </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 The dimension set is open: it also includes an orthographic</w:t>
      </w:r>
      <w:r>
        <w:t xml:space="preserve"> </w:t>
      </w:r>
      <w:r>
        <w:t xml:space="preserve">syllable estimate (the number of vowel runs) and a corpus-derived bigram-frequency</w:t>
      </w:r>
      <w:r>
        <w:t xml:space="preserve"> </w:t>
      </w:r>
      <w:r>
        <w:t xml:space="preserve">measure that approximates phonotactic probability, and externally-sourced norms —</w:t>
      </w:r>
      <w:r>
        <w:t xml:space="preserve"> </w:t>
      </w:r>
      <w:r>
        <w:t xml:space="preserve">concreteness, age of acquisition, valence — can be joined on through a</w:t>
      </w:r>
      <w:r>
        <w:t xml:space="preserve"> </w:t>
      </w:r>
      <w:r>
        <w:t xml:space="preserve">norm-table connector so the matcher equates on them too. A sixth corpus</w:t>
      </w:r>
      <w:r>
        <w:t xml:space="preserve"> </w:t>
      </w:r>
      <w:r>
        <w:t xml:space="preserve">demonstration, a frequency contrast additionally equated on syllable count and</w:t>
      </w:r>
      <w:r>
        <w:t xml:space="preserve"> </w:t>
      </w:r>
      <w:r>
        <w:t xml:space="preserve">bigram frequency, exercises these; like all designs it is selected identically by</w:t>
      </w:r>
      <w:r>
        <w:t xml:space="preserve"> </w:t>
      </w:r>
      <w:r>
        <w:t xml:space="preserve">the two engines.</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 a parity we verify below.</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 as orthographic neighbourhood density is with word length and</w:t>
      </w:r>
      <w:r>
        <w:t xml:space="preserve"> </w:t>
      </w:r>
      <w:r>
        <w:t xml:space="preserve">frequency —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 A design may also</w:t>
      </w:r>
      <w:r>
        <w:t xml:space="preserve"> </w:t>
      </w:r>
      <w:r>
        <w:t xml:space="preserve">request</w:t>
      </w:r>
      <w:r>
        <w:t xml:space="preserve"> </w:t>
      </w:r>
      <w:r>
        <w:rPr>
          <w:i/>
          <w:iCs/>
        </w:rPr>
        <w:t xml:space="preserve">resampling</w:t>
      </w:r>
      <w:r>
        <w:t xml:space="preserve">: several disjoint matched item sets are drawn, no item reused</w:t>
      </w:r>
      <w:r>
        <w:t xml:space="preserve"> </w:t>
      </w:r>
      <w:r>
        <w:t xml:space="preserve">across them, so a study can run a different item sample per participant group or</w:t>
      </w:r>
      <w:r>
        <w:t xml:space="preserve"> </w:t>
      </w:r>
      <w:r>
        <w:t xml:space="preserve">demonstrate an effect across samples — operationalising the long-standing</w:t>
      </w:r>
      <w:r>
        <w:t xml:space="preserve"> </w:t>
      </w:r>
      <w:r>
        <w:t xml:space="preserve">recommendation to treat items as a random factor rather than a fixed set</w:t>
      </w:r>
      <w:r>
        <w:t xml:space="preserve"> </w:t>
      </w:r>
      <w:r>
        <w:t xml:space="preserve">(Clark, 1973; Yarkoni, 2020)</w:t>
      </w:r>
      <w:r>
        <w:t xml:space="preserve">.</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 and hence</w:t>
      </w:r>
      <w:r>
        <w:t xml:space="preserve"> </w:t>
      </w:r>
      <w:r>
        <w:t xml:space="preserve">the dependence on the number of items —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p>
      <w:pPr>
        <w:pStyle w:val="BodyText"/>
      </w:pPr>
      <w:r>
        <w:t xml:space="preserve">Finally, each design is accompanied by a</w:t>
      </w:r>
      <w:r>
        <w:t xml:space="preserve"> </w:t>
      </w:r>
      <w:r>
        <w:rPr>
          <w:i/>
          <w:iCs/>
        </w:rPr>
        <w:t xml:space="preserve">materials datasheet</w:t>
      </w:r>
      <w:r>
        <w:t xml:space="preserve"> </w:t>
      </w:r>
      <w:r>
        <w:t xml:space="preserve">— a machine-readable</w:t>
      </w:r>
      <w:r>
        <w:t xml:space="preserve"> </w:t>
      </w:r>
      <w:r>
        <w:t xml:space="preserve">JSON record and a human-readable Markdown summary of its provenance: the corpus or</w:t>
      </w:r>
      <w:r>
        <w:t xml:space="preserve"> </w:t>
      </w:r>
      <w:r>
        <w:t xml:space="preserve">item table and its checksum, the dimensions and how they were computed, the</w:t>
      </w:r>
      <w:r>
        <w:t xml:space="preserve"> </w:t>
      </w:r>
      <w:r>
        <w:t xml:space="preserve">selection or matching method and its parameters, the realised control (the effect</w:t>
      </w:r>
      <w:r>
        <w:t xml:space="preserve"> </w:t>
      </w:r>
      <w:r>
        <w:t xml:space="preserve">sizes, intervals and equivalence verdicts above), the counterbalancing recipe, and</w:t>
      </w:r>
      <w:r>
        <w:t xml:space="preserve"> </w:t>
      </w:r>
      <w:r>
        <w:t xml:space="preserve">the seed, software versions and file checksums needed to reproduce the materials</w:t>
      </w:r>
      <w:r>
        <w:t xml:space="preserve"> </w:t>
      </w:r>
      <w:r>
        <w:t xml:space="preserve">exactly.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 Roettger, 2019)</w:t>
      </w:r>
      <w:r>
        <w:t xml:space="preserve">: the materials, the</w:t>
      </w:r>
      <w:r>
        <w:t xml:space="preserve"> </w:t>
      </w:r>
      <w:r>
        <w:t xml:space="preserve">procedure and the record of how they were made travel together.</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right after the verified</w:t>
      </w:r>
      <w:r>
        <w:t xml:space="preserve"> </w:t>
      </w:r>
      <w:r>
        <w:t xml:space="preserve">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 a fixation cross, a single word</w:t>
      </w:r>
      <w:r>
        <w:t xml:space="preserve"> </w:t>
      </w:r>
      <w:r>
        <w:t xml:space="preserve">and a response —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simply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 so adding a paradigm is a</w:t>
      </w:r>
      <w:r>
        <w:t xml:space="preserve"> </w:t>
      </w:r>
      <w:r>
        <w:t xml:space="preserve">matter of configuration, not backend code, and the targets stay in step by</w:t>
      </w:r>
      <w:r>
        <w:t xml:space="preserve"> </w:t>
      </w:r>
      <w:r>
        <w:t xml:space="preserve">construction. The</w:t>
      </w:r>
      <w:r>
        <w:t xml:space="preserve"> </w:t>
      </w:r>
      <w:r>
        <w:t xml:space="preserve">‘jsPsych’</w:t>
      </w:r>
      <w:r>
        <w:t xml:space="preserve"> </w:t>
      </w:r>
      <w:r>
        <w:t xml:space="preserve">target is a single self-contained HTML file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 —</w:t>
      </w:r>
      <w:r>
        <w:t xml:space="preserve"> </w:t>
      </w:r>
      <w:r>
        <w:t xml:space="preserve">prime–target pairs, or sentences segmented into regions with a comprehension</w:t>
      </w:r>
      <w:r>
        <w:t xml:space="preserve"> </w:t>
      </w:r>
      <w:r>
        <w:t xml:space="preserve">question —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For each real word</w:t>
      </w:r>
      <w:r>
        <w:t xml:space="preserve"> </w:t>
      </w:r>
      <w:r>
        <w:t xml:space="preserve">‘lexsync’</w:t>
      </w:r>
      <w:r>
        <w:t xml:space="preserve"> </w:t>
      </w:r>
      <w:r>
        <w:t xml:space="preserve">derives a length-matched, orthographically legal</w:t>
      </w:r>
      <w:r>
        <w:t xml:space="preserve"> </w:t>
      </w:r>
      <w:r>
        <w:t xml:space="preserve">non-word by changing the fewest letters such that every resulting letter bigram is</w:t>
      </w:r>
      <w:r>
        <w:t xml:space="preserve"> </w:t>
      </w:r>
      <w:r>
        <w:t xml:space="preserve">attested in the corpus and the form is not itself a word, choosing among the legal</w:t>
      </w:r>
      <w:r>
        <w:t xml:space="preserve"> </w:t>
      </w:r>
      <w:r>
        <w:t xml:space="preserve">candidates the most bigram-plausible with a byte-order tie-break. This is a</w:t>
      </w:r>
      <w:r>
        <w:t xml:space="preserve"> </w:t>
      </w:r>
      <w:r>
        <w:t xml:space="preserve">deterministic, cross-engine-reproducible relative of</w:t>
      </w:r>
      <w:r>
        <w:t xml:space="preserve"> </w:t>
      </w:r>
      <w:r>
        <w:t xml:space="preserve">‘Wuggy’</w:t>
      </w:r>
      <w:r>
        <w:t xml:space="preserve"> </w:t>
      </w:r>
      <w:r>
        <w:t xml:space="preserve">(Keuleers &amp; Brysbaert, 2010)</w:t>
      </w:r>
      <w:r>
        <w:t xml:space="preserve">: where Wuggy models subsyllabic structure,</w:t>
      </w:r>
      <w:r>
        <w:t xml:space="preserve"> </w:t>
      </w:r>
      <w:r>
        <w:t xml:space="preserve">‘lexsync’</w:t>
      </w:r>
      <w:r>
        <w:t xml:space="preserve"> </w:t>
      </w:r>
      <w:r>
        <w:t xml:space="preserve">trades</w:t>
      </w:r>
      <w:r>
        <w:t xml:space="preserve"> </w:t>
      </w:r>
      <w:r>
        <w:t xml:space="preserve">that for exact length matching and identical output from the R and Python engines.</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2"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twelve demonstrations. The first six are</w:t>
      </w:r>
      <w:r>
        <w:t xml:space="preserve"> </w:t>
      </w:r>
      <w:r>
        <w:t xml:space="preserve">corpus-matched word contrasts; the next three exercise other paradigms; and the</w:t>
      </w:r>
      <w:r>
        <w:t xml:space="preserve"> </w:t>
      </w:r>
      <w:r>
        <w:t xml:space="preserve">final three reproduce designs from the published literature (see</w:t>
      </w:r>
      <w:r>
        <w:t xml:space="preserve"> </w:t>
      </w:r>
      <w:r>
        <w:rPr>
          <w:i/>
          <w:iCs/>
        </w:rPr>
        <w:t xml:space="preserve">Reproducing</w:t>
      </w:r>
      <w:r>
        <w:rPr>
          <w:i/>
          <w:iCs/>
        </w:rPr>
        <w:t xml:space="preserve"> </w:t>
      </w:r>
      <w:r>
        <w:rPr>
          <w:i/>
          <w:iCs/>
        </w:rPr>
        <w:t xml:space="preserve">published designs</w:t>
      </w:r>
      <w:r>
        <w:t xml:space="preserve">, below). Of the</w:t>
      </w:r>
      <w:r>
        <w:t xml:space="preserve"> </w:t>
      </w:r>
      <w:r>
        <w:t xml:space="preserve">matched contrasts, four are alphabetic: a high- versus low-frequency contrast and</w:t>
      </w:r>
      <w:r>
        <w:t xml:space="preserve"> </w:t>
      </w:r>
      <w:r>
        <w:t xml:space="preserve">a dense- versus sparse-neighbourhood contrast, each in English and in Spanish,</w:t>
      </w:r>
      <w:r>
        <w:t xml:space="preserve"> </w:t>
      </w:r>
      <w:r>
        <w:t xml:space="preserve">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 sixth,</w:t>
      </w:r>
      <w:r>
        <w:t xml:space="preserve"> </w:t>
      </w:r>
      <w:r>
        <w:t xml:space="preserve">also corpus-matched, additionally equates an orthographic syllable estimate and a</w:t>
      </w:r>
      <w:r>
        <w:t xml:space="preserve"> </w:t>
      </w:r>
      <w:r>
        <w:t xml:space="preserve">bigram-frequency measure, exercising the richer dimensions introduced with the</w:t>
      </w:r>
      <w:r>
        <w:t xml:space="preserve"> </w:t>
      </w:r>
      <w:r>
        <w:t xml:space="preserve">matching algorithm above. The remaining three — lexical decision, priming and</w:t>
      </w:r>
      <w:r>
        <w:t xml:space="preserve"> </w:t>
      </w:r>
      <w:r>
        <w:t xml:space="preserve">self-paced reading — show the trial-event model carrying word, pseudoword, paired</w:t>
      </w:r>
      <w:r>
        <w:t xml:space="preserve"> </w:t>
      </w:r>
      <w:r>
        <w:t xml:space="preserve">and sentence stimuli (see</w:t>
      </w:r>
      <w:r>
        <w:t xml:space="preserve"> </w:t>
      </w:r>
      <w:r>
        <w:rPr>
          <w:i/>
          <w:iCs/>
        </w:rPr>
        <w:t xml:space="preserve">Beyond word lists</w:t>
      </w:r>
      <w:r>
        <w:t xml:space="preserve">, below). Each demonstration was</w:t>
      </w:r>
      <w:r>
        <w:t xml:space="preserve"> </w:t>
      </w:r>
      <w:r>
        <w:t xml:space="preserve">produced by both the R and the Python engine. All tables and figures in this</w:t>
      </w:r>
      <w:r>
        <w:t xml:space="preserve"> </w:t>
      </w:r>
      <w:r>
        <w:t xml:space="preserve">section are computed at render time from the generated output. The tables that</w:t>
      </w:r>
      <w:r>
        <w:t xml:space="preserve"> </w:t>
      </w:r>
      <w:r>
        <w:t xml:space="preserve">follow summarise the five frequency and neighbourhood contrasts, for which a</w:t>
      </w:r>
      <w:r>
        <w:t xml:space="preserve"> </w:t>
      </w:r>
      <w:r>
        <w:t xml:space="preserve">controlled-versus-manipulated report is defined; the remaining demonstrations are</w:t>
      </w:r>
      <w:r>
        <w:t xml:space="preserve"> </w:t>
      </w:r>
      <w:r>
        <w:t xml:space="preserve">described in their own sections.</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 effect size and interval first, equivalence test as a</w:t>
      </w:r>
      <w:r>
        <w:t xml:space="preserve"> </w:t>
      </w:r>
      <w:r>
        <w:t xml:space="preserve">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t xml:space="preserve"> </w:t>
      </w:r>
      <w:r>
        <w:rPr>
          <w:rStyle w:val="VerbatimChar"/>
        </w:rPr>
        <w:t xml:space="preserve">wordfreq</w:t>
      </w:r>
      <w:r>
        <w:t xml:space="preserve">‘s Chinese data</w:t>
      </w:r>
      <w:r>
        <w:t xml:space="preserve"> </w:t>
      </w:r>
      <w:r>
        <w:t xml:space="preserve">(Speer, 2022)</w:t>
      </w:r>
      <w:r>
        <w:t xml:space="preserve"> </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 tens of single-character substitutions each, an</w:t>
      </w:r>
      <w:r>
        <w:t xml:space="preserve"> </w:t>
      </w:r>
      <w:r>
        <w:t xml:space="preserve">order of magnitude more than the alphabetic words above —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w:t>
      </w:r>
      <w:r>
        <w:t xml:space="preserve"> </w:t>
      </w:r>
      <w:r>
        <w:rPr>
          <w:b/>
          <w:bCs/>
        </w:rPr>
        <w:t xml:space="preserve">lexical-decision</w:t>
      </w:r>
      <w:r>
        <w:t xml:space="preserve"> </w:t>
      </w:r>
      <w:r>
        <w:t xml:space="preserve">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w:t>
      </w:r>
      <w:r>
        <w:t xml:space="preserve"> </w:t>
      </w:r>
      <w:r>
        <w:rPr>
          <w:b/>
          <w:bCs/>
        </w:rPr>
        <w:t xml:space="preserve">priming</w:t>
      </w:r>
      <w:r>
        <w:t xml:space="preserve"> </w:t>
      </w:r>
      <w:r>
        <w:t xml:space="preserve">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rPr>
          <w:b/>
          <w:bCs/>
        </w:rPr>
        <w:t xml:space="preserve">self-paced reading</w:t>
      </w:r>
      <w:r>
        <w:t xml:space="preserve"> </w:t>
      </w:r>
      <w:r>
        <w:t xml:space="preserve">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self-contained browser-based</w:t>
      </w:r>
      <w:r>
        <w:t xml:space="preserve"> </w:t>
      </w:r>
      <w:r>
        <w:t xml:space="preserve">‘jsPsych’</w:t>
      </w:r>
      <w:r>
        <w:t xml:space="preserve"> </w:t>
      </w:r>
      <w:r>
        <w:t xml:space="preserve">experiment, and the R and Python engines</w:t>
      </w:r>
      <w:r>
        <w:t xml:space="preserve"> </w:t>
      </w:r>
      <w:r>
        <w:t xml:space="preserve">select identical materials in every case —</w:t>
      </w:r>
      <w:r>
        <w:t xml:space="preserve"> </w:t>
      </w:r>
      <w:r>
        <w:t xml:space="preserve">including, for lexical decision, the very same deterministically generated</w:t>
      </w:r>
      <w:r>
        <w:t xml:space="preserve"> </w:t>
      </w:r>
      <w:r>
        <w:t xml:space="preserve">pseudowords.</w:t>
      </w:r>
    </w:p>
    <w:bookmarkEnd w:id="29"/>
    <w:bookmarkStart w:id="31" w:name="reproducing-published-designs"/>
    <w:p>
      <w:pPr>
        <w:pStyle w:val="Heading2"/>
      </w:pPr>
      <w:r>
        <w:t xml:space="preserve">Reproducing published designs</w:t>
      </w:r>
    </w:p>
    <w:p>
      <w:pPr>
        <w:pStyle w:val="FirstParagraph"/>
      </w:pPr>
      <w:r>
        <w:t xml:space="preserve">The demonstrations so far are illustrative. To show that</w:t>
      </w:r>
      <w:r>
        <w:t xml:space="preserve"> </w:t>
      </w:r>
      <w:r>
        <w:t xml:space="preserve">‘lexsync’</w:t>
      </w:r>
      <w:r>
        <w:t xml:space="preserve"> </w:t>
      </w:r>
      <w:r>
        <w:t xml:space="preserve">reproduces</w:t>
      </w:r>
      <w:r>
        <w:t xml:space="preserve"> </w:t>
      </w:r>
      <w:r>
        <w:t xml:space="preserve">designs from the published literature, we recreated three studies that span the</w:t>
      </w:r>
      <w:r>
        <w:t xml:space="preserve"> </w:t>
      </w:r>
      <w:r>
        <w:t xml:space="preserve">workflow’s range: the artificial-grammar study the package originates from, a</w:t>
      </w:r>
      <w:r>
        <w:t xml:space="preserve"> </w:t>
      </w:r>
      <w:r>
        <w:t xml:space="preserve">classic factorial lexical-decision design, and a masked-priming design. Each was</w:t>
      </w:r>
      <w:r>
        <w:t xml:space="preserve"> </w:t>
      </w:r>
      <w:r>
        <w:t xml:space="preserve">rebuilt to the original’s matching</w:t>
      </w:r>
      <w:r>
        <w:t xml:space="preserve"> </w:t>
      </w:r>
      <w:r>
        <w:rPr>
          <w:i/>
          <w:iCs/>
        </w:rPr>
        <w:t xml:space="preserve">criteria</w:t>
      </w:r>
      <w:r>
        <w:t xml:space="preserve"> </w:t>
      </w:r>
      <w:r>
        <w:t xml:space="preserve">— its manipulated and controlled</w:t>
      </w:r>
      <w:r>
        <w:t xml:space="preserve"> </w:t>
      </w:r>
      <w:r>
        <w:t xml:space="preserve">dimensions and their tolerances — from a contemporary, redistributable corpus,</w:t>
      </w:r>
      <w:r>
        <w:t xml:space="preserve"> </w:t>
      </w:r>
      <w:r>
        <w:t xml:space="preserve">rather than by copying the authors’ word lists;</w:t>
      </w:r>
      <w:r>
        <w:t xml:space="preserve"> </w:t>
      </w:r>
      <w:hyperlink w:anchor="tbl-repro">
        <w:r>
          <w:rPr>
            <w:rStyle w:val="Hyperlink"/>
          </w:rPr>
          <w:t xml:space="preserve">Table 7</w:t>
        </w:r>
      </w:hyperlink>
      <w:r>
        <w:t xml:space="preserve"> </w:t>
      </w:r>
      <w:r>
        <w:t xml:space="preserve">summarises the three,</w:t>
      </w:r>
      <w:r>
        <w:t xml:space="preserve"> </w:t>
      </w:r>
      <w:r>
        <w:t xml:space="preserve">and the two engines reproduce each one identically.</w:t>
      </w:r>
    </w:p>
    <w:tbl>
      <w:tblPr>
        <w:tblStyle w:val="Table"/>
        <w:tblW w:type="pct" w:w="5000"/>
        <w:tblLayout w:type="fixed"/>
        <w:tblLook w:firstRow="0" w:lastRow="0" w:firstColumn="0" w:lastColumn="0" w:noHBand="0" w:noVBand="0" w:val="0000"/>
      </w:tblPr>
      <w:tblGrid>
        <w:gridCol w:w="7920"/>
      </w:tblGrid>
      <w:tr>
        <w:tc>
          <w:tcPr/>
          <w:bookmarkStart w:id="30" w:name="tbl-repro"/>
          <w:p>
            <w:pPr>
              <w:jc w:val="center"/>
            </w:pPr>
            <w:pPr>
              <w:jc w:val="left"/>
              <w:spacing w:before="200"/>
              <w:pStyle w:val="ImageCaption"/>
            </w:pPr>
            <w:r>
              <w:t xml:space="preserve">Table 7:</w:t>
            </w:r>
            <w:r>
              <w:t xml:space="preserve"> </w:t>
            </w:r>
            <w:r>
              <w:rPr>
                <w:i/>
                <w:iCs/>
              </w:rPr>
              <w:t xml:space="preserve">Three Published Designs Reproduced to Criteria.</w:t>
            </w:r>
            <w:r>
              <w:t xml:space="preserve"> </w:t>
            </w:r>
            <w:r>
              <w:rPr>
                <w:i/>
                <w:iCs/>
              </w:rPr>
              <w:t xml:space="preserve">Note.</w:t>
            </w:r>
            <w:r>
              <w:t xml:space="preserve"> </w:t>
            </w:r>
            <w:r>
              <w:t xml:space="preserve">For each reproduction: the structure rebuilt, the number of generated items, and the largest standardised mean difference (Cohen’s</w:t>
            </w:r>
            <w:r>
              <w:t xml:space="preserve"> </w:t>
            </w:r>
            <w:r>
              <w:rPr>
                <w:i/>
                <w:iCs/>
              </w:rPr>
              <w:t xml:space="preserve">d</w:t>
            </w:r>
            <w:r>
              <w:t xml:space="preserve">) remaining on a controlled (matched) dimension. The manipulations are large by construction; for Andrews these are frequency and neighbourhood size, reported in the text. The Rastle design is a priming layout with no corpus-matched control dimension.</w:t>
            </w:r>
          </w:p>
          <w:tbl>
            <w:tblPr>
              <w:tblStyle w:val="Table"/>
              <w:tblW w:type="pct" w:w="5000"/>
              <w:tblLayout w:type="fixed"/>
              <w:tblLook w:firstRow="1" w:lastRow="0" w:firstColumn="0" w:lastColumn="0" w:noHBand="0" w:noVBand="0" w:val="0020"/>
            </w:tblPr>
            <w:tblGrid>
              <w:gridCol w:w="1616"/>
              <w:gridCol w:w="4202"/>
              <w:gridCol w:w="323"/>
              <w:gridCol w:w="1777"/>
            </w:tblGrid>
            <w:tr>
              <w:trPr>
                <w:tblHeader w:val="on"/>
              </w:trPr>
              <w:tc>
                <w:tcPr/>
                <w:p>
                  <w:pPr>
                    <w:pStyle w:val="Compact"/>
                    <w:jc w:val="left"/>
                    <w:jc w:val="center"/>
                  </w:pPr>
                  <w:r>
                    <w:t xml:space="preserve">Reproduction</w:t>
                  </w:r>
                </w:p>
              </w:tc>
              <w:tc>
                <w:tcPr/>
                <w:p>
                  <w:pPr>
                    <w:pStyle w:val="Compact"/>
                    <w:jc w:val="left"/>
                    <w:jc w:val="center"/>
                  </w:pPr>
                  <w:r>
                    <w:t xml:space="preserve">Design rebuilt</w:t>
                  </w:r>
                </w:p>
              </w:tc>
              <w:tc>
                <w:tcPr/>
                <w:p>
                  <w:pPr>
                    <w:pStyle w:val="Compact"/>
                    <w:jc w:val="right"/>
                    <w:jc w:val="center"/>
                  </w:pPr>
                  <w:r>
                    <w:t xml:space="preserve">Items</w:t>
                  </w:r>
                </w:p>
              </w:tc>
              <w:tc>
                <w:tcPr/>
                <w:p>
                  <w:pPr>
                    <w:pStyle w:val="Compact"/>
                    <w:jc w:val="right"/>
                    <w:jc w:val="center"/>
                  </w:pPr>
                  <w:r>
                    <w:t xml:space="preserve">Largest controlled |d|</w:t>
                  </w:r>
                </w:p>
              </w:tc>
            </w:tr>
            <w:tr>
              <w:tc>
                <w:tcPr/>
                <w:p>
                  <w:pPr>
                    <w:pStyle w:val="Compact"/>
                    <w:jc w:val="left"/>
                    <w:jc w:val="center"/>
                  </w:pPr>
                  <w:r>
                    <w:t xml:space="preserve">Gonzalez Alonso et al. (2025)</w:t>
                  </w:r>
                </w:p>
              </w:tc>
              <w:tc>
                <w:tcPr/>
                <w:p>
                  <w:pPr>
                    <w:pStyle w:val="Compact"/>
                    <w:jc w:val="left"/>
                    <w:jc w:val="center"/>
                  </w:pPr>
                  <w:r>
                    <w:t xml:space="preserve">Gender assignment: feminine vs masculine, matched on frequency and length</w:t>
                  </w:r>
                </w:p>
              </w:tc>
              <w:tc>
                <w:tcPr/>
                <w:p>
                  <w:pPr>
                    <w:pStyle w:val="Compact"/>
                    <w:jc w:val="right"/>
                    <w:jc w:val="center"/>
                  </w:pPr>
                  <w:r>
                    <w:t xml:space="preserve">96</w:t>
                  </w:r>
                </w:p>
              </w:tc>
              <w:tc>
                <w:tcPr/>
                <w:p>
                  <w:pPr>
                    <w:pStyle w:val="Compact"/>
                    <w:jc w:val="right"/>
                    <w:jc w:val="center"/>
                  </w:pPr>
                  <w:r>
                    <w:t xml:space="preserve">0.02</w:t>
                  </w:r>
                </w:p>
              </w:tc>
            </w:tr>
            <w:tr>
              <w:tc>
                <w:tcPr/>
                <w:p>
                  <w:pPr>
                    <w:pStyle w:val="Compact"/>
                    <w:jc w:val="left"/>
                    <w:jc w:val="center"/>
                  </w:pPr>
                  <w:r>
                    <w:t xml:space="preserve">Andrews (1989)</w:t>
                  </w:r>
                </w:p>
              </w:tc>
              <w:tc>
                <w:tcPr/>
                <w:p>
                  <w:pPr>
                    <w:pStyle w:val="Compact"/>
                    <w:jc w:val="left"/>
                    <w:jc w:val="center"/>
                  </w:pPr>
                  <w:r>
                    <w:t xml:space="preserve">Frequency x neighbourhood size: 2x2 lexical decision, cells matched on length</w:t>
                  </w:r>
                </w:p>
              </w:tc>
              <w:tc>
                <w:tcPr/>
                <w:p>
                  <w:pPr>
                    <w:pStyle w:val="Compact"/>
                    <w:jc w:val="right"/>
                    <w:jc w:val="center"/>
                  </w:pPr>
                  <w:r>
                    <w:t xml:space="preserve">72</w:t>
                  </w:r>
                </w:p>
              </w:tc>
              <w:tc>
                <w:tcPr/>
                <w:p>
                  <w:pPr>
                    <w:pStyle w:val="Compact"/>
                    <w:jc w:val="right"/>
                    <w:jc w:val="center"/>
                  </w:pPr>
                  <w:r>
                    <w:t xml:space="preserve">0.21</w:t>
                  </w:r>
                </w:p>
              </w:tc>
            </w:tr>
            <w:tr>
              <w:tc>
                <w:tcPr/>
                <w:p>
                  <w:pPr>
                    <w:pStyle w:val="Compact"/>
                    <w:jc w:val="left"/>
                    <w:jc w:val="center"/>
                  </w:pPr>
                  <w:r>
                    <w:t xml:space="preserve">Rastle, Davis &amp; New (2004)</w:t>
                  </w:r>
                </w:p>
              </w:tc>
              <w:tc>
                <w:tcPr/>
                <w:p>
                  <w:pPr>
                    <w:pStyle w:val="Compact"/>
                    <w:jc w:val="left"/>
                    <w:jc w:val="center"/>
                  </w:pPr>
                  <w:r>
                    <w:t xml:space="preserve">Masked priming: transparent / opaque / orthographic, vs unrelated baseline</w:t>
                  </w:r>
                </w:p>
              </w:tc>
              <w:tc>
                <w:tcPr/>
                <w:p>
                  <w:pPr>
                    <w:pStyle w:val="Compact"/>
                    <w:jc w:val="right"/>
                    <w:jc w:val="center"/>
                  </w:pPr>
                  <w:r>
                    <w:t xml:space="preserve">24</w:t>
                  </w:r>
                </w:p>
              </w:tc>
              <w:tc>
                <w:tcPr/>
                <w:p>
                  <w:pPr>
                    <w:pStyle w:val="Compact"/>
                    <w:jc w:val="right"/>
                    <w:jc w:val="center"/>
                  </w:pPr>
                  <w:r>
                    <w:t xml:space="preserve">—</w:t>
                  </w:r>
                </w:p>
              </w:tc>
            </w:tr>
          </w:tbl>
          <w:bookmarkEnd w:id="30"/>
          <w:p/>
        </w:tc>
      </w:tr>
    </w:tbl>
    <w:p>
      <w:pPr>
        <w:pStyle w:val="BodyText"/>
      </w:pPr>
      <w:r>
        <w:t xml:space="preserve">The</w:t>
      </w:r>
      <w:r>
        <w:t xml:space="preserve"> </w:t>
      </w:r>
      <w:r>
        <w:rPr>
          <w:b/>
          <w:bCs/>
        </w:rPr>
        <w:t xml:space="preserve">origin study</w:t>
      </w:r>
      <w:r>
        <w:t xml:space="preserve"> </w:t>
      </w:r>
      <w:r>
        <w:t xml:space="preserve">(González Alonso et al., 2025)</w:t>
      </w:r>
      <w:r>
        <w:t xml:space="preserve"> </w:t>
      </w:r>
      <w:r>
        <w:t xml:space="preserve">administered a natural-language</w:t>
      </w:r>
      <w:r>
        <w:t xml:space="preserve"> </w:t>
      </w:r>
      <w:r>
        <w:t xml:space="preserve">gender-assignment task in which corpus nouns, half feminine and half masculine,</w:t>
      </w:r>
      <w:r>
        <w:t xml:space="preserve"> </w:t>
      </w:r>
      <w:r>
        <w:t xml:space="preserve">were matched to the study’s nouns on word frequency (within mean ±</w:t>
      </w:r>
      <w:r>
        <w:t xml:space="preserve"> </w:t>
      </w:r>
      <w:r>
        <w:rPr>
          <w:i/>
          <w:iCs/>
        </w:rPr>
        <w:t xml:space="preserve">SD</w:t>
      </w:r>
      <w:r>
        <w:t xml:space="preserve">/9) and</w:t>
      </w:r>
      <w:r>
        <w:t xml:space="preserve"> </w:t>
      </w:r>
      <w:r>
        <w:t xml:space="preserve">number of letters (within mean ± 2</w:t>
      </w:r>
      <w:r>
        <w:t xml:space="preserve"> </w:t>
      </w:r>
      <w:r>
        <w:rPr>
          <w:i/>
          <w:iCs/>
        </w:rPr>
        <w:t xml:space="preserve">SD</w:t>
      </w:r>
      <w:r>
        <w:t xml:space="preserve">).</w:t>
      </w:r>
      <w:r>
        <w:t xml:space="preserve"> </w:t>
      </w:r>
      <w:r>
        <w:t xml:space="preserve">‘lexsync’</w:t>
      </w:r>
      <w:r>
        <w:t xml:space="preserve"> </w:t>
      </w:r>
      <w:r>
        <w:t xml:space="preserve">reproduces this design</w:t>
      </w:r>
      <w:r>
        <w:t xml:space="preserve"> </w:t>
      </w:r>
      <w:r>
        <w:t xml:space="preserve">directly: the same per-dimension tolerance windows are declared in the design file</w:t>
      </w:r>
      <w:r>
        <w:t xml:space="preserve"> </w:t>
      </w:r>
      <w:r>
        <w:t xml:space="preserve">and applied by the matcher, and feminine and masculine words are equated on</w:t>
      </w:r>
      <w:r>
        <w:t xml:space="preserve"> </w:t>
      </w:r>
      <w:r>
        <w:t xml:space="preserve">frequency and length to a largest controlled Cohen’s</w:t>
      </w:r>
      <w:r>
        <w:t xml:space="preserve"> </w:t>
      </w:r>
      <w:r>
        <w:rPr>
          <w:i/>
          <w:iCs/>
        </w:rPr>
        <w:t xml:space="preserve">d</w:t>
      </w:r>
      <w:r>
        <w:t xml:space="preserve"> </w:t>
      </w:r>
      <w:r>
        <w:t xml:space="preserve">of</w:t>
      </w:r>
      <w:r>
        <w:t xml:space="preserve"> </w:t>
      </w:r>
      <w:r>
        <w:t xml:space="preserve">0.02 across 96 items. Because the bundled</w:t>
      </w:r>
      <w:r>
        <w:t xml:space="preserve"> </w:t>
      </w:r>
      <w:r>
        <w:t xml:space="preserve">Spanish corpus carries no lexical-gender field, gender is approximated by the</w:t>
      </w:r>
      <w:r>
        <w:t xml:space="preserve"> </w:t>
      </w:r>
      <w:r>
        <w:t xml:space="preserve">canonical ending (</w:t>
      </w:r>
      <w:r>
        <w:rPr>
          <w:i/>
          <w:iCs/>
        </w:rPr>
        <w:t xml:space="preserve">-a</w:t>
      </w:r>
      <w:r>
        <w:t xml:space="preserve">,</w:t>
      </w:r>
      <w:r>
        <w:t xml:space="preserve"> </w:t>
      </w:r>
      <w:r>
        <w:rPr>
          <w:i/>
          <w:iCs/>
        </w:rPr>
        <w:t xml:space="preserve">-o</w:t>
      </w:r>
      <w:r>
        <w:t xml:space="preserve">) rather than looked up as the original did in EsPal</w:t>
      </w:r>
      <w:r>
        <w:t xml:space="preserve"> </w:t>
      </w:r>
      <w:r>
        <w:t xml:space="preserve">(Duchon et al., 2013)</w:t>
      </w:r>
      <w:r>
        <w:t xml:space="preserve">; the demonstration is therefore of the matched selection and</w:t>
      </w:r>
      <w:r>
        <w:t xml:space="preserve"> </w:t>
      </w:r>
      <w:r>
        <w:t xml:space="preserve">its realised control, the part</w:t>
      </w:r>
      <w:r>
        <w:t xml:space="preserve"> </w:t>
      </w:r>
      <w:r>
        <w:t xml:space="preserve">‘lexsync’</w:t>
      </w:r>
      <w:r>
        <w:t xml:space="preserve"> </w:t>
      </w:r>
      <w:r>
        <w:t xml:space="preserve">automates, not of the authors’ exact</w:t>
      </w:r>
      <w:r>
        <w:t xml:space="preserve"> </w:t>
      </w:r>
      <w:r>
        <w:t xml:space="preserve">items.</w:t>
      </w:r>
    </w:p>
    <w:p>
      <w:pPr>
        <w:pStyle w:val="BodyText"/>
      </w:pPr>
      <w:r>
        <w:rPr>
          <w:b/>
          <w:bCs/>
        </w:rPr>
        <w:t xml:space="preserve">Andrews (1989)</w:t>
      </w:r>
      <w:r>
        <w:t xml:space="preserve"> </w:t>
      </w:r>
      <w:r>
        <w:t xml:space="preserve">(Andrews, 1989)</w:t>
      </w:r>
      <w:r>
        <w:t xml:space="preserve"> </w:t>
      </w:r>
      <w:r>
        <w:t xml:space="preserve">crossed word frequency with</w:t>
      </w:r>
      <w:r>
        <w:t xml:space="preserve"> </w:t>
      </w:r>
      <w:r>
        <w:t xml:space="preserve">orthographic neighbourhood size in a 2 × 2 lexical-decision design, holding length</w:t>
      </w:r>
      <w:r>
        <w:t xml:space="preserve"> </w:t>
      </w:r>
      <w:r>
        <w:t xml:space="preserve">constant, and found that a large neighbourhood facilitates low-frequency words</w:t>
      </w:r>
      <w:r>
        <w:t xml:space="preserve"> </w:t>
      </w:r>
      <w:r>
        <w:t xml:space="preserve">disproportionately.</w:t>
      </w:r>
      <w:r>
        <w:t xml:space="preserve"> </w:t>
      </w:r>
      <w:r>
        <w:t xml:space="preserve">‘lexsync’</w:t>
      </w:r>
      <w:r>
        <w:t xml:space="preserve"> </w:t>
      </w:r>
      <w:r>
        <w:t xml:space="preserve">rebuilds the factorial structure over short words,</w:t>
      </w:r>
      <w:r>
        <w:t xml:space="preserve"> </w:t>
      </w:r>
      <w:r>
        <w:t xml:space="preserve">equating all four cells on length (largest controlled</w:t>
      </w:r>
      <w:r>
        <w:t xml:space="preserve"> </w:t>
      </w:r>
      <w:r>
        <w:rPr>
          <w:i/>
          <w:iCs/>
        </w:rPr>
        <w:t xml:space="preserve">d</w:t>
      </w:r>
      <w:r>
        <w:t xml:space="preserve"> </w:t>
      </w:r>
      <w:r>
        <w:t xml:space="preserve">=</w:t>
      </w:r>
      <w:r>
        <w:t xml:space="preserve"> </w:t>
      </w:r>
      <w:r>
        <w:t xml:space="preserve">0.21) while separating the manipulated dimensions</w:t>
      </w:r>
      <w:r>
        <w:t xml:space="preserve"> </w:t>
      </w:r>
      <w:r>
        <w:t xml:space="preserve">widely — frequency</w:t>
      </w:r>
      <w:r>
        <w:t xml:space="preserve"> </w:t>
      </w:r>
      <w:r>
        <w:rPr>
          <w:i/>
          <w:iCs/>
        </w:rPr>
        <w:t xml:space="preserve">d</w:t>
      </w:r>
      <w:r>
        <w:t xml:space="preserve"> </w:t>
      </w:r>
      <w:r>
        <w:t xml:space="preserve">up to 5.2 and neighbourhood</w:t>
      </w:r>
      <w:r>
        <w:t xml:space="preserve"> </w:t>
      </w:r>
      <w:r>
        <w:rPr>
          <w:i/>
          <w:iCs/>
        </w:rPr>
        <w:t xml:space="preserve">d</w:t>
      </w:r>
      <w:r>
        <w:t xml:space="preserve"> </w:t>
      </w:r>
      <w:r>
        <w:t xml:space="preserve">up to 3.3. Frequencies come from a contemporary corpus</w:t>
      </w:r>
      <w:r>
        <w:t xml:space="preserve"> </w:t>
      </w:r>
      <w:r>
        <w:t xml:space="preserve">rather than the Kučera–Francis counts of the original, so the realised bands differ</w:t>
      </w:r>
      <w:r>
        <w:t xml:space="preserve"> </w:t>
      </w:r>
      <w:r>
        <w:t xml:space="preserve">while the factorial design does not.</w:t>
      </w:r>
    </w:p>
    <w:p>
      <w:pPr>
        <w:pStyle w:val="BodyText"/>
      </w:pPr>
      <w:r>
        <w:rPr>
          <w:b/>
          <w:bCs/>
        </w:rPr>
        <w:t xml:space="preserve">Rastle, Davis and New (2004)</w:t>
      </w:r>
      <w:r>
        <w:t xml:space="preserve"> </w:t>
      </w:r>
      <w:r>
        <w:t xml:space="preserve">(Rastle et al., 2004)</w:t>
      </w:r>
      <w:r>
        <w:t xml:space="preserve"> </w:t>
      </w:r>
      <w:r>
        <w:t xml:space="preserve">used masked priming to</w:t>
      </w:r>
      <w:r>
        <w:t xml:space="preserve"> </w:t>
      </w:r>
      <w:r>
        <w:t xml:space="preserve">dissociate three kinds of prime–target relationship — transparent morphological</w:t>
      </w:r>
      <w:r>
        <w:t xml:space="preserve"> </w:t>
      </w:r>
      <w:r>
        <w:t xml:space="preserve">(</w:t>
      </w:r>
      <w:r>
        <w:rPr>
          <w:i/>
          <w:iCs/>
        </w:rPr>
        <w:t xml:space="preserve">cleaner</w:t>
      </w:r>
      <w:r>
        <w:t xml:space="preserve">–CLEAN), opaque morphological (</w:t>
      </w:r>
      <w:r>
        <w:rPr>
          <w:i/>
          <w:iCs/>
        </w:rPr>
        <w:t xml:space="preserve">corner</w:t>
      </w:r>
      <w:r>
        <w:t xml:space="preserve">–CORN) and purely orthographic</w:t>
      </w:r>
      <w:r>
        <w:t xml:space="preserve"> </w:t>
      </w:r>
      <w:r>
        <w:t xml:space="preserve">(</w:t>
      </w:r>
      <w:r>
        <w:rPr>
          <w:i/>
          <w:iCs/>
        </w:rPr>
        <w:t xml:space="preserve">brothel</w:t>
      </w:r>
      <w:r>
        <w:t xml:space="preserve">–BROTH) — each against an unrelated baseline, arguing for an early</w:t>
      </w:r>
      <w:r>
        <w:t xml:space="preserve"> </w:t>
      </w:r>
      <w:r>
        <w:t xml:space="preserve">morpho-orthographic segmentation stage blind to meaning.</w:t>
      </w:r>
      <w:r>
        <w:t xml:space="preserve"> </w:t>
      </w:r>
      <w:r>
        <w:t xml:space="preserve">‘lexsync’</w:t>
      </w:r>
      <w:r>
        <w:t xml:space="preserve"> </w:t>
      </w:r>
      <w:r>
        <w:t xml:space="preserve">expresses the</w:t>
      </w:r>
      <w:r>
        <w:t xml:space="preserve"> </w:t>
      </w:r>
      <w:r>
        <w:t xml:space="preserve">design with its priming paradigm: 12 targets are each shown with a</w:t>
      </w:r>
      <w:r>
        <w:t xml:space="preserve"> </w:t>
      </w:r>
      <w:r>
        <w:t xml:space="preserve">related prime of their assigned type and an unrelated, length-matched control,</w:t>
      </w:r>
      <w:r>
        <w:t xml:space="preserve"> </w:t>
      </w:r>
      <w:r>
        <w:t xml:space="preserve">Latin-square counterbalanced across 2 lists so a target appears once</w:t>
      </w:r>
      <w:r>
        <w:t xml:space="preserve"> </w:t>
      </w:r>
      <w:r>
        <w:t xml:space="preserve">per list, with the prime type carried as a between-items factor for analysis. This</w:t>
      </w:r>
      <w:r>
        <w:t xml:space="preserve"> </w:t>
      </w:r>
      <w:r>
        <w:t xml:space="preserve">is a representative item set following the prime-type structure of the original,</w:t>
      </w:r>
      <w:r>
        <w:t xml:space="preserve"> </w:t>
      </w:r>
      <w:r>
        <w:t xml:space="preserve">not its full materials.</w:t>
      </w:r>
    </w:p>
    <w:bookmarkEnd w:id="31"/>
    <w:bookmarkEnd w:id="32"/>
    <w:bookmarkStart w:id="33"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 corpus access, dimension derivation,</w:t>
      </w:r>
      <w:r>
        <w:t xml:space="preserve"> </w:t>
      </w:r>
      <w:r>
        <w:t xml:space="preserve">matching, counterbalancing and CJK-font script generation all work unchanged —</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The dimension set, already broadened beyond orthography</w:t>
      </w:r>
      <w:r>
        <w:t xml:space="preserve"> </w:t>
      </w:r>
      <w:r>
        <w:t xml:space="preserve">to an orthographic syllable estimate and a corpus-derived bigram-frequency</w:t>
      </w:r>
      <w:r>
        <w:t xml:space="preserve"> </w:t>
      </w:r>
      <w:r>
        <w:t xml:space="preserve">(phonotactic-probability) measure, could grow further to predictability dimensions</w:t>
      </w:r>
      <w:r>
        <w:t xml:space="preserve"> </w:t>
      </w:r>
      <w:r>
        <w:t xml:space="preserve">(n-gram or language-model surprisal); semantic dimensions such as concreteness, age</w:t>
      </w:r>
      <w:r>
        <w:t xml:space="preserve"> </w:t>
      </w:r>
      <w:r>
        <w:t xml:space="preserve">of acquisition and valence are already reachable through the norm-table connector,</w:t>
      </w:r>
      <w:r>
        <w:t xml:space="preserve"> </w:t>
      </w:r>
      <w:r>
        <w:t xml:space="preserve">the norm data being fetched separately because their licences vary. Sampling matched</w:t>
      </w:r>
      <w:r>
        <w:t xml:space="preserve"> </w:t>
      </w:r>
      <w:r>
        <w:t xml:space="preserve">item sets per participant, rather than per study, would extend the resampling</w:t>
      </w:r>
      <w:r>
        <w:t xml:space="preserve"> </w:t>
      </w:r>
      <w:r>
        <w:t xml:space="preserve">already provided; a graphical interface is a further possibility.</w:t>
      </w:r>
    </w:p>
    <w:bookmarkEnd w:id="33"/>
    <w:bookmarkStart w:id="35"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4"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w:t>
      </w:r>
      <w:r>
        <w:t xml:space="preserve"> </w:t>
      </w:r>
      <w:r>
        <w:rPr>
          <w:b/>
          <w:bCs/>
        </w:rPr>
        <w:t xml:space="preserve">paradigm</w:t>
      </w:r>
      <w:r>
        <w:t xml:space="preserve">,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both</w:t>
      </w:r>
      <w:r>
        <w:t xml:space="preserve"> </w:t>
      </w:r>
      <w:r>
        <w:t xml:space="preserve">backends then render it with no further code. To add a</w:t>
      </w:r>
      <w:r>
        <w:t xml:space="preserve"> </w:t>
      </w:r>
      <w:r>
        <w:rPr>
          <w:b/>
          <w:bCs/>
        </w:rPr>
        <w:t xml:space="preserve">lexical dimension</w:t>
      </w:r>
      <w:r>
        <w:t xml:space="preserve">,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w:t>
      </w:r>
      <w:r>
        <w:t xml:space="preserve"> </w:t>
      </w:r>
      <w:r>
        <w:t xml:space="preserve">table in</w:t>
      </w:r>
      <w:r>
        <w:t xml:space="preserve"> </w:t>
      </w:r>
      <w:r>
        <w:rPr>
          <w:rStyle w:val="VerbatimChar"/>
        </w:rPr>
        <w:t xml:space="preserve">config/schema.yaml</w:t>
      </w:r>
      <w:r>
        <w:t xml:space="preserve">) in both packages. To add a</w:t>
      </w:r>
      <w:r>
        <w:t xml:space="preserve"> </w:t>
      </w:r>
      <w:r>
        <w:rPr>
          <w:b/>
          <w:bCs/>
        </w:rPr>
        <w:t xml:space="preserve">presentation target</w:t>
      </w:r>
      <w:r>
        <w:t xml:space="preserve">,</w:t>
      </w:r>
      <w:r>
        <w:t xml:space="preserve"> </w:t>
      </w:r>
      <w:r>
        <w:t xml:space="preserve">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 walks the same rendered</w:t>
      </w:r>
      <w:r>
        <w:t xml:space="preserve"> </w:t>
      </w:r>
      <w:r>
        <w:t xml:space="preserve">event list. To add a</w:t>
      </w:r>
      <w:r>
        <w:t xml:space="preserve"> </w:t>
      </w:r>
      <w:r>
        <w:rPr>
          <w:b/>
          <w:bCs/>
        </w:rPr>
        <w:t xml:space="preserve">corpus or language</w:t>
      </w:r>
      <w:r>
        <w:t xml:space="preserve">, add an entry to</w:t>
      </w:r>
      <w:r>
        <w:t xml:space="preserve"> </w:t>
      </w:r>
      <w:r>
        <w:rPr>
          <w:rStyle w:val="VerbatimChar"/>
        </w:rPr>
        <w:t xml:space="preserve">corpora/registry.yaml</w:t>
      </w:r>
      <w:r>
        <w:t xml:space="preserve">; no code change is required for SUBTLEX-family or</w:t>
      </w:r>
      <w:r>
        <w:t xml:space="preserve"> </w:t>
      </w:r>
      <w:r>
        <w:t xml:space="preserve">‘wordfreq’</w:t>
      </w:r>
      <w:r>
        <w:t xml:space="preserve"> </w:t>
      </w:r>
      <w:r>
        <w:t xml:space="preserve">sources.</w:t>
      </w:r>
    </w:p>
    <w:p>
      <w:r>
        <w:br w:type="page"/>
      </w:r>
    </w:p>
    <w:bookmarkEnd w:id="34"/>
    <w:bookmarkEnd w:id="35"/>
    <w:bookmarkStart w:id="87" w:name="references"/>
    <w:p>
      <w:pPr>
        <w:pStyle w:val="Heading1"/>
      </w:pPr>
      <w:r>
        <w:t xml:space="preserve">References</w:t>
      </w:r>
    </w:p>
    <w:bookmarkStart w:id="86" w:name="refs"/>
    <w:bookmarkStart w:id="37" w:name="ref-andrews1989frequency"/>
    <w:p>
      <w:pPr>
        <w:pStyle w:val="Bibliography"/>
      </w:pPr>
      <w:r>
        <w:t xml:space="preserve">Andrews, S. (1989). Frequency and neighborhood effects on lexical access: Activation or search?</w:t>
      </w:r>
      <w:r>
        <w:t xml:space="preserve"> </w:t>
      </w:r>
      <w:r>
        <w:rPr>
          <w:i/>
          <w:iCs/>
        </w:rPr>
        <w:t xml:space="preserve">Journal of Experimental Psychology: Learning, Memory, and Cognition</w:t>
      </w:r>
      <w:r>
        <w:t xml:space="preserve">,</w:t>
      </w:r>
      <w:r>
        <w:t xml:space="preserve"> </w:t>
      </w:r>
      <w:r>
        <w:rPr>
          <w:i/>
          <w:iCs/>
        </w:rPr>
        <w:t xml:space="preserve">15</w:t>
      </w:r>
      <w:r>
        <w:t xml:space="preserve">(5), 802–814.</w:t>
      </w:r>
      <w:r>
        <w:t xml:space="preserve"> </w:t>
      </w:r>
      <w:hyperlink r:id="rId36">
        <w:r>
          <w:rPr>
            <w:rStyle w:val="Hyperlink"/>
          </w:rPr>
          <w:t xml:space="preserve">https://doi.org/10.1037/0278-7393.15.5.802</w:t>
        </w:r>
      </w:hyperlink>
    </w:p>
    <w:bookmarkEnd w:id="37"/>
    <w:bookmarkStart w:id="39"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8">
        <w:r>
          <w:rPr>
            <w:rStyle w:val="Hyperlink"/>
          </w:rPr>
          <w:t xml:space="preserve">https://doi.org/10.5070/G6011239</w:t>
        </w:r>
      </w:hyperlink>
    </w:p>
    <w:bookmarkEnd w:id="39"/>
    <w:bookmarkStart w:id="41"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40">
        <w:r>
          <w:rPr>
            <w:rStyle w:val="Hyperlink"/>
          </w:rPr>
          <w:t xml:space="preserve">https://doi.org/10.3758/BRM.41.4.977</w:t>
        </w:r>
      </w:hyperlink>
    </w:p>
    <w:bookmarkEnd w:id="41"/>
    <w:bookmarkStart w:id="43"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42">
        <w:r>
          <w:rPr>
            <w:rStyle w:val="Hyperlink"/>
          </w:rPr>
          <w:t xml:space="preserve">https://doi.org/10.1371/journal.pone.0010729</w:t>
        </w:r>
      </w:hyperlink>
    </w:p>
    <w:bookmarkEnd w:id="43"/>
    <w:bookmarkStart w:id="45"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4">
        <w:r>
          <w:rPr>
            <w:rStyle w:val="Hyperlink"/>
          </w:rPr>
          <w:t xml:space="preserve">https://doi.org/10.1016/S0022-5371(73)80014-3</w:t>
        </w:r>
      </w:hyperlink>
    </w:p>
    <w:bookmarkEnd w:id="45"/>
    <w:bookmarkStart w:id="46"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6"/>
    <w:bookmarkStart w:id="48"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7">
        <w:r>
          <w:rPr>
            <w:rStyle w:val="Hyperlink"/>
          </w:rPr>
          <w:t xml:space="preserve">https://doi.org/10.1177/25152459231162567</w:t>
        </w:r>
      </w:hyperlink>
    </w:p>
    <w:bookmarkEnd w:id="48"/>
    <w:bookmarkStart w:id="49"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9"/>
    <w:bookmarkStart w:id="51" w:name="ref-duchon2013espal"/>
    <w:p>
      <w:pPr>
        <w:pStyle w:val="Bibliography"/>
      </w:pPr>
      <w:r>
        <w:t xml:space="preserve">Duchon, A., Perea, M., Sebastián-Gallés, N., Martí, A., &amp; Carreiras, M. (2013).</w:t>
      </w:r>
      <w:r>
        <w:t xml:space="preserve"> </w:t>
      </w:r>
      <w:r>
        <w:t xml:space="preserve">EsPal</w:t>
      </w:r>
      <w:r>
        <w:t xml:space="preserve">: One-stop shopping for</w:t>
      </w:r>
      <w:r>
        <w:t xml:space="preserve"> </w:t>
      </w:r>
      <w:r>
        <w:t xml:space="preserve">Spanish</w:t>
      </w:r>
      <w:r>
        <w:t xml:space="preserve"> </w:t>
      </w:r>
      <w:r>
        <w:t xml:space="preserve">word properties.</w:t>
      </w:r>
      <w:r>
        <w:t xml:space="preserve"> </w:t>
      </w:r>
      <w:r>
        <w:rPr>
          <w:i/>
          <w:iCs/>
        </w:rPr>
        <w:t xml:space="preserve">Behavior Research Methods</w:t>
      </w:r>
      <w:r>
        <w:t xml:space="preserve">,</w:t>
      </w:r>
      <w:r>
        <w:t xml:space="preserve"> </w:t>
      </w:r>
      <w:r>
        <w:rPr>
          <w:i/>
          <w:iCs/>
        </w:rPr>
        <w:t xml:space="preserve">45</w:t>
      </w:r>
      <w:r>
        <w:t xml:space="preserve">(4), 1246–1258.</w:t>
      </w:r>
      <w:r>
        <w:t xml:space="preserve"> </w:t>
      </w:r>
      <w:hyperlink r:id="rId50">
        <w:r>
          <w:rPr>
            <w:rStyle w:val="Hyperlink"/>
          </w:rPr>
          <w:t xml:space="preserve">https://doi.org/10.3758/s13428-013-0326-1</w:t>
        </w:r>
      </w:hyperlink>
    </w:p>
    <w:bookmarkEnd w:id="51"/>
    <w:bookmarkStart w:id="53"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52">
        <w:r>
          <w:rPr>
            <w:rStyle w:val="Hyperlink"/>
          </w:rPr>
          <w:t xml:space="preserve">https://doi.org/10.1080/14790718.2024.2415993</w:t>
        </w:r>
      </w:hyperlink>
    </w:p>
    <w:bookmarkEnd w:id="53"/>
    <w:bookmarkStart w:id="55"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54">
        <w:r>
          <w:rPr>
            <w:rStyle w:val="Hyperlink"/>
          </w:rPr>
          <w:t xml:space="preserve">https://doi.org/10.1080/17470218.2013.850521</w:t>
        </w:r>
      </w:hyperlink>
    </w:p>
    <w:bookmarkEnd w:id="55"/>
    <w:bookmarkStart w:id="57"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56">
        <w:r>
          <w:rPr>
            <w:rStyle w:val="Hyperlink"/>
          </w:rPr>
          <w:t xml:space="preserve">https://doi.org/10.3758/s13428-024-02347-x</w:t>
        </w:r>
      </w:hyperlink>
    </w:p>
    <w:bookmarkEnd w:id="57"/>
    <w:bookmarkStart w:id="59"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58">
        <w:r>
          <w:rPr>
            <w:rStyle w:val="Hyperlink"/>
          </w:rPr>
          <w:t xml:space="preserve">https://doi.org/10.3758/BRM.42.3.627</w:t>
        </w:r>
      </w:hyperlink>
    </w:p>
    <w:bookmarkEnd w:id="59"/>
    <w:bookmarkStart w:id="61"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60">
        <w:r>
          <w:rPr>
            <w:rStyle w:val="Hyperlink"/>
          </w:rPr>
          <w:t xml:space="preserve">https://doi.org/10.1177/1948550617697177</w:t>
        </w:r>
      </w:hyperlink>
    </w:p>
    <w:bookmarkEnd w:id="61"/>
    <w:bookmarkStart w:id="63"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62">
        <w:r>
          <w:rPr>
            <w:rStyle w:val="Hyperlink"/>
          </w:rPr>
          <w:t xml:space="preserve">https://doi.org/10.1016/j.mex.2021.101545</w:t>
        </w:r>
      </w:hyperlink>
    </w:p>
    <w:bookmarkEnd w:id="63"/>
    <w:bookmarkStart w:id="65"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64">
        <w:r>
          <w:rPr>
            <w:rStyle w:val="Hyperlink"/>
          </w:rPr>
          <w:t xml:space="preserve">https://doi.org/10.3758/s13428-011-0168-7</w:t>
        </w:r>
      </w:hyperlink>
    </w:p>
    <w:bookmarkEnd w:id="65"/>
    <w:bookmarkStart w:id="67"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66">
        <w:r>
          <w:rPr>
            <w:rStyle w:val="Hyperlink"/>
          </w:rPr>
          <w:t xml:space="preserve">https://doi.org/10.3758/s13428-018-01193-y</w:t>
        </w:r>
      </w:hyperlink>
    </w:p>
    <w:bookmarkEnd w:id="67"/>
    <w:bookmarkStart w:id="69" w:name="ref-rastle2004broth"/>
    <w:p>
      <w:pPr>
        <w:pStyle w:val="Bibliography"/>
      </w:pPr>
      <w:r>
        <w:t xml:space="preserve">Rastle, K., Davis, M. H., &amp; New, B. (2004). The broth in my brother’s brothel: Morpho-orthographic segmentation in visual word recognition.</w:t>
      </w:r>
      <w:r>
        <w:t xml:space="preserve"> </w:t>
      </w:r>
      <w:r>
        <w:rPr>
          <w:i/>
          <w:iCs/>
        </w:rPr>
        <w:t xml:space="preserve">Psychonomic Bulletin &amp; Review</w:t>
      </w:r>
      <w:r>
        <w:t xml:space="preserve">,</w:t>
      </w:r>
      <w:r>
        <w:t xml:space="preserve"> </w:t>
      </w:r>
      <w:r>
        <w:rPr>
          <w:i/>
          <w:iCs/>
        </w:rPr>
        <w:t xml:space="preserve">11</w:t>
      </w:r>
      <w:r>
        <w:t xml:space="preserve">(6), 1090–1098.</w:t>
      </w:r>
      <w:r>
        <w:t xml:space="preserve"> </w:t>
      </w:r>
      <w:hyperlink r:id="rId68">
        <w:r>
          <w:rPr>
            <w:rStyle w:val="Hyperlink"/>
          </w:rPr>
          <w:t xml:space="preserve">https://doi.org/10.3758/BF03196742</w:t>
        </w:r>
      </w:hyperlink>
    </w:p>
    <w:bookmarkEnd w:id="69"/>
    <w:bookmarkStart w:id="71"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70">
        <w:r>
          <w:rPr>
            <w:rStyle w:val="Hyperlink"/>
          </w:rPr>
          <w:t xml:space="preserve">https://doi.org/10.5334/labphon.147</w:t>
        </w:r>
      </w:hyperlink>
    </w:p>
    <w:bookmarkEnd w:id="71"/>
    <w:bookmarkStart w:id="73"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72">
        <w:r>
          <w:rPr>
            <w:rStyle w:val="Hyperlink"/>
          </w:rPr>
          <w:t xml:space="preserve">https://doi.org/10.1016/j.wocn.2018.12.001</w:t>
        </w:r>
      </w:hyperlink>
    </w:p>
    <w:bookmarkEnd w:id="73"/>
    <w:bookmarkStart w:id="75"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74">
        <w:r>
          <w:rPr>
            <w:rStyle w:val="Hyperlink"/>
          </w:rPr>
          <w:t xml:space="preserve">https://doi.org/10.1016/j.bandl.2016.08.001</w:t>
        </w:r>
      </w:hyperlink>
    </w:p>
    <w:bookmarkEnd w:id="75"/>
    <w:bookmarkStart w:id="77"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76">
        <w:r>
          <w:rPr>
            <w:rStyle w:val="Hyperlink"/>
          </w:rPr>
          <w:t xml:space="preserve">https://doi.org/10.5281/zenodo.7199437</w:t>
        </w:r>
      </w:hyperlink>
    </w:p>
    <w:bookmarkEnd w:id="77"/>
    <w:bookmarkStart w:id="79"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78">
        <w:r>
          <w:rPr>
            <w:rStyle w:val="Hyperlink"/>
          </w:rPr>
          <w:t xml:space="preserve">https://doi.org/10.3758/s13428-020-01389-1</w:t>
        </w:r>
      </w:hyperlink>
    </w:p>
    <w:bookmarkEnd w:id="79"/>
    <w:bookmarkStart w:id="81"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80">
        <w:r>
          <w:rPr>
            <w:rStyle w:val="Hyperlink"/>
          </w:rPr>
          <w:t xml:space="preserve">https://doi.org/10.1038/sdata.2016.18</w:t>
        </w:r>
      </w:hyperlink>
    </w:p>
    <w:bookmarkEnd w:id="81"/>
    <w:bookmarkStart w:id="83" w:name="ref-yarkoni2020generalizability"/>
    <w:p>
      <w:pPr>
        <w:pStyle w:val="Bibliography"/>
      </w:pPr>
      <w:r>
        <w:t xml:space="preserve">Yarkoni, T. (2020).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82">
        <w:r>
          <w:rPr>
            <w:rStyle w:val="Hyperlink"/>
          </w:rPr>
          <w:t xml:space="preserve">https://doi.org/10.1017/S0140525X20001685</w:t>
        </w:r>
      </w:hyperlink>
    </w:p>
    <w:bookmarkEnd w:id="83"/>
    <w:bookmarkStart w:id="85"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84">
        <w:r>
          <w:rPr>
            <w:rStyle w:val="Hyperlink"/>
          </w:rPr>
          <w:t xml:space="preserve">https://doi.org/10.3758/pbr.15.5.971</w:t>
        </w:r>
      </w:hyperlink>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2026-06-13T23:02:19Z</dcterms:created>
  <dcterms:modified xsi:type="dcterms:W3CDTF">2026-06-13T23:02:19Z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time-locking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matching and generation are deterministic, so the two engines select identical materials; we demonstrate this on nine worked examples in English, Spanish and Mandarin Chinese — across word, pseudoword, paired and sentence stimuli — one of which shows that the workflow extends to a logographic writing system.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2026-06-14</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