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eight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w:t>
      </w:r>
      <w:r>
        <w:t xml:space="preserve"> </w:t>
      </w:r>
      <w:r>
        <w:t xml:space="preserve">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0"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eight demonstrations. The first five are</w:t>
      </w:r>
      <w:r>
        <w:t xml:space="preserve"> </w:t>
      </w:r>
      <w:r>
        <w:t xml:space="preserve">corpus-matched word contrasts; the last three exercise other paradigms.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w:t>
      </w:r>
      <w:r>
        <w:t xml:space="preserve"> </w:t>
      </w:r>
      <w:r>
        <w:t xml:space="preserve">remaining three — lexical decision, priming and self-paced reading — show the</w:t>
      </w:r>
      <w:r>
        <w:t xml:space="preserve"> </w:t>
      </w:r>
      <w:r>
        <w:t xml:space="preserve">trial-event model carrying word, pseudoword, paired and sentence stimuli (see</w:t>
      </w:r>
      <w:r>
        <w:t xml:space="preserve"> </w:t>
      </w:r>
      <w:r>
        <w:rPr>
          <w:i/>
          <w:iCs/>
        </w:rPr>
        <w:t xml:space="preserve">Beyond word lists</w:t>
      </w:r>
      <w:r>
        <w:t xml:space="preserve">, below). Each demonstration was produced by both the R and the</w:t>
      </w:r>
      <w:r>
        <w:t xml:space="preserve"> </w:t>
      </w:r>
      <w:r>
        <w:t xml:space="preserve">Python engine. All tables and figures in this section are computed at render time</w:t>
      </w:r>
      <w:r>
        <w:t xml:space="preserve"> </w:t>
      </w:r>
      <w:r>
        <w:t xml:space="preserve">from the generated output. The tables that follow summarise the five matched word</w:t>
      </w:r>
      <w:r>
        <w:t xml:space="preserve"> </w:t>
      </w:r>
      <w:r>
        <w:t xml:space="preserve">contrasts, for which a controlled-versus-manipulated report is defined.</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End w:id="30"/>
    <w:bookmarkStart w:id="31"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A machine- and human-readable</w:t>
      </w:r>
      <w:r>
        <w:t xml:space="preserve"> </w:t>
      </w:r>
      <w:r>
        <w:rPr>
          <w:i/>
          <w:iCs/>
        </w:rPr>
        <w:t xml:space="preserve">materials datasheet</w:t>
      </w:r>
      <w:r>
        <w:t xml:space="preserve"> </w:t>
      </w:r>
      <w:r>
        <w:t xml:space="preserve">per</w:t>
      </w:r>
      <w:r>
        <w:t xml:space="preserve"> </w:t>
      </w:r>
      <w:r>
        <w:t xml:space="preserve">design (corpus and version, dimensions and how they were computed, the matching</w:t>
      </w:r>
      <w:r>
        <w:t xml:space="preserve"> </w:t>
      </w:r>
      <w:r>
        <w:t xml:space="preserve">method and its realised control, item checksums, the seed and software versions),</w:t>
      </w:r>
      <w:r>
        <w:t xml:space="preserve"> </w:t>
      </w:r>
      <w:r>
        <w:t xml:space="preserve">together with an auto-generated Methods paragraph and pre-registration template,</w:t>
      </w:r>
      <w:r>
        <w:t xml:space="preserve"> </w:t>
      </w:r>
      <w:r>
        <w:t xml:space="preserve">would turn the run log into the kind of shareable materials record whose scarcity</w:t>
      </w:r>
      <w:r>
        <w:t xml:space="preserve"> </w:t>
      </w:r>
      <w:r>
        <w:t xml:space="preserve">motivated this work</w:t>
      </w:r>
      <w:r>
        <w:t xml:space="preserve"> </w:t>
      </w:r>
      <w:r>
        <w:t xml:space="preserve">(Bochynska et al., 2023; Roettger, 2019)</w:t>
      </w:r>
      <w:r>
        <w:t xml:space="preserve">. Richer</w:t>
      </w:r>
      <w:r>
        <w:t xml:space="preserve"> </w:t>
      </w:r>
      <w:r>
        <w:t xml:space="preserve">dimensions — phonological (syllable count, phonotactic probability), semantic</w:t>
      </w:r>
      <w:r>
        <w:t xml:space="preserve"> </w:t>
      </w:r>
      <w:r>
        <w:t xml:space="preserve">(concreteness, age of acquisition, valence) and predictability (n-gram or</w:t>
      </w:r>
      <w:r>
        <w:t xml:space="preserve"> </w:t>
      </w:r>
      <w:r>
        <w:t xml:space="preserve">language-model surprisal) — would broaden the designs the matcher supports.</w:t>
      </w:r>
      <w:r>
        <w:t xml:space="preserve"> </w:t>
      </w:r>
      <w:r>
        <w:t xml:space="preserve">Finally, resampling multiple matched item sets, or sampling items per participant,</w:t>
      </w:r>
      <w:r>
        <w:t xml:space="preserve"> </w:t>
      </w:r>
      <w:r>
        <w:t xml:space="preserve">would let a study treat its items as the random factor they are</w:t>
      </w:r>
      <w:r>
        <w:t xml:space="preserve"> </w:t>
      </w:r>
      <w:r>
        <w:t xml:space="preserve">(Clark, 1973; Yarkoni, 2020)</w:t>
      </w:r>
      <w:r>
        <w:t xml:space="preserve">. A graphical interface is a</w:t>
      </w:r>
      <w:r>
        <w:t xml:space="preserve"> </w:t>
      </w:r>
      <w:r>
        <w:t xml:space="preserve">further possibility.</w:t>
      </w:r>
    </w:p>
    <w:bookmarkEnd w:id="31"/>
    <w:bookmarkStart w:id="33"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2"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2"/>
    <w:bookmarkEnd w:id="33"/>
    <w:bookmarkStart w:id="79" w:name="references"/>
    <w:p>
      <w:pPr>
        <w:pStyle w:val="Heading1"/>
      </w:pPr>
      <w:r>
        <w:t xml:space="preserve">References</w:t>
      </w:r>
    </w:p>
    <w:bookmarkStart w:id="78" w:name="refs"/>
    <w:bookmarkStart w:id="35"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4">
        <w:r>
          <w:rPr>
            <w:rStyle w:val="Hyperlink"/>
          </w:rPr>
          <w:t xml:space="preserve">https://doi.org/10.5070/G6011239</w:t>
        </w:r>
      </w:hyperlink>
    </w:p>
    <w:bookmarkEnd w:id="35"/>
    <w:bookmarkStart w:id="37"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6">
        <w:r>
          <w:rPr>
            <w:rStyle w:val="Hyperlink"/>
          </w:rPr>
          <w:t xml:space="preserve">https://doi.org/10.3758/BRM.41.4.977</w:t>
        </w:r>
      </w:hyperlink>
    </w:p>
    <w:bookmarkEnd w:id="37"/>
    <w:bookmarkStart w:id="39"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8">
        <w:r>
          <w:rPr>
            <w:rStyle w:val="Hyperlink"/>
          </w:rPr>
          <w:t xml:space="preserve">https://doi.org/10.1371/journal.pone.0010729</w:t>
        </w:r>
      </w:hyperlink>
    </w:p>
    <w:bookmarkEnd w:id="39"/>
    <w:bookmarkStart w:id="41"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0">
        <w:r>
          <w:rPr>
            <w:rStyle w:val="Hyperlink"/>
          </w:rPr>
          <w:t xml:space="preserve">https://doi.org/10.1016/S0022-5371(73)80014-3</w:t>
        </w:r>
      </w:hyperlink>
    </w:p>
    <w:bookmarkEnd w:id="41"/>
    <w:bookmarkStart w:id="4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2"/>
    <w:bookmarkStart w:id="44"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3">
        <w:r>
          <w:rPr>
            <w:rStyle w:val="Hyperlink"/>
          </w:rPr>
          <w:t xml:space="preserve">https://doi.org/10.1177/25152459231162567</w:t>
        </w:r>
      </w:hyperlink>
    </w:p>
    <w:bookmarkEnd w:id="44"/>
    <w:bookmarkStart w:id="45"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5"/>
    <w:bookmarkStart w:id="47"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46">
        <w:r>
          <w:rPr>
            <w:rStyle w:val="Hyperlink"/>
          </w:rPr>
          <w:t xml:space="preserve">https://doi.org/10.1080/14790718.2024.2415993</w:t>
        </w:r>
      </w:hyperlink>
    </w:p>
    <w:bookmarkEnd w:id="47"/>
    <w:bookmarkStart w:id="4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8">
        <w:r>
          <w:rPr>
            <w:rStyle w:val="Hyperlink"/>
          </w:rPr>
          <w:t xml:space="preserve">https://doi.org/10.1080/17470218.2013.850521</w:t>
        </w:r>
      </w:hyperlink>
    </w:p>
    <w:bookmarkEnd w:id="49"/>
    <w:bookmarkStart w:id="5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0">
        <w:r>
          <w:rPr>
            <w:rStyle w:val="Hyperlink"/>
          </w:rPr>
          <w:t xml:space="preserve">https://doi.org/10.3758/s13428-024-02347-x</w:t>
        </w:r>
      </w:hyperlink>
    </w:p>
    <w:bookmarkEnd w:id="51"/>
    <w:bookmarkStart w:id="5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2">
        <w:r>
          <w:rPr>
            <w:rStyle w:val="Hyperlink"/>
          </w:rPr>
          <w:t xml:space="preserve">https://doi.org/10.3758/BRM.42.3.627</w:t>
        </w:r>
      </w:hyperlink>
    </w:p>
    <w:bookmarkEnd w:id="53"/>
    <w:bookmarkStart w:id="5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54">
        <w:r>
          <w:rPr>
            <w:rStyle w:val="Hyperlink"/>
          </w:rPr>
          <w:t xml:space="preserve">https://doi.org/10.1177/1948550617697177</w:t>
        </w:r>
      </w:hyperlink>
    </w:p>
    <w:bookmarkEnd w:id="55"/>
    <w:bookmarkStart w:id="5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56">
        <w:r>
          <w:rPr>
            <w:rStyle w:val="Hyperlink"/>
          </w:rPr>
          <w:t xml:space="preserve">https://doi.org/10.1016/j.mex.2021.101545</w:t>
        </w:r>
      </w:hyperlink>
    </w:p>
    <w:bookmarkEnd w:id="57"/>
    <w:bookmarkStart w:id="5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58">
        <w:r>
          <w:rPr>
            <w:rStyle w:val="Hyperlink"/>
          </w:rPr>
          <w:t xml:space="preserve">https://doi.org/10.3758/s13428-011-0168-7</w:t>
        </w:r>
      </w:hyperlink>
    </w:p>
    <w:bookmarkEnd w:id="59"/>
    <w:bookmarkStart w:id="6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0">
        <w:r>
          <w:rPr>
            <w:rStyle w:val="Hyperlink"/>
          </w:rPr>
          <w:t xml:space="preserve">https://doi.org/10.3758/s13428-018-01193-y</w:t>
        </w:r>
      </w:hyperlink>
    </w:p>
    <w:bookmarkEnd w:id="61"/>
    <w:bookmarkStart w:id="63"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62">
        <w:r>
          <w:rPr>
            <w:rStyle w:val="Hyperlink"/>
          </w:rPr>
          <w:t xml:space="preserve">https://doi.org/10.5334/labphon.147</w:t>
        </w:r>
      </w:hyperlink>
    </w:p>
    <w:bookmarkEnd w:id="63"/>
    <w:bookmarkStart w:id="65"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64">
        <w:r>
          <w:rPr>
            <w:rStyle w:val="Hyperlink"/>
          </w:rPr>
          <w:t xml:space="preserve">https://doi.org/10.1016/j.wocn.2018.12.001</w:t>
        </w:r>
      </w:hyperlink>
    </w:p>
    <w:bookmarkEnd w:id="65"/>
    <w:bookmarkStart w:id="6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66">
        <w:r>
          <w:rPr>
            <w:rStyle w:val="Hyperlink"/>
          </w:rPr>
          <w:t xml:space="preserve">https://doi.org/10.1016/j.bandl.2016.08.001</w:t>
        </w:r>
      </w:hyperlink>
    </w:p>
    <w:bookmarkEnd w:id="67"/>
    <w:bookmarkStart w:id="6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68">
        <w:r>
          <w:rPr>
            <w:rStyle w:val="Hyperlink"/>
          </w:rPr>
          <w:t xml:space="preserve">https://doi.org/10.5281/zenodo.7199437</w:t>
        </w:r>
      </w:hyperlink>
    </w:p>
    <w:bookmarkEnd w:id="69"/>
    <w:bookmarkStart w:id="7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0">
        <w:r>
          <w:rPr>
            <w:rStyle w:val="Hyperlink"/>
          </w:rPr>
          <w:t xml:space="preserve">https://doi.org/10.3758/s13428-020-01389-1</w:t>
        </w:r>
      </w:hyperlink>
    </w:p>
    <w:bookmarkEnd w:id="71"/>
    <w:bookmarkStart w:id="7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72">
        <w:r>
          <w:rPr>
            <w:rStyle w:val="Hyperlink"/>
          </w:rPr>
          <w:t xml:space="preserve">https://doi.org/10.1038/sdata.2016.18</w:t>
        </w:r>
      </w:hyperlink>
    </w:p>
    <w:bookmarkEnd w:id="73"/>
    <w:bookmarkStart w:id="75"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74">
        <w:r>
          <w:rPr>
            <w:rStyle w:val="Hyperlink"/>
          </w:rPr>
          <w:t xml:space="preserve">https://doi.org/10.1017/S0140525X20001685</w:t>
        </w:r>
      </w:hyperlink>
    </w:p>
    <w:bookmarkEnd w:id="75"/>
    <w:bookmarkStart w:id="7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76">
        <w:r>
          <w:rPr>
            <w:rStyle w:val="Hyperlink"/>
          </w:rPr>
          <w:t xml:space="preserve">https://doi.org/10.3758/pbr.15.5.971</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2026-06-13T20:46:24Z</dcterms:created>
  <dcterms:modified xsi:type="dcterms:W3CDTF">2026-06-13T20:46:24Z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eight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