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lexsync: A cross-platform pipeline for multidimensional lexical optimisation and hardware-timed experiment generation</w:t>
      </w:r>
    </w:p>
    <w:p>
      <w:pPr>
        <w:pStyle w:val="Author"/>
      </w:pPr>
      <w:r>
        <w:t xml:space="preserve">Pablo Bernabeu</w:t>
      </w:r>
    </w:p>
    <w:p>
      <w:pPr>
        <w:pStyle w:val="Date"/>
      </w:pPr>
      <w:r>
        <w:t xml:space="preserve">2026-07-15</w:t>
      </w:r>
    </w:p>
    <w:p>
      <w:pPr>
        <w:pStyle w:val="AbstractTitle"/>
      </w:pPr>
      <w:r>
        <w:t xml:space="preserve">Abstract</w:t>
      </w:r>
    </w:p>
    <w:p>
      <w:pPr>
        <w:pStyle w:val="Abstract"/>
      </w:pPr>
      <w:r>
        <w:t xml:space="preserve">Psycholinguistic stimulus preparation is fragmented across tools that match</w:t>
      </w:r>
      <w:r>
        <w:t xml:space="preserve"> </w:t>
      </w:r>
      <w:r>
        <w:t xml:space="preserve">words, tools that present them and the separate R and Python ecosystems in</w:t>
      </w:r>
      <w:r>
        <w:t xml:space="preserve"> </w:t>
      </w:r>
      <w:r>
        <w:t xml:space="preserve">which those tools live. We present</w:t>
      </w:r>
      <w:r>
        <w:t xml:space="preserve"> </w:t>
      </w:r>
      <w:r>
        <w:t xml:space="preserve">‘lexsync’</w:t>
      </w:r>
      <w:r>
        <w:t xml:space="preserve">, a research-grade toolkit,</w:t>
      </w:r>
      <w:r>
        <w:t xml:space="preserve"> </w:t>
      </w:r>
      <w:r>
        <w:t xml:space="preserve">released as a</w:t>
      </w:r>
      <w:r>
        <w:t xml:space="preserve"> </w:t>
      </w:r>
      <w:r>
        <w:t xml:space="preserve">‘CRAN’</w:t>
      </w:r>
      <w:r>
        <w:t xml:space="preserve">-ready R package and a structurally identical</w:t>
      </w:r>
      <w:r>
        <w:t xml:space="preserve"> </w:t>
      </w:r>
      <w:r>
        <w:t xml:space="preserve">‘PyPI’</w:t>
      </w:r>
      <w:r>
        <w:t xml:space="preserve">-ready Python package, that unifies the whole path from corpus to</w:t>
      </w:r>
      <w:r>
        <w:t xml:space="preserve"> </w:t>
      </w:r>
      <w:r>
        <w:t xml:space="preserve">laboratory. From a word-frequency corpus in any of dozens of languages</w:t>
      </w:r>
      <w:r>
        <w:t xml:space="preserve"> </w:t>
      </w:r>
      <w:r>
        <w:t xml:space="preserve">‘lexsync’</w:t>
      </w:r>
      <w:r>
        <w:t xml:space="preserve"> </w:t>
      </w:r>
      <w:r>
        <w:t xml:space="preserve">selects stimuli that are matched in parallel across several lexical</w:t>
      </w:r>
      <w:r>
        <w:t xml:space="preserve"> </w:t>
      </w:r>
      <w:r>
        <w:t xml:space="preserve">dimensions (length, frequency, orthographic neighbourhood density and OLD20),</w:t>
      </w:r>
      <w:r>
        <w:t xml:space="preserve"> </w:t>
      </w:r>
      <w:r>
        <w:t xml:space="preserve">counterbalances them, reports the realised match quality and then generates</w:t>
      </w:r>
      <w:r>
        <w:t xml:space="preserve"> </w:t>
      </w:r>
      <w:r>
        <w:t xml:space="preserve">ready-to-run</w:t>
      </w:r>
      <w:r>
        <w:t xml:space="preserve"> </w:t>
      </w:r>
      <w:r>
        <w:t xml:space="preserve">‘PsychoPy’</w:t>
      </w:r>
      <w:r>
        <w:t xml:space="preserve">,</w:t>
      </w:r>
      <w:r>
        <w:t xml:space="preserve"> </w:t>
      </w:r>
      <w:r>
        <w:t xml:space="preserve">‘OpenSesame’</w:t>
      </w:r>
      <w:r>
        <w:t xml:space="preserve"> </w:t>
      </w:r>
      <w:r>
        <w:t xml:space="preserve">and browser-based</w:t>
      </w:r>
      <w:r>
        <w:t xml:space="preserve"> </w:t>
      </w:r>
      <w:r>
        <w:t xml:space="preserve">‘jsPsych’</w:t>
      </w:r>
      <w:r>
        <w:t xml:space="preserve"> </w:t>
      </w:r>
      <w:r>
        <w:t xml:space="preserve">experiments.</w:t>
      </w:r>
      <w:r>
        <w:t xml:space="preserve"> </w:t>
      </w:r>
      <w:r>
        <w:t xml:space="preserve">The two laboratory targets time-lock their electroencephalography triggers to</w:t>
      </w:r>
      <w:r>
        <w:t xml:space="preserve"> </w:t>
      </w:r>
      <w:r>
        <w:t xml:space="preserve">stimulus onset. The trial is described declaratively as a sequence of events, so the</w:t>
      </w:r>
      <w:r>
        <w:t xml:space="preserve"> </w:t>
      </w:r>
      <w:r>
        <w:t xml:space="preserve">same engine builds factorial word studies, lexical decision with generated</w:t>
      </w:r>
      <w:r>
        <w:t xml:space="preserve"> </w:t>
      </w:r>
      <w:r>
        <w:t xml:space="preserve">pseudowords, priming and self-paced reading from configuration rather than code.</w:t>
      </w:r>
      <w:r>
        <w:t xml:space="preserve"> </w:t>
      </w:r>
      <w:r>
        <w:t xml:space="preserve">The default matching methods and the pseudoword generation are deterministic,</w:t>
      </w:r>
      <w:r>
        <w:t xml:space="preserve"> </w:t>
      </w:r>
      <w:r>
        <w:t xml:space="preserve">so the two engines select the same stimuli. We demonstrate this on twelve</w:t>
      </w:r>
      <w:r>
        <w:t xml:space="preserve"> </w:t>
      </w:r>
      <w:r>
        <w:t xml:space="preserve">worked examples in English, Spanish and Mandarin Chinese (across word,</w:t>
      </w:r>
      <w:r>
        <w:t xml:space="preserve"> </w:t>
      </w:r>
      <w:r>
        <w:t xml:space="preserve">pseudoword, paired and sentence stimuli), one of which shows that the workflow</w:t>
      </w:r>
      <w:r>
        <w:t xml:space="preserve"> </w:t>
      </w:r>
      <w:r>
        <w:t xml:space="preserve">extends to a logographic writing system, while three reproduce published</w:t>
      </w:r>
      <w:r>
        <w:t xml:space="preserve"> </w:t>
      </w:r>
      <w:r>
        <w:t xml:space="preserve">designs from the literature. The generation step</w:t>
      </w:r>
      <w:r>
        <w:t xml:space="preserve"> </w:t>
      </w:r>
      <w:r>
        <w:t xml:space="preserve">requires no presentation software and no hardware, which keeps the whole</w:t>
      </w:r>
      <w:r>
        <w:t xml:space="preserve"> </w:t>
      </w:r>
      <w:r>
        <w:t xml:space="preserve">workflow reproducible.</w:t>
      </w:r>
      <w:r>
        <w:t xml:space="preserve"> </w:t>
      </w:r>
      <w:r>
        <w:t xml:space="preserve">‘lexsync’</w:t>
      </w:r>
      <w:r>
        <w:t xml:space="preserve"> </w:t>
      </w:r>
      <w:r>
        <w:t xml:space="preserve">is general-purpose and treats the stimulus set</w:t>
      </w:r>
      <w:r>
        <w:t xml:space="preserve"> </w:t>
      </w:r>
      <w:r>
        <w:t xml:space="preserve">as a reproducible artefact, distributed under open licences with a</w:t>
      </w:r>
      <w:r>
        <w:t xml:space="preserve"> </w:t>
      </w:r>
      <w:r>
        <w:t xml:space="preserve">machine-readable corpus registry.</w:t>
      </w:r>
    </w:p>
    <w:bookmarkStart w:id="9" w:name="introduction"/>
    <w:p>
      <w:pPr>
        <w:pStyle w:val="Heading1"/>
      </w:pPr>
      <w:r>
        <w:t xml:space="preserve">Introduction</w:t>
      </w:r>
    </w:p>
    <w:p>
      <w:pPr>
        <w:pStyle w:val="FirstParagraph"/>
      </w:pPr>
      <w:r>
        <w:t xml:space="preserve">The credibility of psycholinguistic and neurolinguistic research rests on</w:t>
      </w:r>
      <w:r>
        <w:t xml:space="preserve"> </w:t>
      </w:r>
      <w:r>
        <w:t xml:space="preserve">carefully controlled stimuli and on precise timing. Both are laborious to</w:t>
      </w:r>
      <w:r>
        <w:t xml:space="preserve"> </w:t>
      </w:r>
      <w:r>
        <w:t xml:space="preserve">achieve, and the tools that support them are scattered. A researcher who wishes</w:t>
      </w:r>
      <w:r>
        <w:t xml:space="preserve"> </w:t>
      </w:r>
      <w:r>
        <w:t xml:space="preserve">to contrast, say, high- and low-frequency words while equating length and</w:t>
      </w:r>
      <w:r>
        <w:t xml:space="preserve"> </w:t>
      </w:r>
      <w:r>
        <w:t xml:space="preserve">orthographic neighbourhood typically matches the items in one program, lays out</w:t>
      </w:r>
      <w:r>
        <w:t xml:space="preserve"> </w:t>
      </w:r>
      <w:r>
        <w:t xml:space="preserve">the trial structure in another and writes the trigger code that aligns each word</w:t>
      </w:r>
      <w:r>
        <w:t xml:space="preserve"> </w:t>
      </w:r>
      <w:r>
        <w:t xml:space="preserve">with the electroencephalography (EEG) recording by hand. Each hand-off is an</w:t>
      </w:r>
      <w:r>
        <w:t xml:space="preserve"> </w:t>
      </w:r>
      <w:r>
        <w:t xml:space="preserve">opportunity for error and a barrier to reuse. The</w:t>
      </w:r>
      <w:r>
        <w:t xml:space="preserve"> </w:t>
      </w:r>
      <w:r>
        <w:t xml:space="preserve">‘FAIR’</w:t>
      </w:r>
      <w:r>
        <w:t xml:space="preserve"> </w:t>
      </w:r>
      <w:r>
        <w:t xml:space="preserve">guiding principles</w:t>
      </w:r>
      <w:r>
        <w:t xml:space="preserve"> </w:t>
      </w:r>
      <w:r>
        <w:t xml:space="preserve">(</w:t>
      </w:r>
      <w:r>
        <w:t xml:space="preserve">Wilkinson et al.</w:t>
      </w:r>
      <w:r>
        <w:t xml:space="preserve">, 2016)</w:t>
      </w:r>
      <w:r>
        <w:t xml:space="preserve"> </w:t>
      </w:r>
      <w:r>
        <w:t xml:space="preserve">(that research objects be findable, accessible,</w:t>
      </w:r>
      <w:r>
        <w:t xml:space="preserve"> </w:t>
      </w:r>
      <w:r>
        <w:t xml:space="preserve">interoperable and reusable) apply as much to this preparatory machinery as to</w:t>
      </w:r>
      <w:r>
        <w:t xml:space="preserve"> </w:t>
      </w:r>
      <w:r>
        <w:t xml:space="preserve">the data it ultimately yields, yet stimulus pipelines are seldom shared in a</w:t>
      </w:r>
      <w:r>
        <w:t xml:space="preserve"> </w:t>
      </w:r>
      <w:r>
        <w:t xml:space="preserve">form that others can run end to end.</w:t>
      </w:r>
    </w:p>
    <w:p>
      <w:pPr>
        <w:pStyle w:val="BodyText"/>
      </w:pPr>
      <w:r>
        <w:t xml:space="preserve">This preparatory machinery is where a quiet reproducibility problem lives.</w:t>
      </w:r>
      <w:r>
        <w:t xml:space="preserve"> </w:t>
      </w:r>
      <w:r>
        <w:t xml:space="preserve">Surveys of open-science practice in linguistics find that experimental materials</w:t>
      </w:r>
      <w:r>
        <w:t xml:space="preserve"> </w:t>
      </w:r>
      <w:r>
        <w:t xml:space="preserve">are rarely shared: across a broad sample only about one article in six stated</w:t>
      </w:r>
      <w:r>
        <w:t xml:space="preserve"> </w:t>
      </w:r>
      <w:r>
        <w:t xml:space="preserve">that its materials were available, and the sharing of materials, data and</w:t>
      </w:r>
      <w:r>
        <w:t xml:space="preserve"> </w:t>
      </w:r>
      <w:r>
        <w:t xml:space="preserve">protocols has scarcely improved over a decade</w:t>
      </w:r>
      <w:r>
        <w:t xml:space="preserve"> </w:t>
      </w:r>
      <w:r>
        <w:t xml:space="preserve">(Bochynska et al., 2023)</w:t>
      </w:r>
      <w:r>
        <w:t xml:space="preserve">. Yet</w:t>
      </w:r>
      <w:r>
        <w:t xml:space="preserve"> </w:t>
      </w:r>
      <w:r>
        <w:t xml:space="preserve">materials are a precondition both for replicating a result and for judging how far</w:t>
      </w:r>
      <w:r>
        <w:t xml:space="preserve"> </w:t>
      </w:r>
      <w:r>
        <w:t xml:space="preserve">it generalises. The gap compounds an analytic one. Quantitative phonetic and</w:t>
      </w:r>
      <w:r>
        <w:t xml:space="preserve"> </w:t>
      </w:r>
      <w:r>
        <w:t xml:space="preserve">psycholinguistic work affords many undocumented choices (how a stimulus set is</w:t>
      </w:r>
      <w:r>
        <w:t xml:space="preserve"> </w:t>
      </w:r>
      <w:r>
        <w:t xml:space="preserve">assembled, how a measure is quantified), and exploiting this flexibility inflates</w:t>
      </w:r>
      <w:r>
        <w:t xml:space="preserve"> </w:t>
      </w:r>
      <w:r>
        <w:t xml:space="preserve">false positives</w:t>
      </w:r>
      <w:r>
        <w:t xml:space="preserve"> </w:t>
      </w:r>
      <w:r>
        <w:t xml:space="preserve">(</w:t>
      </w:r>
      <w:r>
        <w:t xml:space="preserve">Coretta et al.</w:t>
      </w:r>
      <w:r>
        <w:t xml:space="preserve">, 2023; Roettger, 2019; Roettger et al., 2019)</w:t>
      </w:r>
      <w:r>
        <w:t xml:space="preserve">. Transparent, runnable, shareable materials are part</w:t>
      </w:r>
      <w:r>
        <w:t xml:space="preserve"> </w:t>
      </w:r>
      <w:r>
        <w:t xml:space="preserve">of the remedy these authors call for.</w:t>
      </w:r>
    </w:p>
    <w:p>
      <w:pPr>
        <w:pStyle w:val="BodyText"/>
      </w:pPr>
      <w:r>
        <w:t xml:space="preserve">There is also a statistical reason to take materials seriously. The items in an</w:t>
      </w:r>
      <w:r>
        <w:t xml:space="preserve"> </w:t>
      </w:r>
      <w:r>
        <w:t xml:space="preserve">experiment are a sample from a larger population of possible items, and a</w:t>
      </w:r>
      <w:r>
        <w:t xml:space="preserve"> </w:t>
      </w:r>
      <w:r>
        <w:t xml:space="preserve">conclusion is meant to hold for that population, not merely for the words actually</w:t>
      </w:r>
      <w:r>
        <w:t xml:space="preserve"> </w:t>
      </w:r>
      <w:r>
        <w:t xml:space="preserve">shown. Treating items as a fixed rather than a random factor inflates Type I error</w:t>
      </w:r>
      <w:r>
        <w:t xml:space="preserve"> </w:t>
      </w:r>
      <w:r>
        <w:t xml:space="preserve">(the language-as-fixed-effect fallacy</w:t>
      </w:r>
      <w:r>
        <w:t xml:space="preserve"> </w:t>
      </w:r>
      <w:r>
        <w:t xml:space="preserve">(Clark, 1973)</w:t>
      </w:r>
      <w:r>
        <w:t xml:space="preserve">), and recent work</w:t>
      </w:r>
      <w:r>
        <w:t xml:space="preserve"> </w:t>
      </w:r>
      <w:r>
        <w:t xml:space="preserve">recasts the same point as a</w:t>
      </w:r>
      <w:r>
        <w:t xml:space="preserve"> </w:t>
      </w:r>
      <w:r>
        <w:rPr>
          <w:i/>
          <w:iCs/>
        </w:rPr>
        <w:t xml:space="preserve">generalizability crisis</w:t>
      </w:r>
      <w:r>
        <w:t xml:space="preserve">: researchers routinely model</w:t>
      </w:r>
      <w:r>
        <w:t xml:space="preserve"> </w:t>
      </w:r>
      <w:r>
        <w:t xml:space="preserve">participants as a random factor but not stimuli, and so claim more than their</w:t>
      </w:r>
      <w:r>
        <w:t xml:space="preserve"> </w:t>
      </w:r>
      <w:r>
        <w:t xml:space="preserve">designs license</w:t>
      </w:r>
      <w:r>
        <w:t xml:space="preserve"> </w:t>
      </w:r>
      <w:r>
        <w:t xml:space="preserve">(Yarkoni, 2022)</w:t>
      </w:r>
      <w:r>
        <w:t xml:space="preserve">. A tool that makes the construction</w:t>
      </w:r>
      <w:r>
        <w:t xml:space="preserve"> </w:t>
      </w:r>
      <w:r>
        <w:t xml:space="preserve">of a matched, balanced item set explicit, reproducible and shareable is therefore</w:t>
      </w:r>
      <w:r>
        <w:t xml:space="preserve"> </w:t>
      </w:r>
      <w:r>
        <w:t xml:space="preserve">part of the methodological infrastructure that careful inference requires.</w:t>
      </w:r>
    </w:p>
    <w:p>
      <w:pPr>
        <w:pStyle w:val="BodyText"/>
      </w:pPr>
      <w:r>
        <w:t xml:space="preserve">Two families of tool address parts of the problem. The first matches or equates</w:t>
      </w:r>
      <w:r>
        <w:t xml:space="preserve"> </w:t>
      </w:r>
      <w:r>
        <w:t xml:space="preserve">word stimuli on lexical properties.</w:t>
      </w:r>
      <w:r>
        <w:t xml:space="preserve"> </w:t>
      </w:r>
      <w:r>
        <w:t xml:space="preserve">‘LexOPS’</w:t>
      </w:r>
      <w:r>
        <w:t xml:space="preserve"> </w:t>
      </w:r>
      <w:r>
        <w:t xml:space="preserve">(Taylor et al., 2020)</w:t>
      </w:r>
      <w:r>
        <w:t xml:space="preserve"> </w:t>
      </w:r>
      <w:r>
        <w:t xml:space="preserve">generates</w:t>
      </w:r>
      <w:r>
        <w:t xml:space="preserve"> </w:t>
      </w:r>
      <w:r>
        <w:t xml:space="preserve">controlled word lists for arbitrary factorial designs, with both per-dimension</w:t>
      </w:r>
      <w:r>
        <w:t xml:space="preserve"> </w:t>
      </w:r>
      <w:r>
        <w:t xml:space="preserve">tolerances and weighted multivariate Euclidean matching;</w:t>
      </w:r>
      <w:r>
        <w:t xml:space="preserve"> </w:t>
      </w:r>
      <w:r>
        <w:t xml:space="preserve">‘LIBRA’</w:t>
      </w:r>
      <w:r>
        <w:t xml:space="preserve"> </w:t>
      </w:r>
      <w:r>
        <w:t xml:space="preserve">(Lintz et al., 2021)</w:t>
      </w:r>
      <w:r>
        <w:t xml:space="preserve"> </w:t>
      </w:r>
      <w:r>
        <w:t xml:space="preserve">equates lists across conditions using a genetic (evolutionary)</w:t>
      </w:r>
      <w:r>
        <w:t xml:space="preserve"> </w:t>
      </w:r>
      <w:r>
        <w:t xml:space="preserve">algorithm;</w:t>
      </w:r>
      <w:r>
        <w:t xml:space="preserve"> </w:t>
      </w:r>
      <w:r>
        <w:t xml:space="preserve">and</w:t>
      </w:r>
      <w:r>
        <w:t xml:space="preserve"> </w:t>
      </w:r>
      <w:r>
        <w:t xml:space="preserve">‘LASTU’</w:t>
      </w:r>
      <w:r>
        <w:t xml:space="preserve"> </w:t>
      </w:r>
      <w:r>
        <w:t xml:space="preserve">(Itkonen et al., 2024)</w:t>
      </w:r>
      <w:r>
        <w:t xml:space="preserve"> </w:t>
      </w:r>
      <w:r>
        <w:t xml:space="preserve">provides searchable access to a language-specific</w:t>
      </w:r>
      <w:r>
        <w:t xml:space="preserve"> </w:t>
      </w:r>
      <w:r>
        <w:t xml:space="preserve">lexicon. These tools are mature and widely used, but they end at the stimulus</w:t>
      </w:r>
      <w:r>
        <w:t xml:space="preserve"> </w:t>
      </w:r>
      <w:r>
        <w:t xml:space="preserve">list: none generates the experiment that presents it, and most are tied to a</w:t>
      </w:r>
      <w:r>
        <w:t xml:space="preserve"> </w:t>
      </w:r>
      <w:r>
        <w:t xml:space="preserve">single language and to one programming ecosystem. The second family builds and</w:t>
      </w:r>
      <w:r>
        <w:t xml:space="preserve"> </w:t>
      </w:r>
      <w:r>
        <w:t xml:space="preserve">runs experiments.</w:t>
      </w:r>
      <w:r>
        <w:t xml:space="preserve"> </w:t>
      </w:r>
      <w:r>
        <w:t xml:space="preserve">‘PsychoPy’</w:t>
      </w:r>
      <w:r>
        <w:t xml:space="preserve"> </w:t>
      </w:r>
      <w:r>
        <w:t xml:space="preserve">(Peirce et al., 2019)</w:t>
      </w:r>
      <w:r>
        <w:t xml:space="preserve"> </w:t>
      </w:r>
      <w:r>
        <w:t xml:space="preserve">and</w:t>
      </w:r>
      <w:r>
        <w:t xml:space="preserve"> </w:t>
      </w:r>
      <w:r>
        <w:t xml:space="preserve">‘OpenSesame’</w:t>
      </w:r>
      <w:r>
        <w:t xml:space="preserve"> </w:t>
      </w:r>
      <w:r>
        <w:t xml:space="preserve">(Mathôt et al., 2012)</w:t>
      </w:r>
      <w:r>
        <w:t xml:space="preserve"> </w:t>
      </w:r>
      <w:r>
        <w:t xml:space="preserve">offer precise spatial and temporal control over stimulus</w:t>
      </w:r>
      <w:r>
        <w:t xml:space="preserve"> </w:t>
      </w:r>
      <w:r>
        <w:t xml:space="preserve">presentation and support the hardware triggers that ERP research requires, but</w:t>
      </w:r>
      <w:r>
        <w:t xml:space="preserve"> </w:t>
      </w:r>
      <w:r>
        <w:t xml:space="preserve">they take the stimulus set as given and do nothing to construct or to balance it.</w:t>
      </w:r>
    </w:p>
    <w:p>
      <w:pPr>
        <w:pStyle w:val="BodyText"/>
      </w:pPr>
      <w:r>
        <w:t xml:space="preserve">The gap, then, is one of integration rather than of capability. No single,</w:t>
      </w:r>
      <w:r>
        <w:t xml:space="preserve"> </w:t>
      </w:r>
      <w:r>
        <w:t xml:space="preserve">installable framework spans many-language corpus access, parallel</w:t>
      </w:r>
      <w:r>
        <w:t xml:space="preserve"> </w:t>
      </w:r>
      <w:r>
        <w:t xml:space="preserve">multidimensional matching, counterbalancing and the automated generation of</w:t>
      </w:r>
      <w:r>
        <w:t xml:space="preserve"> </w:t>
      </w:r>
      <w:r>
        <w:t xml:space="preserve">hardware-timed presentation scripts, and none does so across both the R and the</w:t>
      </w:r>
      <w:r>
        <w:t xml:space="preserve"> </w:t>
      </w:r>
      <w:r>
        <w:t xml:space="preserve">Python ecosystems and both major open presentation platforms. A second, subtler</w:t>
      </w:r>
      <w:r>
        <w:t xml:space="preserve"> </w:t>
      </w:r>
      <w:r>
        <w:t xml:space="preserve">gap concerns timing. In one longitudinal artificial-grammar EEG study, for</w:t>
      </w:r>
      <w:r>
        <w:t xml:space="preserve"> </w:t>
      </w:r>
      <w:r>
        <w:t xml:space="preserve">instance</w:t>
      </w:r>
      <w:r>
        <w:t xml:space="preserve"> </w:t>
      </w:r>
      <w:r>
        <w:t xml:space="preserve">(González Alonso et al., 2025)</w:t>
      </w:r>
      <w:r>
        <w:t xml:space="preserve">, EEG markers were sent from an experiment item</w:t>
      </w:r>
      <w:r>
        <w:t xml:space="preserve"> </w:t>
      </w:r>
      <w:r>
        <w:t xml:space="preserve">that followed the word, so that only the first marker was even approximately</w:t>
      </w:r>
      <w:r>
        <w:t xml:space="preserve"> </w:t>
      </w:r>
      <w:r>
        <w:t xml:space="preserve">aligned with stimulus onset. The others were sequence-ordered. This is a common</w:t>
      </w:r>
      <w:r>
        <w:t xml:space="preserve"> </w:t>
      </w:r>
      <w:r>
        <w:t xml:space="preserve">pattern and an avoidable source of jitter.</w:t>
      </w:r>
    </w:p>
    <w:p>
      <w:pPr>
        <w:pStyle w:val="BodyText"/>
      </w:pPr>
      <w:r>
        <w:t xml:space="preserve">We present</w:t>
      </w:r>
      <w:r>
        <w:t xml:space="preserve"> </w:t>
      </w:r>
      <w:r>
        <w:t xml:space="preserve">‘lexsync’</w:t>
      </w:r>
      <w:r>
        <w:t xml:space="preserve">, a toolkit that fills these gaps. It is released as two</w:t>
      </w:r>
      <w:r>
        <w:t xml:space="preserve"> </w:t>
      </w:r>
      <w:r>
        <w:t xml:space="preserve">independent but structurally identical packages (a</w:t>
      </w:r>
      <w:r>
        <w:t xml:space="preserve"> </w:t>
      </w:r>
      <w:r>
        <w:t xml:space="preserve">‘CRAN’</w:t>
      </w:r>
      <w:r>
        <w:t xml:space="preserve">-ready R package and a</w:t>
      </w:r>
      <w:r>
        <w:t xml:space="preserve"> </w:t>
      </w:r>
      <w:r>
        <w:t xml:space="preserve">‘PyPI’</w:t>
      </w:r>
      <w:r>
        <w:t xml:space="preserve">-ready Python package) that share module names, function names and</w:t>
      </w:r>
      <w:r>
        <w:t xml:space="preserve"> </w:t>
      </w:r>
      <w:r>
        <w:t xml:space="preserve">behaviour. From a corpus</w:t>
      </w:r>
      <w:r>
        <w:t xml:space="preserve"> </w:t>
      </w:r>
      <w:r>
        <w:t xml:space="preserve">‘lexsync’</w:t>
      </w:r>
      <w:r>
        <w:t xml:space="preserve"> </w:t>
      </w:r>
      <w:r>
        <w:t xml:space="preserve">selects matched stimuli, counterbalances and</w:t>
      </w:r>
      <w:r>
        <w:t xml:space="preserve"> </w:t>
      </w:r>
      <w:r>
        <w:t xml:space="preserve">documents them. It then writes a</w:t>
      </w:r>
      <w:r>
        <w:t xml:space="preserve"> </w:t>
      </w:r>
      <w:r>
        <w:t xml:space="preserve">‘PsychoPy’</w:t>
      </w:r>
      <w:r>
        <w:t xml:space="preserve"> </w:t>
      </w:r>
      <w:r>
        <w:t xml:space="preserve">script in which each onset trigger is</w:t>
      </w:r>
      <w:r>
        <w:t xml:space="preserve"> </w:t>
      </w:r>
      <w:r>
        <w:t xml:space="preserve">bound, using</w:t>
      </w:r>
      <w:r>
        <w:t xml:space="preserve"> </w:t>
      </w:r>
      <w:r>
        <w:rPr>
          <w:rStyle w:val="VerbatimChar"/>
        </w:rPr>
        <w:t xml:space="preserve">win.callOnFlip</w:t>
      </w:r>
      <w:r>
        <w:t xml:space="preserve">, to the exact screen flip on which the critical</w:t>
      </w:r>
      <w:r>
        <w:t xml:space="preserve"> </w:t>
      </w:r>
      <w:r>
        <w:t xml:space="preserve">stimulus appears, together with a complete</w:t>
      </w:r>
      <w:r>
        <w:t xml:space="preserve"> </w:t>
      </w:r>
      <w:r>
        <w:t xml:space="preserve">‘OpenSesame’</w:t>
      </w:r>
      <w:r>
        <w:t xml:space="preserve"> </w:t>
      </w:r>
      <w:r>
        <w:t xml:space="preserve">experiment. Crucially</w:t>
      </w:r>
      <w:r>
        <w:t xml:space="preserve"> </w:t>
      </w:r>
      <w:r>
        <w:t xml:space="preserve">the default matching methods are deterministic, so the R and Python engines</w:t>
      </w:r>
      <w:r>
        <w:t xml:space="preserve"> </w:t>
      </w:r>
      <w:r>
        <w:t xml:space="preserve">select identical materials.</w:t>
      </w:r>
      <w:r>
        <w:t xml:space="preserve"> </w:t>
      </w:r>
      <w:r>
        <w:t xml:space="preserve">The trial itself is not hard-wired to a single task: a design declares an ordered</w:t>
      </w:r>
      <w:r>
        <w:t xml:space="preserve"> </w:t>
      </w:r>
      <w:r>
        <w:t xml:space="preserve">sequence of trial</w:t>
      </w:r>
      <w:r>
        <w:t xml:space="preserve"> </w:t>
      </w:r>
      <w:r>
        <w:rPr>
          <w:i/>
          <w:iCs/>
        </w:rPr>
        <w:t xml:space="preserve">events</w:t>
      </w:r>
      <w:r>
        <w:t xml:space="preserve">, and both backends render that sequence, so the same</w:t>
      </w:r>
      <w:r>
        <w:t xml:space="preserve"> </w:t>
      </w:r>
      <w:r>
        <w:t xml:space="preserve">machinery produces a factorial word study, a lexical-decision task with generated</w:t>
      </w:r>
      <w:r>
        <w:t xml:space="preserve"> </w:t>
      </w:r>
      <w:r>
        <w:t xml:space="preserve">pseudowords, a primed design or a self-paced reading study from configuration</w:t>
      </w:r>
      <w:r>
        <w:t xml:space="preserve"> </w:t>
      </w:r>
      <w:r>
        <w:t xml:space="preserve">rather than new code.</w:t>
      </w:r>
      <w:r>
        <w:t xml:space="preserve"> </w:t>
      </w:r>
      <w:r>
        <w:t xml:space="preserve">‘lexsync’</w:t>
      </w:r>
      <w:r>
        <w:t xml:space="preserve"> </w:t>
      </w:r>
      <w:r>
        <w:t xml:space="preserve">is thus a reusable, FAIR-compliant tool for many</w:t>
      </w:r>
      <w:r>
        <w:t xml:space="preserve"> </w:t>
      </w:r>
      <w:r>
        <w:t xml:space="preserve">psycholinguistic paradigms and languages rather than a single study’s script.</w:t>
      </w:r>
      <w:r>
        <w:t xml:space="preserve"> </w:t>
      </w:r>
      <w:r>
        <w:t xml:space="preserve">The longitudinal study above is one of twelve worked examples, and one of the</w:t>
      </w:r>
      <w:r>
        <w:t xml:space="preserve"> </w:t>
      </w:r>
      <w:r>
        <w:t xml:space="preserve">three that rebuild a published design.</w:t>
      </w:r>
    </w:p>
    <w:bookmarkEnd w:id="9"/>
    <w:bookmarkStart w:id="17" w:name="the-lexsync-packages"/>
    <w:p>
      <w:pPr>
        <w:pStyle w:val="Heading1"/>
      </w:pPr>
      <w:r>
        <w:t xml:space="preserve">The lexsync packages</w:t>
      </w:r>
    </w:p>
    <w:bookmarkStart w:id="10" w:name="architecture-and-cross-language-design"/>
    <w:p>
      <w:pPr>
        <w:pStyle w:val="Heading2"/>
      </w:pPr>
      <w:r>
        <w:t xml:space="preserve">Architecture and cross-language design</w:t>
      </w:r>
    </w:p>
    <w:p>
      <w:pPr>
        <w:pStyle w:val="FirstParagraph"/>
      </w:pPr>
      <w:r>
        <w:t xml:space="preserve">Each package is organised into the same modules:</w:t>
      </w:r>
      <w:r>
        <w:t xml:space="preserve"> </w:t>
      </w:r>
      <w:r>
        <w:rPr>
          <w:rStyle w:val="VerbatimChar"/>
        </w:rPr>
        <w:t xml:space="preserve">querying</w:t>
      </w:r>
      <w:r>
        <w:t xml:space="preserve"> </w:t>
      </w:r>
      <w:r>
        <w:t xml:space="preserve">(load a lexicon or an</w:t>
      </w:r>
      <w:r>
        <w:t xml:space="preserve"> </w:t>
      </w:r>
      <w:r>
        <w:t xml:space="preserve">item table and compute lexical dimensions),</w:t>
      </w:r>
      <w:r>
        <w:t xml:space="preserve"> </w:t>
      </w:r>
      <w:r>
        <w:rPr>
          <w:rStyle w:val="VerbatimChar"/>
        </w:rPr>
        <w:t xml:space="preserve">matching</w:t>
      </w:r>
      <w:r>
        <w:t xml:space="preserve"> </w:t>
      </w:r>
      <w:r>
        <w:t xml:space="preserve">(the constraint engine),</w:t>
      </w:r>
      <w:r>
        <w:t xml:space="preserve"> </w:t>
      </w:r>
      <w:r>
        <w:rPr>
          <w:rStyle w:val="VerbatimChar"/>
        </w:rPr>
        <w:t xml:space="preserve">generation</w:t>
      </w:r>
      <w:r>
        <w:t xml:space="preserve"> </w:t>
      </w:r>
      <w:r>
        <w:t xml:space="preserve">(deterministic pseudoword generation),</w:t>
      </w:r>
      <w:r>
        <w:t xml:space="preserve"> </w:t>
      </w:r>
      <w:r>
        <w:rPr>
          <w:rStyle w:val="VerbatimChar"/>
        </w:rPr>
        <w:t xml:space="preserve">paradigms</w:t>
      </w:r>
      <w:r>
        <w:t xml:space="preserve"> </w:t>
      </w:r>
      <w:r>
        <w:t xml:space="preserve">(the trial-event</w:t>
      </w:r>
      <w:r>
        <w:t xml:space="preserve"> </w:t>
      </w:r>
      <w:r>
        <w:t xml:space="preserve">registry),</w:t>
      </w:r>
      <w:r>
        <w:t xml:space="preserve"> </w:t>
      </w:r>
      <w:r>
        <w:rPr>
          <w:rStyle w:val="VerbatimChar"/>
        </w:rPr>
        <w:t xml:space="preserve">counterbalancing</w:t>
      </w:r>
      <w:r>
        <w:t xml:space="preserve">,</w:t>
      </w:r>
      <w:r>
        <w:t xml:space="preserve"> </w:t>
      </w:r>
      <w:r>
        <w:rPr>
          <w:rStyle w:val="VerbatimChar"/>
        </w:rPr>
        <w:t xml:space="preserve">validation</w:t>
      </w:r>
      <w:r>
        <w:t xml:space="preserve"> </w:t>
      </w:r>
      <w:r>
        <w:t xml:space="preserve">(match-quality reporting),</w:t>
      </w:r>
      <w:r>
        <w:t xml:space="preserve"> </w:t>
      </w:r>
      <w:r>
        <w:rPr>
          <w:rStyle w:val="VerbatimChar"/>
        </w:rPr>
        <w:t xml:space="preserve">scripting</w:t>
      </w:r>
      <w:r>
        <w:t xml:space="preserve"> </w:t>
      </w:r>
      <w:r>
        <w:t xml:space="preserve">(experiment generation),</w:t>
      </w:r>
      <w:r>
        <w:t xml:space="preserve"> </w:t>
      </w:r>
      <w:r>
        <w:rPr>
          <w:rStyle w:val="VerbatimChar"/>
        </w:rPr>
        <w:t xml:space="preserve">datasheet</w:t>
      </w:r>
      <w:r>
        <w:t xml:space="preserve"> </w:t>
      </w:r>
      <w:r>
        <w:t xml:space="preserve">(the materials datasheet and pre-registration</w:t>
      </w:r>
      <w:r>
        <w:t xml:space="preserve"> </w:t>
      </w:r>
      <w:r>
        <w:t xml:space="preserve">template),</w:t>
      </w:r>
      <w:r>
        <w:t xml:space="preserve"> </w:t>
      </w:r>
      <w:r>
        <w:rPr>
          <w:rStyle w:val="VerbatimChar"/>
        </w:rPr>
        <w:t xml:space="preserve">logging</w:t>
      </w:r>
      <w:r>
        <w:t xml:space="preserve"> </w:t>
      </w:r>
      <w:r>
        <w:t xml:space="preserve">(the automated run log) and</w:t>
      </w:r>
      <w:r>
        <w:t xml:space="preserve"> </w:t>
      </w:r>
      <w:r>
        <w:rPr>
          <w:rStyle w:val="VerbatimChar"/>
        </w:rPr>
        <w:t xml:space="preserve">corpora</w:t>
      </w:r>
      <w:r>
        <w:t xml:space="preserve"> </w:t>
      </w:r>
      <w:r>
        <w:t xml:space="preserve">(the registry). A single orchestrator,</w:t>
      </w:r>
      <w:r>
        <w:t xml:space="preserve"> </w:t>
      </w:r>
      <w:r>
        <w:rPr>
          <w:rStyle w:val="VerbatimChar"/>
        </w:rPr>
        <w:t xml:space="preserve">run_pipeline</w:t>
      </w:r>
      <w:r>
        <w:t xml:space="preserve">, drives them in an explicit loop</w:t>
      </w:r>
      <w:r>
        <w:t xml:space="preserve"> </w:t>
      </w:r>
      <w:r>
        <w:t xml:space="preserve">over designs and languages, so that adding a language, a design or a paradigm is a</w:t>
      </w:r>
      <w:r>
        <w:t xml:space="preserve"> </w:t>
      </w:r>
      <w:r>
        <w:t xml:space="preserve">matter of supplying a configuration file (and, where relevant, a lexicon or item</w:t>
      </w:r>
      <w:r>
        <w:t xml:space="preserve"> </w:t>
      </w:r>
      <w:r>
        <w:t xml:space="preserve">table) rather than writing code. The two packages are</w:t>
      </w:r>
      <w:r>
        <w:t xml:space="preserve"> </w:t>
      </w:r>
      <w:r>
        <w:t xml:space="preserve">deliberately lean: the R package depends only on</w:t>
      </w:r>
      <w:r>
        <w:t xml:space="preserve"> </w:t>
      </w:r>
      <w:r>
        <w:t xml:space="preserve">‘readr’</w:t>
      </w:r>
      <w:r>
        <w:t xml:space="preserve">,</w:t>
      </w:r>
      <w:r>
        <w:t xml:space="preserve"> </w:t>
      </w:r>
      <w:r>
        <w:t xml:space="preserve">‘yaml’</w:t>
      </w:r>
      <w:r>
        <w:t xml:space="preserve">,</w:t>
      </w:r>
      <w:r>
        <w:t xml:space="preserve"> </w:t>
      </w:r>
      <w:r>
        <w:t xml:space="preserve">‘stringdist’</w:t>
      </w:r>
      <w:r>
        <w:t xml:space="preserve">,</w:t>
      </w:r>
      <w:r>
        <w:t xml:space="preserve"> </w:t>
      </w:r>
      <w:r>
        <w:t xml:space="preserve">‘jsonlite’</w:t>
      </w:r>
      <w:r>
        <w:t xml:space="preserve"> </w:t>
      </w:r>
      <w:r>
        <w:t xml:space="preserve">and</w:t>
      </w:r>
      <w:r>
        <w:t xml:space="preserve"> </w:t>
      </w:r>
      <w:r>
        <w:t xml:space="preserve">‘digest’</w:t>
      </w:r>
      <w:r>
        <w:t xml:space="preserve"> </w:t>
      </w:r>
      <w:r>
        <w:t xml:space="preserve">beyond base R, and the Python package on</w:t>
      </w:r>
      <w:r>
        <w:t xml:space="preserve"> </w:t>
      </w:r>
      <w:r>
        <w:t xml:space="preserve">‘pandas’</w:t>
      </w:r>
      <w:r>
        <w:t xml:space="preserve">,</w:t>
      </w:r>
      <w:r>
        <w:t xml:space="preserve"> </w:t>
      </w:r>
      <w:r>
        <w:t xml:space="preserve">‘numpy’</w:t>
      </w:r>
      <w:r>
        <w:t xml:space="preserve">,</w:t>
      </w:r>
      <w:r>
        <w:t xml:space="preserve"> </w:t>
      </w:r>
      <w:r>
        <w:t xml:space="preserve">‘PyYAML’</w:t>
      </w:r>
      <w:r>
        <w:t xml:space="preserve">,</w:t>
      </w:r>
      <w:r>
        <w:t xml:space="preserve"> </w:t>
      </w:r>
      <w:r>
        <w:t xml:space="preserve">‘rapidfuzz’</w:t>
      </w:r>
      <w:r>
        <w:t xml:space="preserve"> </w:t>
      </w:r>
      <w:r>
        <w:t xml:space="preserve">and</w:t>
      </w:r>
      <w:r>
        <w:t xml:space="preserve"> </w:t>
      </w:r>
      <w:r>
        <w:t xml:space="preserve">‘scipy’</w:t>
      </w:r>
      <w:r>
        <w:t xml:space="preserve">.</w:t>
      </w:r>
    </w:p>
    <w:bookmarkEnd w:id="10"/>
    <w:bookmarkStart w:id="11" w:name="a-many-language-corpus-registry"/>
    <w:p>
      <w:pPr>
        <w:pStyle w:val="Heading2"/>
      </w:pPr>
      <w:r>
        <w:t xml:space="preserve">A many-language corpus registry</w:t>
      </w:r>
    </w:p>
    <w:p>
      <w:pPr>
        <w:pStyle w:val="FirstParagraph"/>
      </w:pPr>
      <w:r>
        <w:t xml:space="preserve">The quality of the matched stimuli depends on the corpus from which they are</w:t>
      </w:r>
      <w:r>
        <w:t xml:space="preserve"> </w:t>
      </w:r>
      <w:r>
        <w:t xml:space="preserve">drawn.</w:t>
      </w:r>
      <w:r>
        <w:t xml:space="preserve"> </w:t>
      </w:r>
      <w:r>
        <w:t xml:space="preserve">‘lexsync’</w:t>
      </w:r>
      <w:r>
        <w:t xml:space="preserve"> </w:t>
      </w:r>
      <w:r>
        <w:t xml:space="preserve">reads a</w:t>
      </w:r>
      <w:r>
        <w:t xml:space="preserve"> </w:t>
      </w:r>
      <w:r>
        <w:t xml:space="preserve">machine-readable registry that records, for each supported corpus, its language,</w:t>
      </w:r>
      <w:r>
        <w:t xml:space="preserve"> </w:t>
      </w:r>
      <w:r>
        <w:t xml:space="preserve">access URL, licence and citation. Two connectors are provided. The first exposes</w:t>
      </w:r>
      <w:r>
        <w:t xml:space="preserve"> </w:t>
      </w:r>
      <w:r>
        <w:t xml:space="preserve">the curated SUBTLEX family and the</w:t>
      </w:r>
      <w:r>
        <w:t xml:space="preserve"> </w:t>
      </w:r>
      <w:r>
        <w:t xml:space="preserve">‘openlexicon’</w:t>
      </w:r>
      <w:r>
        <w:t xml:space="preserve"> </w:t>
      </w:r>
      <w:r>
        <w:t xml:space="preserve">collection (for example</w:t>
      </w:r>
      <w:r>
        <w:t xml:space="preserve"> </w:t>
      </w:r>
      <w:r>
        <w:t xml:space="preserve">SUBTLEX-UK for British English</w:t>
      </w:r>
      <w:r>
        <w:t xml:space="preserve"> </w:t>
      </w:r>
      <w:r>
        <w:t xml:space="preserve">(Heuven et al., 2014)</w:t>
      </w:r>
      <w:r>
        <w:t xml:space="preserve">, SUBTLEX-ESP for Spanish</w:t>
      </w:r>
      <w:r>
        <w:t xml:space="preserve"> </w:t>
      </w:r>
      <w:r>
        <w:t xml:space="preserve">(Cuetos et al., 2011)</w:t>
      </w:r>
      <w:r>
        <w:t xml:space="preserve"> </w:t>
      </w:r>
      <w:r>
        <w:t xml:space="preserve">and SUBTLEX-US</w:t>
      </w:r>
      <w:r>
        <w:t xml:space="preserve"> </w:t>
      </w:r>
      <w:r>
        <w:t xml:space="preserve">(Brysbaert &amp; New, 2009)</w:t>
      </w:r>
      <w:r>
        <w:t xml:space="preserve">), each</w:t>
      </w:r>
      <w:r>
        <w:t xml:space="preserve"> </w:t>
      </w:r>
      <w:r>
        <w:t xml:space="preserve">individually citable and redistributable under CC BY-SA terms. The second is the</w:t>
      </w:r>
      <w:r>
        <w:t xml:space="preserve"> </w:t>
      </w:r>
      <w:r>
        <w:t xml:space="preserve">‘wordfreq’</w:t>
      </w:r>
      <w:r>
        <w:t xml:space="preserve"> </w:t>
      </w:r>
      <w:r>
        <w:t xml:space="preserve">package</w:t>
      </w:r>
      <w:r>
        <w:t xml:space="preserve"> </w:t>
      </w:r>
      <w:r>
        <w:t xml:space="preserve">(Speer, 2022)</w:t>
      </w:r>
      <w:r>
        <w:t xml:space="preserve">, which yields frequencies for roughly</w:t>
      </w:r>
      <w:r>
        <w:t xml:space="preserve"> </w:t>
      </w:r>
      <w:r>
        <w:t xml:space="preserve">forty languages through a single dependency. The demonstrations below build their</w:t>
      </w:r>
      <w:r>
        <w:t xml:space="preserve"> </w:t>
      </w:r>
      <w:r>
        <w:t xml:space="preserve">English, Spanish and Mandarin Chinese lexica with</w:t>
      </w:r>
      <w:r>
        <w:t xml:space="preserve"> </w:t>
      </w:r>
      <w:r>
        <w:t xml:space="preserve">‘wordfreq’</w:t>
      </w:r>
      <w:r>
        <w:t xml:space="preserve">, which aggregates</w:t>
      </w:r>
      <w:r>
        <w:t xml:space="preserve"> </w:t>
      </w:r>
      <w:r>
        <w:t xml:space="preserve">subtitle and web corpora including the SUBTLEX lists; the registry documents the</w:t>
      </w:r>
      <w:r>
        <w:t xml:space="preserve"> </w:t>
      </w:r>
      <w:r>
        <w:t xml:space="preserve">curated corpora (among them SUBTLEX-CH for Chinese</w:t>
      </w:r>
      <w:r>
        <w:t xml:space="preserve"> </w:t>
      </w:r>
      <w:r>
        <w:t xml:space="preserve">(Cai &amp; Brysbaert, 2010)</w:t>
      </w:r>
      <w:r>
        <w:t xml:space="preserve">) as</w:t>
      </w:r>
      <w:r>
        <w:t xml:space="preserve"> </w:t>
      </w:r>
      <w:r>
        <w:t xml:space="preserve">alternatives. Small example lexica are bundled inside each package for offline use</w:t>
      </w:r>
      <w:r>
        <w:t xml:space="preserve"> </w:t>
      </w:r>
      <w:r>
        <w:t xml:space="preserve">and testing, while full corpora are fetched on demand into a user cache, keeping</w:t>
      </w:r>
      <w:r>
        <w:t xml:space="preserve"> </w:t>
      </w:r>
      <w:r>
        <w:t xml:space="preserve">the installed packages within distribution size limits.</w:t>
      </w:r>
    </w:p>
    <w:bookmarkEnd w:id="11"/>
    <w:bookmarkStart w:id="12" w:name="the-multidimensional-matching-algorithm"/>
    <w:p>
      <w:pPr>
        <w:pStyle w:val="Heading2"/>
      </w:pPr>
      <w:r>
        <w:t xml:space="preserve">The multidimensional matching algorithm</w:t>
      </w:r>
    </w:p>
    <w:p>
      <w:pPr>
        <w:pStyle w:val="FirstParagraph"/>
      </w:pPr>
      <w:r>
        <w:t xml:space="preserve">For every word</w:t>
      </w:r>
      <w:r>
        <w:t xml:space="preserve"> </w:t>
      </w:r>
      <w:r>
        <w:t xml:space="preserve">‘lexsync’</w:t>
      </w:r>
      <w:r>
        <w:t xml:space="preserve"> </w:t>
      </w:r>
      <w:r>
        <w:t xml:space="preserve">records its length, its frequency and two</w:t>
      </w:r>
      <w:r>
        <w:t xml:space="preserve"> </w:t>
      </w:r>
      <w:r>
        <w:t xml:space="preserve">orthographic-neighbourhood measures: Coltheart’s N, the number of words of the</w:t>
      </w:r>
      <w:r>
        <w:t xml:space="preserve"> </w:t>
      </w:r>
      <w:r>
        <w:t xml:space="preserve">same length differing by a single letter</w:t>
      </w:r>
      <w:r>
        <w:t xml:space="preserve"> </w:t>
      </w:r>
      <w:r>
        <w:t xml:space="preserve">(Coltheart et al., 1977)</w:t>
      </w:r>
      <w:r>
        <w:t xml:space="preserve">, and OLD20, the</w:t>
      </w:r>
      <w:r>
        <w:t xml:space="preserve"> </w:t>
      </w:r>
      <w:r>
        <w:t xml:space="preserve">mean Levenshtein distance to the twenty nearest neighbours</w:t>
      </w:r>
      <w:r>
        <w:t xml:space="preserve"> </w:t>
      </w:r>
      <w:r>
        <w:t xml:space="preserve">(Yarkoni et al., 2008)</w:t>
      </w:r>
      <w:r>
        <w:t xml:space="preserve">.</w:t>
      </w:r>
      <w:r>
        <w:t xml:space="preserve"> </w:t>
      </w:r>
      <w:r>
        <w:t xml:space="preserve">The neighbourhood measures are computed transparently from the lexicon rather</w:t>
      </w:r>
      <w:r>
        <w:t xml:space="preserve"> </w:t>
      </w:r>
      <w:r>
        <w:t xml:space="preserve">than taken on trust. The dimension set is open: it also includes an orthographic</w:t>
      </w:r>
      <w:r>
        <w:t xml:space="preserve"> </w:t>
      </w:r>
      <w:r>
        <w:t xml:space="preserve">syllable estimate (the number of vowel runs) and a corpus-derived bigram-frequency</w:t>
      </w:r>
      <w:r>
        <w:t xml:space="preserve"> </w:t>
      </w:r>
      <w:r>
        <w:t xml:space="preserve">measure that approximates phonotactic probability, and externally-sourced norms</w:t>
      </w:r>
      <w:r>
        <w:t xml:space="preserve"> </w:t>
      </w:r>
      <w:r>
        <w:t xml:space="preserve">(concreteness, age of acquisition, valence) can be joined on through a</w:t>
      </w:r>
      <w:r>
        <w:t xml:space="preserve"> </w:t>
      </w:r>
      <w:r>
        <w:t xml:space="preserve">norm-table connector so the matcher equates on them too. A sixth corpus</w:t>
      </w:r>
      <w:r>
        <w:t xml:space="preserve"> </w:t>
      </w:r>
      <w:r>
        <w:t xml:space="preserve">demonstration, a frequency contrast additionally equated on syllable count and</w:t>
      </w:r>
      <w:r>
        <w:t xml:space="preserve"> </w:t>
      </w:r>
      <w:r>
        <w:t xml:space="preserve">bigram frequency, exercises these. Like all designs, it is selected identically</w:t>
      </w:r>
      <w:r>
        <w:t xml:space="preserve"> </w:t>
      </w:r>
      <w:r>
        <w:t xml:space="preserve">by the two engines.</w:t>
      </w:r>
    </w:p>
    <w:p>
      <w:pPr>
        <w:pStyle w:val="BodyText"/>
      </w:pPr>
      <w:r>
        <w:t xml:space="preserve">Matching proceeds in two deterministic stages. First, a tolerance pre-filter</w:t>
      </w:r>
      <w:r>
        <w:t xml:space="preserve"> </w:t>
      </w:r>
      <w:r>
        <w:t xml:space="preserve">keeps only candidates that fall within</w:t>
      </w:r>
      <w:r>
        <w:t xml:space="preserve"> </w:t>
      </w:r>
      <w:r>
        <w:rPr>
          <w:i/>
          <w:iCs/>
        </w:rPr>
        <w:t xml:space="preserve">M</w:t>
      </w:r>
      <w:r>
        <w:t xml:space="preserve"> </w:t>
      </w:r>
      <w:r>
        <w:t xml:space="preserve">±</w:t>
      </w:r>
      <w:r>
        <w:t xml:space="preserve"> </w:t>
      </w:r>
      <w:r>
        <w:rPr>
          <w:i/>
          <w:iCs/>
        </w:rPr>
        <w:t xml:space="preserve">k</w:t>
      </w:r>
      <w:r>
        <w:t xml:space="preserve"> </w:t>
      </w:r>
      <w:r>
        <w:t xml:space="preserve">·</w:t>
      </w:r>
      <w:r>
        <w:t xml:space="preserve"> </w:t>
      </w:r>
      <w:r>
        <w:rPr>
          <w:i/>
          <w:iCs/>
        </w:rPr>
        <w:t xml:space="preserve">SD</w:t>
      </w:r>
      <w:r>
        <w:t xml:space="preserve"> </w:t>
      </w:r>
      <w:r>
        <w:t xml:space="preserve">of the anchor condition on</w:t>
      </w:r>
      <w:r>
        <w:t xml:space="preserve"> </w:t>
      </w:r>
      <w:r>
        <w:t xml:space="preserve">each control dimension, generalising the windowed selection of the original</w:t>
      </w:r>
      <w:r>
        <w:t xml:space="preserve"> </w:t>
      </w:r>
      <w:r>
        <w:t xml:space="preserve">workflow. Second, every remaining condition is matched to the anchor item by</w:t>
      </w:r>
      <w:r>
        <w:t xml:space="preserve"> </w:t>
      </w:r>
      <w:r>
        <w:t xml:space="preserve">item: each dimension is standardised, the standardised Euclidean distance from</w:t>
      </w:r>
      <w:r>
        <w:t xml:space="preserve"> </w:t>
      </w:r>
      <w:r>
        <w:t xml:space="preserve">each candidate to the target item is computed and the nearest unused candidate is</w:t>
      </w:r>
      <w:r>
        <w:t xml:space="preserve"> </w:t>
      </w:r>
      <w:r>
        <w:t xml:space="preserve">assigned, with ties broken by a stable, locale-independent key. Because no random</w:t>
      </w:r>
      <w:r>
        <w:t xml:space="preserve"> </w:t>
      </w:r>
      <w:r>
        <w:t xml:space="preserve">number generator is used and string comparisons are performed in byte order in</w:t>
      </w:r>
      <w:r>
        <w:t xml:space="preserve"> </w:t>
      </w:r>
      <w:r>
        <w:t xml:space="preserve">both engines, the R and Python packages select an identical matched selection</w:t>
      </w:r>
      <w:r>
        <w:t xml:space="preserve"> </w:t>
      </w:r>
      <w:r>
        <w:t xml:space="preserve">from identical input, a parity we verify below.</w:t>
      </w:r>
    </w:p>
    <w:p>
      <w:pPr>
        <w:pStyle w:val="BodyText"/>
      </w:pPr>
      <w:r>
        <w:t xml:space="preserve">Two further matching methods can be selected when a design needs them. A</w:t>
      </w:r>
      <w:r>
        <w:t xml:space="preserve"> </w:t>
      </w:r>
      <w:r>
        <w:t xml:space="preserve">covariance-aware (Mahalanobis) distance replaces the standardised Euclidean metric</w:t>
      </w:r>
      <w:r>
        <w:t xml:space="preserve"> </w:t>
      </w:r>
      <w:r>
        <w:t xml:space="preserve">with one weighted by the inverse of the control dimensions’ correlation matrix, so</w:t>
      </w:r>
      <w:r>
        <w:t xml:space="preserve"> </w:t>
      </w:r>
      <w:r>
        <w:t xml:space="preserve">it down-weights dimensions that are correlated, such as length and orthographic</w:t>
      </w:r>
      <w:r>
        <w:t xml:space="preserve"> </w:t>
      </w:r>
      <w:r>
        <w:t xml:space="preserve">neighbourhood, rather than counting their shared variance more than once</w:t>
      </w:r>
      <w:r>
        <w:t xml:space="preserve"> </w:t>
      </w:r>
      <w:r>
        <w:t xml:space="preserve">(Rubin, 1980; Stuart, 2010)</w:t>
      </w:r>
      <w:r>
        <w:t xml:space="preserve">. A globally optimal assignment, for a</w:t>
      </w:r>
      <w:r>
        <w:t xml:space="preserve"> </w:t>
      </w:r>
      <w:r>
        <w:t xml:space="preserve">two-condition design, minimises the total distance over the whole pairing instead</w:t>
      </w:r>
      <w:r>
        <w:t xml:space="preserve"> </w:t>
      </w:r>
      <w:r>
        <w:t xml:space="preserve">of taking the locally cheapest pair at each step</w:t>
      </w:r>
      <w:r>
        <w:t xml:space="preserve"> </w:t>
      </w:r>
      <w:r>
        <w:t xml:space="preserve">(Gu &amp; Rosenbaum, 1993; Hansen &amp; Klopfer, 2006)</w:t>
      </w:r>
      <w:r>
        <w:t xml:space="preserve">. Both rely on a linear-algebra routine, a matrix inverse and an assignment</w:t>
      </w:r>
      <w:r>
        <w:t xml:space="preserve"> </w:t>
      </w:r>
      <w:r>
        <w:t xml:space="preserve">solver respectively, whose last bits differ between the R and Python backends, so</w:t>
      </w:r>
      <w:r>
        <w:t xml:space="preserve"> </w:t>
      </w:r>
      <w:r>
        <w:t xml:space="preserve">on these two methods the engines select equivalent but not byte-identical</w:t>
      </w:r>
      <w:r>
        <w:t xml:space="preserve"> </w:t>
      </w:r>
      <w:r>
        <w:t xml:space="preserve">materials; each datasheet records which case applies.</w:t>
      </w:r>
    </w:p>
    <w:p>
      <w:pPr>
        <w:pStyle w:val="BodyText"/>
      </w:pPr>
      <w:r>
        <w:t xml:space="preserve">A design may also be declared</w:t>
      </w:r>
      <w:r>
        <w:t xml:space="preserve"> </w:t>
      </w:r>
      <w:r>
        <w:rPr>
          <w:i/>
          <w:iCs/>
        </w:rPr>
        <w:t xml:space="preserve">continuous</w:t>
      </w:r>
      <w:r>
        <w:t xml:space="preserve"> </w:t>
      </w:r>
      <w:r>
        <w:t xml:space="preserve">rather than dichotomised. Instead of</w:t>
      </w:r>
      <w:r>
        <w:t xml:space="preserve"> </w:t>
      </w:r>
      <w:r>
        <w:t xml:space="preserve">splitting a variable into conditions and matching, lexsync selects a set that</w:t>
      </w:r>
      <w:r>
        <w:t xml:space="preserve"> </w:t>
      </w:r>
      <w:r>
        <w:t xml:space="preserve">spans the variable’s range evenly while holding the control dimensions</w:t>
      </w:r>
      <w:r>
        <w:t xml:space="preserve"> </w:t>
      </w:r>
      <w:r>
        <w:t xml:space="preserve">near-constant, so the variable stays continuous and is analysed by regression or a</w:t>
      </w:r>
      <w:r>
        <w:t xml:space="preserve"> </w:t>
      </w:r>
      <w:r>
        <w:t xml:space="preserve">mixed model rather than a between-condition contrast. This is the recommended</w:t>
      </w:r>
      <w:r>
        <w:t xml:space="preserve"> </w:t>
      </w:r>
      <w:r>
        <w:t xml:space="preserve">alternative to matched dichotomies, which lose power and admit selection</w:t>
      </w:r>
      <w:r>
        <w:t xml:space="preserve"> </w:t>
      </w:r>
      <w:r>
        <w:t xml:space="preserve">artefacts</w:t>
      </w:r>
      <w:r>
        <w:t xml:space="preserve"> </w:t>
      </w:r>
      <w:r>
        <w:t xml:space="preserve">(Kuperman, 2015; Liben-Nowell et al., 2019)</w:t>
      </w:r>
      <w:r>
        <w:t xml:space="preserve">; the datasheet reports</w:t>
      </w:r>
      <w:r>
        <w:t xml:space="preserve"> </w:t>
      </w:r>
      <w:r>
        <w:t xml:space="preserve">the realised span, the predictor-control correlations and a suggested regression</w:t>
      </w:r>
      <w:r>
        <w:t xml:space="preserve"> </w:t>
      </w:r>
      <w:r>
        <w:t xml:space="preserve">model.</w:t>
      </w:r>
    </w:p>
    <w:p>
      <w:pPr>
        <w:pStyle w:val="BodyText"/>
      </w:pPr>
      <w:r>
        <w:t xml:space="preserve">The per-anchor procedure fixes one condition and matches the others to it, which</w:t>
      </w:r>
      <w:r>
        <w:t xml:space="preserve"> </w:t>
      </w:r>
      <w:r>
        <w:t xml:space="preserve">is ideal when the manipulated dimension is statistically independent of the</w:t>
      </w:r>
      <w:r>
        <w:t xml:space="preserve"> </w:t>
      </w:r>
      <w:r>
        <w:t xml:space="preserve">controls. When the manipulation is intrinsically correlated with a control</w:t>
      </w:r>
      <w:r>
        <w:t xml:space="preserve"> </w:t>
      </w:r>
      <w:r>
        <w:t xml:space="preserve">dimension (as orthographic neighbourhood density is with word length and</w:t>
      </w:r>
      <w:r>
        <w:t xml:space="preserve"> </w:t>
      </w:r>
      <w:r>
        <w:t xml:space="preserve">frequency), fixing one condition first can leave a residual difference on the</w:t>
      </w:r>
      <w:r>
        <w:t xml:space="preserve"> </w:t>
      </w:r>
      <w:r>
        <w:t xml:space="preserve">control, because the anchor items need not have close counterparts in the other</w:t>
      </w:r>
      <w:r>
        <w:t xml:space="preserve"> </w:t>
      </w:r>
      <w:r>
        <w:t xml:space="preserve">condition. For such designs</w:t>
      </w:r>
      <w:r>
        <w:t xml:space="preserve"> </w:t>
      </w:r>
      <w:r>
        <w:t xml:space="preserve">‘lexsync’</w:t>
      </w:r>
      <w:r>
        <w:t xml:space="preserve"> </w:t>
      </w:r>
      <w:r>
        <w:t xml:space="preserve">offers a</w:t>
      </w:r>
      <w:r>
        <w:t xml:space="preserve"> </w:t>
      </w:r>
      <w:r>
        <w:rPr>
          <w:rStyle w:val="VerbatimChar"/>
        </w:rPr>
        <w:t xml:space="preserve">joint</w:t>
      </w:r>
      <w:r>
        <w:t xml:space="preserve"> </w:t>
      </w:r>
      <w:r>
        <w:t xml:space="preserve">matching method, selected</w:t>
      </w:r>
      <w:r>
        <w:t xml:space="preserve"> </w:t>
      </w:r>
      <w:r>
        <w:t xml:space="preserve">with a single line in the design configuration. Rather than privileging one</w:t>
      </w:r>
      <w:r>
        <w:t xml:space="preserve"> </w:t>
      </w:r>
      <w:r>
        <w:t xml:space="preserve">condition, it scores every cross-condition pair on the standardised control</w:t>
      </w:r>
      <w:r>
        <w:t xml:space="preserve"> </w:t>
      </w:r>
      <w:r>
        <w:t xml:space="preserve">dimensions and greedily retains the</w:t>
      </w:r>
      <w:r>
        <w:t xml:space="preserve"> </w:t>
      </w:r>
      <w:r>
        <w:rPr>
          <w:i/>
          <w:iCs/>
        </w:rPr>
        <w:t xml:space="preserve">n</w:t>
      </w:r>
      <w:r>
        <w:t xml:space="preserve"> </w:t>
      </w:r>
      <w:r>
        <w:t xml:space="preserve">cheapest disjoint pairs, so only items</w:t>
      </w:r>
      <w:r>
        <w:t xml:space="preserve"> </w:t>
      </w:r>
      <w:r>
        <w:t xml:space="preserve">that have a close counterpart in the opposite condition are kept. The two</w:t>
      </w:r>
      <w:r>
        <w:t xml:space="preserve"> </w:t>
      </w:r>
      <w:r>
        <w:t xml:space="preserve">conditions are thereby equated on the controls even when the manipulation is</w:t>
      </w:r>
      <w:r>
        <w:t xml:space="preserve"> </w:t>
      </w:r>
      <w:r>
        <w:t xml:space="preserve">confounded with them, at the cost of drawing from a slightly larger candidate</w:t>
      </w:r>
      <w:r>
        <w:t xml:space="preserve"> </w:t>
      </w:r>
      <w:r>
        <w:t xml:space="preserve">pool. The method is as deterministic and cross-engine identical as the per-anchor</w:t>
      </w:r>
      <w:r>
        <w:t xml:space="preserve"> </w:t>
      </w:r>
      <w:r>
        <w:t xml:space="preserve">one (costs are rounded before the byte-order tie-break), and it is the method used</w:t>
      </w:r>
      <w:r>
        <w:t xml:space="preserve"> </w:t>
      </w:r>
      <w:r>
        <w:t xml:space="preserve">for the neighbourhood-density demonstrations below.</w:t>
      </w:r>
    </w:p>
    <w:bookmarkEnd w:id="12"/>
    <w:bookmarkStart w:id="13" w:name="counterbalancing-and-reporting"/>
    <w:p>
      <w:pPr>
        <w:pStyle w:val="Heading2"/>
      </w:pPr>
      <w:r>
        <w:t xml:space="preserve">Counterbalancing and reporting</w:t>
      </w:r>
    </w:p>
    <w:p>
      <w:pPr>
        <w:pStyle w:val="FirstParagraph"/>
      </w:pPr>
      <w:r>
        <w:t xml:space="preserve">Matched items are assigned to presentation lists and a reproducible trial order,</w:t>
      </w:r>
      <w:r>
        <w:t xml:space="preserve"> </w:t>
      </w:r>
      <w:r>
        <w:t xml:space="preserve">and a participant table crosses any counterbalancing factors. A design may also</w:t>
      </w:r>
      <w:r>
        <w:t xml:space="preserve"> </w:t>
      </w:r>
      <w:r>
        <w:t xml:space="preserve">request</w:t>
      </w:r>
      <w:r>
        <w:t xml:space="preserve"> </w:t>
      </w:r>
      <w:r>
        <w:rPr>
          <w:i/>
          <w:iCs/>
        </w:rPr>
        <w:t xml:space="preserve">resampling</w:t>
      </w:r>
      <w:r>
        <w:t xml:space="preserve">: several disjoint matched item sets are drawn, no item reused</w:t>
      </w:r>
      <w:r>
        <w:t xml:space="preserve"> </w:t>
      </w:r>
      <w:r>
        <w:t xml:space="preserve">across them, so a study can run a different item sample per participant group or</w:t>
      </w:r>
      <w:r>
        <w:t xml:space="preserve"> </w:t>
      </w:r>
      <w:r>
        <w:t xml:space="preserve">demonstrate an effect across samples, operationalising the long-standing</w:t>
      </w:r>
      <w:r>
        <w:t xml:space="preserve"> </w:t>
      </w:r>
      <w:r>
        <w:t xml:space="preserve">recommendation to treat items as a random factor rather than a fixed set</w:t>
      </w:r>
      <w:r>
        <w:t xml:space="preserve"> </w:t>
      </w:r>
      <w:r>
        <w:t xml:space="preserve">(Clark, 1973; Yarkoni, 2022)</w:t>
      </w:r>
      <w:r>
        <w:t xml:space="preserve">.</w:t>
      </w:r>
      <w:r>
        <w:t xml:space="preserve"> </w:t>
      </w:r>
      <w:r>
        <w:t xml:space="preserve">‘lexsync’</w:t>
      </w:r>
      <w:r>
        <w:t xml:space="preserve"> </w:t>
      </w:r>
      <w:r>
        <w:t xml:space="preserve">then</w:t>
      </w:r>
      <w:r>
        <w:t xml:space="preserve"> </w:t>
      </w:r>
      <w:r>
        <w:t xml:space="preserve">writes a match-quality report and an automated, comprehensive run log recording</w:t>
      </w:r>
      <w:r>
        <w:t xml:space="preserve"> </w:t>
      </w:r>
      <w:r>
        <w:t xml:space="preserve">each stage, its parameters, the seed, package and corpus provenance and a</w:t>
      </w:r>
      <w:r>
        <w:t xml:space="preserve"> </w:t>
      </w:r>
      <w:r>
        <w:t xml:space="preserve">fingerprint of every file written.</w:t>
      </w:r>
    </w:p>
    <w:p>
      <w:pPr>
        <w:pStyle w:val="BodyText"/>
      </w:pPr>
      <w:r>
        <w:t xml:space="preserve">The report is deliberately built around effect sizes rather than significance</w:t>
      </w:r>
      <w:r>
        <w:t xml:space="preserve"> </w:t>
      </w:r>
      <w:r>
        <w:t xml:space="preserve">tests. For each controlled dimension it gives the per-condition descriptive</w:t>
      </w:r>
      <w:r>
        <w:t xml:space="preserve"> </w:t>
      </w:r>
      <w:r>
        <w:t xml:space="preserve">statistics and the standardised mean difference (Cohen’s</w:t>
      </w:r>
      <w:r>
        <w:t xml:space="preserve"> </w:t>
      </w:r>
      <w:r>
        <w:rPr>
          <w:i/>
          <w:iCs/>
        </w:rPr>
        <w:t xml:space="preserve">d</w:t>
      </w:r>
      <w:r>
        <w:t xml:space="preserve">) between conditions,</w:t>
      </w:r>
      <w:r>
        <w:t xml:space="preserve"> </w:t>
      </w:r>
      <w:r>
        <w:t xml:space="preserve">together with a 90% confidence interval on that difference. This ordering is a</w:t>
      </w:r>
      <w:r>
        <w:t xml:space="preserve"> </w:t>
      </w:r>
      <w:r>
        <w:t xml:space="preserve">considered response to a common error in nuisance control: treating a</w:t>
      </w:r>
      <w:r>
        <w:t xml:space="preserve"> </w:t>
      </w:r>
      <w:r>
        <w:t xml:space="preserve">non-significant difference test as proof that a variable is matched</w:t>
      </w:r>
      <w:r>
        <w:t xml:space="preserve"> </w:t>
      </w:r>
      <w:r>
        <w:t xml:space="preserve">(Sassenhagen &amp; Alday, 2016)</w:t>
      </w:r>
      <w:r>
        <w:t xml:space="preserve">. A non-significant test is not evidence of equivalence,</w:t>
      </w:r>
      <w:r>
        <w:t xml:space="preserve"> </w:t>
      </w:r>
      <w:r>
        <w:t xml:space="preserve">and whether a real difference reaches significance depends on the number of items,</w:t>
      </w:r>
      <w:r>
        <w:t xml:space="preserve"> </w:t>
      </w:r>
      <w:r>
        <w:t xml:space="preserve">so the conclusion</w:t>
      </w:r>
      <w:r>
        <w:t xml:space="preserve"> </w:t>
      </w:r>
      <w:r>
        <w:t xml:space="preserve">“matched”</w:t>
      </w:r>
      <w:r>
        <w:t xml:space="preserve"> </w:t>
      </w:r>
      <w:r>
        <w:t xml:space="preserve">can be manufactured by using few items. The</w:t>
      </w:r>
      <w:r>
        <w:t xml:space="preserve"> </w:t>
      </w:r>
      <w:r>
        <w:t xml:space="preserve">standardised mean difference is, by contrast, a direct measure of the realised</w:t>
      </w:r>
      <w:r>
        <w:t xml:space="preserve"> </w:t>
      </w:r>
      <w:r>
        <w:t xml:space="preserve">imbalance, and its confidence interval makes the sampling uncertainty (and hence</w:t>
      </w:r>
      <w:r>
        <w:t xml:space="preserve"> </w:t>
      </w:r>
      <w:r>
        <w:t xml:space="preserve">the dependence on the number of items) explicit. With few items the interval is</w:t>
      </w:r>
      <w:r>
        <w:t xml:space="preserve"> </w:t>
      </w:r>
      <w:r>
        <w:t xml:space="preserve">wide, so a small point estimate cannot be over-read, and the upper limit of the</w:t>
      </w:r>
      <w:r>
        <w:t xml:space="preserve"> </w:t>
      </w:r>
      <w:r>
        <w:t xml:space="preserve">interval on |</w:t>
      </w:r>
      <w:r>
        <w:rPr>
          <w:i/>
          <w:iCs/>
        </w:rPr>
        <w:t xml:space="preserve">d</w:t>
      </w:r>
      <w:r>
        <w:t xml:space="preserve">| is the largest imbalance still consistent with the chosen</w:t>
      </w:r>
      <w:r>
        <w:t xml:space="preserve"> </w:t>
      </w:r>
      <w:r>
        <w:t xml:space="preserve">stimuli. The report also includes a two one-sided tests (TOST) equivalence test</w:t>
      </w:r>
      <w:r>
        <w:t xml:space="preserve"> </w:t>
      </w:r>
      <w:r>
        <w:t xml:space="preserve">(Lakens, 2017)</w:t>
      </w:r>
      <w:r>
        <w:t xml:space="preserve"> </w:t>
      </w:r>
      <w:r>
        <w:t xml:space="preserve">as a complementary, bound-referenced verdict; the 90%</w:t>
      </w:r>
      <w:r>
        <w:t xml:space="preserve"> </w:t>
      </w:r>
      <w:r>
        <w:t xml:space="preserve">interval is exactly the interval whose lying inside the bound corresponds to a</w:t>
      </w:r>
      <w:r>
        <w:t xml:space="preserve"> </w:t>
      </w:r>
      <w:r>
        <w:t xml:space="preserve">TOST at the .05 level, so the two are coherent and the interval is the more</w:t>
      </w:r>
      <w:r>
        <w:t xml:space="preserve"> </w:t>
      </w:r>
      <w:r>
        <w:t xml:space="preserve">transparent of the pair. Together they make the realised control explicit, in the</w:t>
      </w:r>
      <w:r>
        <w:t xml:space="preserve"> </w:t>
      </w:r>
      <w:r>
        <w:t xml:space="preserve">spirit of the original workflow’s balance checks, and the run log makes a run</w:t>
      </w:r>
      <w:r>
        <w:t xml:space="preserve"> </w:t>
      </w:r>
      <w:r>
        <w:t xml:space="preserve">auditable.</w:t>
      </w:r>
    </w:p>
    <w:p>
      <w:pPr>
        <w:pStyle w:val="BodyText"/>
      </w:pPr>
      <w:r>
        <w:t xml:space="preserve">Finally, each design is accompanied by a</w:t>
      </w:r>
      <w:r>
        <w:t xml:space="preserve"> </w:t>
      </w:r>
      <w:r>
        <w:rPr>
          <w:i/>
          <w:iCs/>
        </w:rPr>
        <w:t xml:space="preserve">materials datasheet</w:t>
      </w:r>
      <w:r>
        <w:t xml:space="preserve">, a machine-readable</w:t>
      </w:r>
      <w:r>
        <w:t xml:space="preserve"> </w:t>
      </w:r>
      <w:r>
        <w:t xml:space="preserve">JSON record and a human-readable Markdown summary of its provenance. The record</w:t>
      </w:r>
      <w:r>
        <w:t xml:space="preserve"> </w:t>
      </w:r>
      <w:r>
        <w:t xml:space="preserve">covers the corpus or item table and its checksum, the dimensions and how they were</w:t>
      </w:r>
      <w:r>
        <w:t xml:space="preserve"> </w:t>
      </w:r>
      <w:r>
        <w:t xml:space="preserve">computed, the selection or matching method and its parameters, the realised control</w:t>
      </w:r>
      <w:r>
        <w:t xml:space="preserve"> </w:t>
      </w:r>
      <w:r>
        <w:t xml:space="preserve">(the effect sizes and their intervals, a variance-ratio check on the spread, and the</w:t>
      </w:r>
      <w:r>
        <w:t xml:space="preserve"> </w:t>
      </w:r>
      <w:r>
        <w:t xml:space="preserve">equivalence verdicts), the counterbalancing</w:t>
      </w:r>
      <w:r>
        <w:t xml:space="preserve"> </w:t>
      </w:r>
      <w:r>
        <w:t xml:space="preserve">recipe, and the seed, software versions and file checksums needed to reproduce the</w:t>
      </w:r>
      <w:r>
        <w:t xml:space="preserve"> </w:t>
      </w:r>
      <w:r>
        <w:t xml:space="preserve">materials exactly. It records, in addition, the size of the candidate pool each</w:t>
      </w:r>
      <w:r>
        <w:t xml:space="preserve"> </w:t>
      </w:r>
      <w:r>
        <w:t xml:space="preserve">condition was selected from, so that item selection is auditable rather than</w:t>
      </w:r>
      <w:r>
        <w:t xml:space="preserve"> </w:t>
      </w:r>
      <w:r>
        <w:t xml:space="preserve">opaque, and a suggested crossed mixed-model formula that treats items as a random</w:t>
      </w:r>
      <w:r>
        <w:t xml:space="preserve"> </w:t>
      </w:r>
      <w:r>
        <w:t xml:space="preserve">factor</w:t>
      </w:r>
      <w:r>
        <w:t xml:space="preserve"> </w:t>
      </w:r>
      <w:r>
        <w:t xml:space="preserve">(Clark, 1973)</w:t>
      </w:r>
      <w:r>
        <w:t xml:space="preserve">, with which it fills the pre-registration analysis</w:t>
      </w:r>
      <w:r>
        <w:t xml:space="preserve"> </w:t>
      </w:r>
      <w:r>
        <w:t xml:space="preserve">plan. The datasheet also emits an auto-filled Methods paragraph and a</w:t>
      </w:r>
      <w:r>
        <w:t xml:space="preserve"> </w:t>
      </w:r>
      <w:r>
        <w:t xml:space="preserve">pre-registration template with its Materials section completed. This is a direct</w:t>
      </w:r>
      <w:r>
        <w:t xml:space="preserve"> </w:t>
      </w:r>
      <w:r>
        <w:t xml:space="preserve">response to the finding that experimental materials are rarely shared in a usable</w:t>
      </w:r>
      <w:r>
        <w:t xml:space="preserve"> </w:t>
      </w:r>
      <w:r>
        <w:t xml:space="preserve">form</w:t>
      </w:r>
      <w:r>
        <w:t xml:space="preserve"> </w:t>
      </w:r>
      <w:r>
        <w:t xml:space="preserve">(Bochynska et al., 2023; Roettger, 2019)</w:t>
      </w:r>
      <w:r>
        <w:t xml:space="preserve">: the materials, the</w:t>
      </w:r>
      <w:r>
        <w:t xml:space="preserve"> </w:t>
      </w:r>
      <w:r>
        <w:t xml:space="preserve">procedure and the record of how they were made travel together.</w:t>
      </w:r>
    </w:p>
    <w:bookmarkEnd w:id="13"/>
    <w:bookmarkStart w:id="14" w:name="hardware-time-locking"/>
    <w:p>
      <w:pPr>
        <w:pStyle w:val="Heading2"/>
      </w:pPr>
      <w:r>
        <w:t xml:space="preserve">Hardware time-locking</w:t>
      </w:r>
    </w:p>
    <w:p>
      <w:pPr>
        <w:pStyle w:val="FirstParagraph"/>
      </w:pPr>
      <w:r>
        <w:t xml:space="preserve">Of the three presentation targets the</w:t>
      </w:r>
      <w:r>
        <w:t xml:space="preserve"> </w:t>
      </w:r>
      <w:r>
        <w:t xml:space="preserve">‘scripting’</w:t>
      </w:r>
      <w:r>
        <w:t xml:space="preserve"> </w:t>
      </w:r>
      <w:r>
        <w:t xml:space="preserve">module emits from the same</w:t>
      </w:r>
      <w:r>
        <w:t xml:space="preserve"> </w:t>
      </w:r>
      <w:r>
        <w:t xml:space="preserve">matched stimuli, two drive laboratory hardware. The browser-based third is</w:t>
      </w:r>
      <w:r>
        <w:t xml:space="preserve"> </w:t>
      </w:r>
      <w:r>
        <w:t xml:space="preserve">described below. The</w:t>
      </w:r>
      <w:r>
        <w:t xml:space="preserve"> </w:t>
      </w:r>
      <w:r>
        <w:t xml:space="preserve">‘PsychoPy’</w:t>
      </w:r>
      <w:r>
        <w:t xml:space="preserve"> </w:t>
      </w:r>
      <w:r>
        <w:t xml:space="preserve">script binds each onset trigger to the</w:t>
      </w:r>
      <w:r>
        <w:t xml:space="preserve"> </w:t>
      </w:r>
      <w:r>
        <w:t xml:space="preserve">stimulus flip:</w:t>
      </w:r>
    </w:p>
    <w:p>
      <w:pPr>
        <w:pStyle w:val="SourceCode"/>
      </w:pPr>
      <w:r>
        <w:rPr>
          <w:rStyle w:val="NormalTok"/>
        </w:rPr>
        <w:t xml:space="preserve">win.callOnFlip(port.setData, target_trigger)   </w:t>
      </w:r>
      <w:r>
        <w:rPr>
          <w:rStyle w:val="CommentTok"/>
        </w:rPr>
        <w:t xml:space="preserve"># written on the onset flip</w:t>
      </w:r>
      <w:r>
        <w:br/>
      </w:r>
      <w:r>
        <w:rPr>
          <w:rStyle w:val="ControlFlowTok"/>
        </w:rPr>
        <w:t xml:space="preserve">for</w:t>
      </w:r>
      <w:r>
        <w:rPr>
          <w:rStyle w:val="NormalTok"/>
        </w:rPr>
        <w:t xml:space="preserve"> frame </w:t>
      </w:r>
      <w:r>
        <w:rPr>
          <w:rStyle w:val="KeywordTok"/>
        </w:rPr>
        <w:t xml:space="preserve">in</w:t>
      </w:r>
      <w:r>
        <w:rPr>
          <w:rStyle w:val="NormalTok"/>
        </w:rPr>
        <w:t xml:space="preserve"> </w:t>
      </w:r>
      <w:r>
        <w:rPr>
          <w:rStyle w:val="BuiltInTok"/>
        </w:rPr>
        <w:t xml:space="preserve">range</w:t>
      </w:r>
      <w:r>
        <w:rPr>
          <w:rStyle w:val="NormalTok"/>
        </w:rPr>
        <w:t xml:space="preserve">(WORD_DURATION_FRAMES):</w:t>
      </w:r>
      <w:r>
        <w:br/>
      </w:r>
      <w:r>
        <w:rPr>
          <w:rStyle w:val="NormalTok"/>
        </w:rPr>
        <w:t xml:space="preserve">    word_stim.draw()</w:t>
      </w:r>
      <w:r>
        <w:br/>
      </w:r>
      <w:r>
        <w:rPr>
          <w:rStyle w:val="NormalTok"/>
        </w:rPr>
        <w:t xml:space="preserve">    win.flip()</w:t>
      </w:r>
      <w:r>
        <w:br/>
      </w:r>
      <w:r>
        <w:rPr>
          <w:rStyle w:val="NormalTok"/>
        </w:rPr>
        <w:t xml:space="preserve">    </w:t>
      </w:r>
      <w:r>
        <w:rPr>
          <w:rStyle w:val="ControlFlowTok"/>
        </w:rPr>
        <w:t xml:space="preserve">if</w:t>
      </w:r>
      <w:r>
        <w:rPr>
          <w:rStyle w:val="NormalTok"/>
        </w:rPr>
        <w:t xml:space="preserve"> frame </w:t>
      </w:r>
      <w:r>
        <w:rPr>
          <w:rStyle w:val="OperatorTok"/>
        </w:rPr>
        <w:t xml:space="preserve">==</w:t>
      </w:r>
      <w:r>
        <w:rPr>
          <w:rStyle w:val="NormalTok"/>
        </w:rPr>
        <w:t xml:space="preserve"> RESET_AFTER_FRAMES:</w:t>
      </w:r>
      <w:r>
        <w:br/>
      </w:r>
      <w:r>
        <w:rPr>
          <w:rStyle w:val="NormalTok"/>
        </w:rPr>
        <w:t xml:space="preserve">        win.callOnFlip(port.setData, </w:t>
      </w:r>
      <w:r>
        <w:rPr>
          <w:rStyle w:val="DecValTok"/>
        </w:rPr>
        <w:t xml:space="preserve">0</w:t>
      </w:r>
      <w:r>
        <w:rPr>
          <w:rStyle w:val="NormalTok"/>
        </w:rPr>
        <w:t xml:space="preserve">)</w:t>
      </w:r>
    </w:p>
    <w:p>
      <w:pPr>
        <w:pStyle w:val="FirstParagraph"/>
      </w:pPr>
      <w:r>
        <w:t xml:space="preserve">A mock port prints the codes when no parallel-port driver is present, so the</w:t>
      </w:r>
      <w:r>
        <w:t xml:space="preserve"> </w:t>
      </w:r>
      <w:r>
        <w:t xml:space="preserve">script runs end to end with no hardware. The</w:t>
      </w:r>
      <w:r>
        <w:t xml:space="preserve"> </w:t>
      </w:r>
      <w:r>
        <w:t xml:space="preserve">‘OpenSesame’</w:t>
      </w:r>
      <w:r>
        <w:t xml:space="preserve"> </w:t>
      </w:r>
      <w:r>
        <w:t xml:space="preserve">export is a complete,</w:t>
      </w:r>
      <w:r>
        <w:t xml:space="preserve"> </w:t>
      </w:r>
      <w:r>
        <w:t xml:space="preserve">plain-text</w:t>
      </w:r>
      <w:r>
        <w:t xml:space="preserve"> </w:t>
      </w:r>
      <w:r>
        <w:rPr>
          <w:rStyle w:val="VerbatimChar"/>
        </w:rPr>
        <w:t xml:space="preserve">.osexp</w:t>
      </w:r>
      <w:r>
        <w:t xml:space="preserve">, generated programmatically so that its tab-sensitive format</w:t>
      </w:r>
      <w:r>
        <w:t xml:space="preserve"> </w:t>
      </w:r>
      <w:r>
        <w:t xml:space="preserve">is always valid and modelled on a proven-working experiment from</w:t>
      </w:r>
      <w:r>
        <w:t xml:space="preserve"> </w:t>
      </w:r>
      <w:r>
        <w:t xml:space="preserve">González Alonso et al. (2025)</w:t>
      </w:r>
      <w:r>
        <w:t xml:space="preserve">. In it the word is drawn and shown from an inline script,</w:t>
      </w:r>
      <w:r>
        <w:t xml:space="preserve"> </w:t>
      </w:r>
      <w:r>
        <w:t xml:space="preserve">and the marker is sent as soon as</w:t>
      </w:r>
      <w:r>
        <w:t xml:space="preserve"> </w:t>
      </w:r>
      <w:r>
        <w:rPr>
          <w:rStyle w:val="VerbatimChar"/>
        </w:rPr>
        <w:t xml:space="preserve">show()</w:t>
      </w:r>
      <w:r>
        <w:t xml:space="preserve"> </w:t>
      </w:r>
      <w:r>
        <w:t xml:space="preserve">returns, supporting both a</w:t>
      </w:r>
      <w:r>
        <w:t xml:space="preserve"> </w:t>
      </w:r>
      <w:r>
        <w:t xml:space="preserve">parallel-port and a serial backend with a test-mode fallback. Because</w:t>
      </w:r>
      <w:r>
        <w:t xml:space="preserve"> </w:t>
      </w:r>
      <w:r>
        <w:rPr>
          <w:rStyle w:val="VerbatimChar"/>
        </w:rPr>
        <w:t xml:space="preserve">show()</w:t>
      </w:r>
      <w:r>
        <w:t xml:space="preserve"> </w:t>
      </w:r>
      <w:r>
        <w:t xml:space="preserve">blocks until the display refresh, that marker follows the verified flip, which is</w:t>
      </w:r>
      <w:r>
        <w:t xml:space="preserve"> </w:t>
      </w:r>
      <w:r>
        <w:t xml:space="preserve">the method the platform recommends. Both laboratory targets are therefore</w:t>
      </w:r>
      <w:r>
        <w:t xml:space="preserve"> </w:t>
      </w:r>
      <w:r>
        <w:t xml:space="preserve">time-locked to stimulus onset, though we recommend a photodiode check in either</w:t>
      </w:r>
      <w:r>
        <w:t xml:space="preserve"> </w:t>
      </w:r>
      <w:r>
        <w:t xml:space="preserve">case. Neither the matching nor the script</w:t>
      </w:r>
      <w:r>
        <w:t xml:space="preserve"> </w:t>
      </w:r>
      <w:r>
        <w:t xml:space="preserve">generation imports</w:t>
      </w:r>
      <w:r>
        <w:t xml:space="preserve"> </w:t>
      </w:r>
      <w:r>
        <w:t xml:space="preserve">‘PsychoPy’</w:t>
      </w:r>
      <w:r>
        <w:t xml:space="preserve"> </w:t>
      </w:r>
      <w:r>
        <w:t xml:space="preserve">or any serial library: generation only writes text, and the</w:t>
      </w:r>
      <w:r>
        <w:t xml:space="preserve"> </w:t>
      </w:r>
      <w:r>
        <w:t xml:space="preserve">presentation software is needed solely at run time.</w:t>
      </w:r>
    </w:p>
    <w:bookmarkEnd w:id="14"/>
    <w:bookmarkStart w:id="15" w:name="X6829ce20097d7c548bcccabf6ac7a3853417634"/>
    <w:p>
      <w:pPr>
        <w:pStyle w:val="Heading2"/>
      </w:pPr>
      <w:r>
        <w:t xml:space="preserve">Paradigm generality: the trial-event model</w:t>
      </w:r>
    </w:p>
    <w:p>
      <w:pPr>
        <w:pStyle w:val="FirstParagraph"/>
      </w:pPr>
      <w:r>
        <w:t xml:space="preserve">The original workflow built one kind of trial (a fixation cross, a single word</w:t>
      </w:r>
      <w:r>
        <w:t xml:space="preserve"> </w:t>
      </w:r>
      <w:r>
        <w:t xml:space="preserve">and a response) and wrote it into the experiment by hand.</w:t>
      </w:r>
      <w:r>
        <w:t xml:space="preserve"> </w:t>
      </w:r>
      <w:r>
        <w:t xml:space="preserve">‘lexsync’</w:t>
      </w:r>
      <w:r>
        <w:t xml:space="preserve"> </w:t>
      </w:r>
      <w:r>
        <w:t xml:space="preserve">replaces that</w:t>
      </w:r>
      <w:r>
        <w:t xml:space="preserve"> </w:t>
      </w:r>
      <w:r>
        <w:t xml:space="preserve">fixed structure with a declarative one. A trial is an ordered list of</w:t>
      </w:r>
      <w:r>
        <w:t xml:space="preserve"> </w:t>
      </w:r>
      <w:r>
        <w:rPr>
          <w:i/>
          <w:iCs/>
        </w:rPr>
        <w:t xml:space="preserve">events</w:t>
      </w:r>
      <w:r>
        <w:t xml:space="preserve">,</w:t>
      </w:r>
      <w:r>
        <w:t xml:space="preserve"> </w:t>
      </w:r>
      <w:r>
        <w:t xml:space="preserve">each a small record naming its type (a fixation, a piece of text, a mask, a blank</w:t>
      </w:r>
      <w:r>
        <w:t xml:space="preserve"> </w:t>
      </w:r>
      <w:r>
        <w:t xml:space="preserve">interval, a region-by-region passage, a response or a comprehension question), its</w:t>
      </w:r>
      <w:r>
        <w:t xml:space="preserve"> </w:t>
      </w:r>
      <w:r>
        <w:t xml:space="preserve">content (a literal such as a fixation cross, or a reference to a field of the</w:t>
      </w:r>
      <w:r>
        <w:t xml:space="preserve"> </w:t>
      </w:r>
      <w:r>
        <w:t xml:space="preserve">trial such as the target word or the sentence), its duration, and an optional EEG</w:t>
      </w:r>
      <w:r>
        <w:t xml:space="preserve"> </w:t>
      </w:r>
      <w:r>
        <w:t xml:space="preserve">trigger that may be locked to the event’s onset. A</w:t>
      </w:r>
      <w:r>
        <w:t xml:space="preserve"> </w:t>
      </w:r>
      <w:r>
        <w:rPr>
          <w:i/>
          <w:iCs/>
        </w:rPr>
        <w:t xml:space="preserve">paradigm</w:t>
      </w:r>
      <w:r>
        <w:t xml:space="preserve"> </w:t>
      </w:r>
      <w:r>
        <w:t xml:space="preserve">is a named</w:t>
      </w:r>
      <w:r>
        <w:t xml:space="preserve"> </w:t>
      </w:r>
      <w:r>
        <w:t xml:space="preserve">default sequence of such events together with the trial fields it requires; a</w:t>
      </w:r>
      <w:r>
        <w:t xml:space="preserve"> </w:t>
      </w:r>
      <w:r>
        <w:t xml:space="preserve">design either selects a paradigm or supplies its own event list. All three</w:t>
      </w:r>
      <w:r>
        <w:t xml:space="preserve"> </w:t>
      </w:r>
      <w:r>
        <w:t xml:space="preserve">presentation backends iterate the same list. The</w:t>
      </w:r>
      <w:r>
        <w:t xml:space="preserve"> </w:t>
      </w:r>
      <w:r>
        <w:t xml:space="preserve">‘PsychoPy’</w:t>
      </w:r>
      <w:r>
        <w:t xml:space="preserve"> </w:t>
      </w:r>
      <w:r>
        <w:t xml:space="preserve">script interprets it</w:t>
      </w:r>
      <w:r>
        <w:t xml:space="preserve"> </w:t>
      </w:r>
      <w:r>
        <w:t xml:space="preserve">at run time, the</w:t>
      </w:r>
      <w:r>
        <w:t xml:space="preserve"> </w:t>
      </w:r>
      <w:r>
        <w:t xml:space="preserve">‘OpenSesame’</w:t>
      </w:r>
      <w:r>
        <w:t xml:space="preserve"> </w:t>
      </w:r>
      <w:r>
        <w:t xml:space="preserve">generator emits one block per event, and the</w:t>
      </w:r>
      <w:r>
        <w:t xml:space="preserve"> </w:t>
      </w:r>
      <w:r>
        <w:t xml:space="preserve">‘jsPsych’</w:t>
      </w:r>
      <w:r>
        <w:t xml:space="preserve"> </w:t>
      </w:r>
      <w:r>
        <w:t xml:space="preserve">generator builds a browser timeline from it. Adding a paradigm is</w:t>
      </w:r>
      <w:r>
        <w:t xml:space="preserve"> </w:t>
      </w:r>
      <w:r>
        <w:t xml:space="preserve">therefore a matter of configuration rather than backend code, and the targets stay</w:t>
      </w:r>
      <w:r>
        <w:t xml:space="preserve"> </w:t>
      </w:r>
      <w:r>
        <w:t xml:space="preserve">in step by construction. The</w:t>
      </w:r>
      <w:r>
        <w:t xml:space="preserve"> </w:t>
      </w:r>
      <w:r>
        <w:t xml:space="preserve">‘jsPsych’</w:t>
      </w:r>
      <w:r>
        <w:t xml:space="preserve"> </w:t>
      </w:r>
      <w:r>
        <w:t xml:space="preserve">target is a single shareable HTML file</w:t>
      </w:r>
      <w:r>
        <w:t xml:space="preserve"> </w:t>
      </w:r>
      <w:r>
        <w:t xml:space="preserve">(the jsPsych library itself loads from a content delivery network) that runs</w:t>
      </w:r>
      <w:r>
        <w:t xml:space="preserve"> </w:t>
      </w:r>
      <w:r>
        <w:t xml:space="preserve">in any modern browser, letting anyone reproduce the exact procedure online from the</w:t>
      </w:r>
      <w:r>
        <w:t xml:space="preserve"> </w:t>
      </w:r>
      <w:r>
        <w:t xml:space="preserve">same materials; because a browser cannot drive a parallel port, each onset marker</w:t>
      </w:r>
      <w:r>
        <w:t xml:space="preserve"> </w:t>
      </w:r>
      <w:r>
        <w:t xml:space="preserve">is recorded in the trial’s data rather than written to hardware (online EEG</w:t>
      </w:r>
      <w:r>
        <w:t xml:space="preserve"> </w:t>
      </w:r>
      <w:r>
        <w:t xml:space="preserve">synchronisation would route it through WebSerial or a photodiode). Stimulus text is always written as data into the conditions file the</w:t>
      </w:r>
      <w:r>
        <w:t xml:space="preserve"> </w:t>
      </w:r>
      <w:r>
        <w:t xml:space="preserve">experiment reads, never interpolated into the generated code, and every value is</w:t>
      </w:r>
      <w:r>
        <w:t xml:space="preserve"> </w:t>
      </w:r>
      <w:r>
        <w:t xml:space="preserve">validated (no control characters; bounded length) before it is written, so a</w:t>
      </w:r>
      <w:r>
        <w:t xml:space="preserve"> </w:t>
      </w:r>
      <w:r>
        <w:t xml:space="preserve">malformed item cannot corrupt a script.</w:t>
      </w:r>
    </w:p>
    <w:p>
      <w:pPr>
        <w:pStyle w:val="BodyText"/>
      </w:pPr>
      <w:r>
        <w:t xml:space="preserve">Items reach a design from one of three sources. The corpus source is the matching</w:t>
      </w:r>
      <w:r>
        <w:t xml:space="preserve"> </w:t>
      </w:r>
      <w:r>
        <w:t xml:space="preserve">engine described above. The</w:t>
      </w:r>
      <w:r>
        <w:t xml:space="preserve"> </w:t>
      </w:r>
      <w:r>
        <w:rPr>
          <w:i/>
          <w:iCs/>
        </w:rPr>
        <w:t xml:space="preserve">table</w:t>
      </w:r>
      <w:r>
        <w:t xml:space="preserve"> </w:t>
      </w:r>
      <w:r>
        <w:t xml:space="preserve">source loads a user-supplied set of items</w:t>
      </w:r>
      <w:r>
        <w:t xml:space="preserve"> </w:t>
      </w:r>
      <w:r>
        <w:t xml:space="preserve">(prime–target pairs, or sentences segmented into regions with a comprehension</w:t>
      </w:r>
      <w:r>
        <w:t xml:space="preserve"> </w:t>
      </w:r>
      <w:r>
        <w:t xml:space="preserve">question), validated against the paradigm’s required fields and counterbalanced by</w:t>
      </w:r>
      <w:r>
        <w:t xml:space="preserve"> </w:t>
      </w:r>
      <w:r>
        <w:t xml:space="preserve">a Latin square that shows each item once per list in a rotated condition, so a</w:t>
      </w:r>
      <w:r>
        <w:t xml:space="preserve"> </w:t>
      </w:r>
      <w:r>
        <w:t xml:space="preserve">target is never repeated within a list. The</w:t>
      </w:r>
      <w:r>
        <w:t xml:space="preserve"> </w:t>
      </w:r>
      <w:r>
        <w:rPr>
          <w:i/>
          <w:iCs/>
        </w:rPr>
        <w:t xml:space="preserve">generate</w:t>
      </w:r>
      <w:r>
        <w:t xml:space="preserve"> </w:t>
      </w:r>
      <w:r>
        <w:t xml:space="preserve">source builds pseudowords,</w:t>
      </w:r>
      <w:r>
        <w:t xml:space="preserve"> </w:t>
      </w:r>
      <w:r>
        <w:t xml:space="preserve">by one of two methods set in</w:t>
      </w:r>
      <w:r>
        <w:t xml:space="preserve"> </w:t>
      </w:r>
      <w:r>
        <w:rPr>
          <w:rStyle w:val="VerbatimChar"/>
        </w:rPr>
        <w:t xml:space="preserve">items.generation.method</w:t>
      </w:r>
      <w:r>
        <w:t xml:space="preserve">. The default,</w:t>
      </w:r>
      <w:r>
        <w:t xml:space="preserve"> </w:t>
      </w:r>
      <w:r>
        <w:rPr>
          <w:rStyle w:val="VerbatimChar"/>
        </w:rPr>
        <w:t xml:space="preserve">letter_substitution</w:t>
      </w:r>
      <w:r>
        <w:t xml:space="preserve">, derives a length-matched, orthographically legal non-word</w:t>
      </w:r>
      <w:r>
        <w:t xml:space="preserve"> </w:t>
      </w:r>
      <w:r>
        <w:t xml:space="preserve">for each real word by changing the fewest letters such that every resulting</w:t>
      </w:r>
      <w:r>
        <w:t xml:space="preserve"> </w:t>
      </w:r>
      <w:r>
        <w:t xml:space="preserve">letter bigram is attested in the corpus and the form is not itself a word,</w:t>
      </w:r>
      <w:r>
        <w:t xml:space="preserve"> </w:t>
      </w:r>
      <w:r>
        <w:t xml:space="preserve">choosing among the legal candidates the most bigram-plausible with a byte-order</w:t>
      </w:r>
      <w:r>
        <w:t xml:space="preserve"> </w:t>
      </w:r>
      <w:r>
        <w:t xml:space="preserve">tie-break. The alternative,</w:t>
      </w:r>
      <w:r>
        <w:t xml:space="preserve"> </w:t>
      </w:r>
      <w:r>
        <w:rPr>
          <w:rStyle w:val="VerbatimChar"/>
        </w:rPr>
        <w:t xml:space="preserve">subsyllabic</w:t>
      </w:r>
      <w:r>
        <w:t xml:space="preserve">, splits each word into onset, nucleus</w:t>
      </w:r>
      <w:r>
        <w:t xml:space="preserve"> </w:t>
      </w:r>
      <w:r>
        <w:t xml:space="preserve">and coda constituents and swaps whole constituents for attested alternatives of</w:t>
      </w:r>
      <w:r>
        <w:t xml:space="preserve"> </w:t>
      </w:r>
      <w:r>
        <w:t xml:space="preserve">the same role and length, so that the pseudoword keeps the syllabic structure of</w:t>
      </w:r>
      <w:r>
        <w:t xml:space="preserve"> </w:t>
      </w:r>
      <w:r>
        <w:t xml:space="preserve">its base. Both are deterministic orthographic approximations of</w:t>
      </w:r>
      <w:r>
        <w:t xml:space="preserve"> </w:t>
      </w:r>
      <w:r>
        <w:t xml:space="preserve">‘Wuggy’</w:t>
      </w:r>
      <w:r>
        <w:t xml:space="preserve"> </w:t>
      </w:r>
      <w:r>
        <w:t xml:space="preserve">(Keuleers &amp; Brysbaert, 2010)</w:t>
      </w:r>
      <w:r>
        <w:t xml:space="preserve"> </w:t>
      </w:r>
      <w:r>
        <w:t xml:space="preserve">that add two guarantees of their own: length is matched</w:t>
      </w:r>
      <w:r>
        <w:t xml:space="preserve"> </w:t>
      </w:r>
      <w:r>
        <w:t xml:space="preserve">exactly, and the R and Python engines return byte-identical output.</w:t>
      </w:r>
    </w:p>
    <w:bookmarkEnd w:id="15"/>
    <w:bookmarkStart w:id="16" w:name="reproducibility-and-fair-compliance"/>
    <w:p>
      <w:pPr>
        <w:pStyle w:val="Heading2"/>
      </w:pPr>
      <w:r>
        <w:t xml:space="preserve">Reproducibility and FAIR compliance</w:t>
      </w:r>
    </w:p>
    <w:p>
      <w:pPr>
        <w:pStyle w:val="FirstParagraph"/>
      </w:pPr>
      <w:r>
        <w:t xml:space="preserve">‘lexsync’</w:t>
      </w:r>
      <w:r>
        <w:t xml:space="preserve"> </w:t>
      </w:r>
      <w:r>
        <w:t xml:space="preserve">declares its dependencies in a</w:t>
      </w:r>
      <w:r>
        <w:t xml:space="preserve"> </w:t>
      </w:r>
      <w:r>
        <w:rPr>
          <w:rStyle w:val="VerbatimChar"/>
        </w:rPr>
        <w:t xml:space="preserve">DESCRIPTION</w:t>
      </w:r>
      <w:r>
        <w:t xml:space="preserve"> </w:t>
      </w:r>
      <w:r>
        <w:t xml:space="preserve">file for R and pinned requirements for Python, sets</w:t>
      </w:r>
      <w:r>
        <w:t xml:space="preserve"> </w:t>
      </w:r>
      <w:r>
        <w:t xml:space="preserve">seeds from a single configuration file, and carries a</w:t>
      </w:r>
      <w:r>
        <w:t xml:space="preserve"> </w:t>
      </w:r>
      <w:r>
        <w:t xml:space="preserve">‘CITATION.cff’</w:t>
      </w:r>
      <w:r>
        <w:t xml:space="preserve">, an MIT</w:t>
      </w:r>
      <w:r>
        <w:t xml:space="preserve"> </w:t>
      </w:r>
      <w:r>
        <w:t xml:space="preserve">licence for the code and CC BY-SA terms for the bundled corpus derivatives with</w:t>
      </w:r>
      <w:r>
        <w:t xml:space="preserve"> </w:t>
      </w:r>
      <w:r>
        <w:t xml:space="preserve">full attribution. The R package passes</w:t>
      </w:r>
      <w:r>
        <w:t xml:space="preserve"> </w:t>
      </w:r>
      <w:r>
        <w:rPr>
          <w:rStyle w:val="VerbatimChar"/>
        </w:rPr>
        <w:t xml:space="preserve">R CMD check --as-cran</w:t>
      </w:r>
      <w:r>
        <w:t xml:space="preserve">; the Python package</w:t>
      </w:r>
      <w:r>
        <w:t xml:space="preserve"> </w:t>
      </w:r>
      <w:r>
        <w:t xml:space="preserve">builds a wheel and a source distribution that pass</w:t>
      </w:r>
      <w:r>
        <w:t xml:space="preserve"> </w:t>
      </w:r>
      <w:r>
        <w:rPr>
          <w:rStyle w:val="VerbatimChar"/>
        </w:rPr>
        <w:t xml:space="preserve">twine check</w:t>
      </w:r>
      <w:r>
        <w:t xml:space="preserve">. Both ship unit</w:t>
      </w:r>
      <w:r>
        <w:t xml:space="preserve"> </w:t>
      </w:r>
      <w:r>
        <w:t xml:space="preserve">test suites, including a mock-engine test that confirms the generated</w:t>
      </w:r>
      <w:r>
        <w:t xml:space="preserve"> </w:t>
      </w:r>
      <w:r>
        <w:t xml:space="preserve">‘PsychoPy’</w:t>
      </w:r>
      <w:r>
        <w:t xml:space="preserve"> </w:t>
      </w:r>
      <w:r>
        <w:t xml:space="preserve">script writes its onset trigger on the word’s first flip and a structural</w:t>
      </w:r>
      <w:r>
        <w:t xml:space="preserve"> </w:t>
      </w:r>
      <w:r>
        <w:t xml:space="preserve">validator for the generated</w:t>
      </w:r>
      <w:r>
        <w:t xml:space="preserve"> </w:t>
      </w:r>
      <w:r>
        <w:rPr>
          <w:rStyle w:val="VerbatimChar"/>
        </w:rPr>
        <w:t xml:space="preserve">.osexp</w:t>
      </w:r>
      <w:r>
        <w:t xml:space="preserve">.</w:t>
      </w:r>
    </w:p>
    <w:bookmarkEnd w:id="16"/>
    <w:bookmarkEnd w:id="17"/>
    <w:bookmarkStart w:id="32" w:name="worked-examples"/>
    <w:p>
      <w:pPr>
        <w:pStyle w:val="Heading1"/>
      </w:pPr>
      <w:r>
        <w:t xml:space="preserve">Worked examples</w:t>
      </w:r>
    </w:p>
    <w:p>
      <w:pPr>
        <w:pStyle w:val="FirstParagraph"/>
      </w:pPr>
      <w:r>
        <w:t xml:space="preserve">We illustrate</w:t>
      </w:r>
      <w:r>
        <w:t xml:space="preserve"> </w:t>
      </w:r>
      <w:r>
        <w:t xml:space="preserve">‘lexsync’</w:t>
      </w:r>
      <w:r>
        <w:t xml:space="preserve"> </w:t>
      </w:r>
      <w:r>
        <w:t xml:space="preserve">with twelve demonstrations. The first six are</w:t>
      </w:r>
      <w:r>
        <w:t xml:space="preserve"> </w:t>
      </w:r>
      <w:r>
        <w:t xml:space="preserve">corpus-matched word contrasts; the next three exercise other paradigms; and the</w:t>
      </w:r>
      <w:r>
        <w:t xml:space="preserve"> </w:t>
      </w:r>
      <w:r>
        <w:t xml:space="preserve">final three reproduce designs from the published literature (see</w:t>
      </w:r>
      <w:r>
        <w:t xml:space="preserve"> </w:t>
      </w:r>
      <w:r>
        <w:rPr>
          <w:i/>
          <w:iCs/>
        </w:rPr>
        <w:t xml:space="preserve">Reproducing</w:t>
      </w:r>
      <w:r>
        <w:rPr>
          <w:i/>
          <w:iCs/>
        </w:rPr>
        <w:t xml:space="preserve"> </w:t>
      </w:r>
      <w:r>
        <w:rPr>
          <w:i/>
          <w:iCs/>
        </w:rPr>
        <w:t xml:space="preserve">published designs</w:t>
      </w:r>
      <w:r>
        <w:t xml:space="preserve">, below). The first four</w:t>
      </w:r>
      <w:r>
        <w:t xml:space="preserve"> </w:t>
      </w:r>
      <w:r>
        <w:t xml:space="preserve">matched contrasts cross two alphabetic languages: a high- versus low-frequency</w:t>
      </w:r>
      <w:r>
        <w:t xml:space="preserve"> </w:t>
      </w:r>
      <w:r>
        <w:t xml:space="preserve">contrast and a dense- versus sparse-neighbourhood contrast, each in English and</w:t>
      </w:r>
      <w:r>
        <w:t xml:space="preserve"> </w:t>
      </w:r>
      <w:r>
        <w:t xml:space="preserve">in Spanish, drawn from thirty-thousand-word lexica. The frequency contrast matches items on</w:t>
      </w:r>
      <w:r>
        <w:t xml:space="preserve"> </w:t>
      </w:r>
      <w:r>
        <w:t xml:space="preserve">length, neighbourhood density and OLD20; the neighbourhood contrast matches on</w:t>
      </w:r>
      <w:r>
        <w:t xml:space="preserve"> </w:t>
      </w:r>
      <w:r>
        <w:t xml:space="preserve">length and frequency. The fifth is a high- versus low-frequency contrast in</w:t>
      </w:r>
      <w:r>
        <w:t xml:space="preserve"> </w:t>
      </w:r>
      <w:r>
        <w:t xml:space="preserve">Mandarin Chinese, included to show that the pipeline generalises to a logographic</w:t>
      </w:r>
      <w:r>
        <w:t xml:space="preserve"> </w:t>
      </w:r>
      <w:r>
        <w:t xml:space="preserve">writing system (see</w:t>
      </w:r>
      <w:r>
        <w:t xml:space="preserve"> </w:t>
      </w:r>
      <w:r>
        <w:rPr>
          <w:i/>
          <w:iCs/>
        </w:rPr>
        <w:t xml:space="preserve">Generalisation to a logographic script</w:t>
      </w:r>
      <w:r>
        <w:t xml:space="preserve">, below). The sixth,</w:t>
      </w:r>
      <w:r>
        <w:t xml:space="preserve"> </w:t>
      </w:r>
      <w:r>
        <w:t xml:space="preserve">a further English contrast, additionally equates an orthographic syllable estimate and a</w:t>
      </w:r>
      <w:r>
        <w:t xml:space="preserve"> </w:t>
      </w:r>
      <w:r>
        <w:t xml:space="preserve">bigram-frequency measure, exercising the richer dimensions introduced with the</w:t>
      </w:r>
      <w:r>
        <w:t xml:space="preserve"> </w:t>
      </w:r>
      <w:r>
        <w:t xml:space="preserve">matching algorithm above. The remaining three (lexical decision, priming and</w:t>
      </w:r>
      <w:r>
        <w:t xml:space="preserve"> </w:t>
      </w:r>
      <w:r>
        <w:t xml:space="preserve">self-paced reading) show the trial-event model carrying word, pseudoword, paired</w:t>
      </w:r>
      <w:r>
        <w:t xml:space="preserve"> </w:t>
      </w:r>
      <w:r>
        <w:t xml:space="preserve">and sentence stimuli (see</w:t>
      </w:r>
      <w:r>
        <w:t xml:space="preserve"> </w:t>
      </w:r>
      <w:r>
        <w:rPr>
          <w:i/>
          <w:iCs/>
        </w:rPr>
        <w:t xml:space="preserve">Beyond word lists</w:t>
      </w:r>
      <w:r>
        <w:t xml:space="preserve">, below). Each demonstration was</w:t>
      </w:r>
      <w:r>
        <w:t xml:space="preserve"> </w:t>
      </w:r>
      <w:r>
        <w:t xml:space="preserve">produced by both the R and the Python engine. All tables and figures in this</w:t>
      </w:r>
      <w:r>
        <w:t xml:space="preserve"> </w:t>
      </w:r>
      <w:r>
        <w:t xml:space="preserve">section are computed at render time from the generated output.</w:t>
      </w:r>
      <w:r>
        <w:t xml:space="preserve"> </w:t>
      </w:r>
      <w:hyperlink w:anchor="tbl-summary">
        <w:r>
          <w:rPr>
            <w:rStyle w:val="Hyperlink"/>
          </w:rPr>
          <w:t xml:space="preserve">Table 1</w:t>
        </w:r>
      </w:hyperlink>
      <w:r>
        <w:t xml:space="preserve"> </w:t>
      </w:r>
      <w:r>
        <w:t xml:space="preserve">summarises the five frequency and neighbourhood contrasts, for which a</w:t>
      </w:r>
      <w:r>
        <w:t xml:space="preserve"> </w:t>
      </w:r>
      <w:r>
        <w:t xml:space="preserve">controlled-versus-manipulated report is defined. The remaining demonstrations</w:t>
      </w:r>
      <w:r>
        <w:t xml:space="preserve"> </w:t>
      </w:r>
      <w:r>
        <w:t xml:space="preserve">are described in their own sections.</w:t>
      </w:r>
    </w:p>
    <w:tbl>
      <w:tblPr>
        <w:tblStyle w:val="Table"/>
        <w:tblW w:type="pct" w:w="5000"/>
        <w:tblLayout w:type="fixed"/>
        <w:tblLook w:firstRow="0" w:lastRow="0" w:firstColumn="0" w:lastColumn="0" w:noHBand="0" w:noVBand="0" w:val="0000"/>
      </w:tblPr>
      <w:tblGrid>
        <w:gridCol w:w="7920"/>
      </w:tblGrid>
      <w:tr>
        <w:tc>
          <w:tcPr/>
          <w:bookmarkStart w:id="18" w:name="tbl-summary"/>
          <w:p>
            <w:pPr>
              <w:jc w:val="center"/>
            </w:pPr>
            <w:pPr>
              <w:jc w:val="left"/>
              <w:spacing w:before="200"/>
              <w:pStyle w:val="ImageCaption"/>
            </w:pPr>
            <w:r>
              <w:t xml:space="preserve">Table 1:</w:t>
            </w:r>
            <w:r>
              <w:t xml:space="preserve"> </w:t>
            </w:r>
            <w:r>
              <w:rPr>
                <w:i/>
                <w:iCs/>
              </w:rPr>
              <w:t xml:space="preserve">Manipulated and Controlled Standardised Mean Differences by Demonstration.</w:t>
            </w:r>
            <w:r>
              <w:t xml:space="preserve"> </w:t>
            </w:r>
            <w:r>
              <w:rPr>
                <w:i/>
                <w:iCs/>
              </w:rPr>
              <w:t xml:space="preserve">Note.</w:t>
            </w:r>
            <w:r>
              <w:t xml:space="preserve"> </w:t>
            </w:r>
            <w:r>
              <w:t xml:space="preserve">Each demonstration, its manipulated dimension and the absolute standardised mean difference (Cohen’s</w:t>
            </w:r>
            <w:r>
              <w:t xml:space="preserve"> </w:t>
            </w:r>
            <w:r>
              <w:rPr>
                <w:i/>
                <w:iCs/>
              </w:rPr>
              <w:t xml:space="preserve">d</w:t>
            </w:r>
            <w:r>
              <w:t xml:space="preserve">) of the manipulated dimension and of the most-different controlled dimension. The manipulation is large in every case; the controlled dimensions remain small.</w:t>
            </w:r>
          </w:p>
          <w:tbl>
            <w:tblPr>
              <w:tblStyle w:val="Table"/>
              <w:tblW w:type="pct" w:w="5000"/>
              <w:tblLayout w:type="fixed"/>
              <w:tblLook w:firstRow="1" w:lastRow="0" w:firstColumn="0" w:lastColumn="0" w:noHBand="0" w:noVBand="0" w:val="0020"/>
            </w:tblPr>
            <w:tblGrid>
              <w:gridCol w:w="2242"/>
              <w:gridCol w:w="1541"/>
              <w:gridCol w:w="1822"/>
              <w:gridCol w:w="2312"/>
            </w:tblGrid>
            <w:tr>
              <w:trPr>
                <w:tblHeader w:val="on"/>
              </w:trPr>
              <w:tc>
                <w:tcPr/>
                <w:p>
                  <w:pPr>
                    <w:pStyle w:val="Compact"/>
                    <w:jc w:val="left"/>
                    <w:jc w:val="center"/>
                  </w:pPr>
                  <w:r>
                    <w:t xml:space="preserve">Demonstration</w:t>
                  </w:r>
                </w:p>
              </w:tc>
              <w:tc>
                <w:tcPr/>
                <w:p>
                  <w:pPr>
                    <w:pStyle w:val="Compact"/>
                    <w:jc w:val="left"/>
                    <w:jc w:val="center"/>
                  </w:pPr>
                  <w:r>
                    <w:t xml:space="preserve">Manipulated dimension</w:t>
                  </w:r>
                </w:p>
              </w:tc>
              <w:tc>
                <w:tcPr/>
                <w:p>
                  <w:pPr>
                    <w:pStyle w:val="Compact"/>
                    <w:jc w:val="right"/>
                    <w:jc w:val="center"/>
                  </w:pPr>
                  <w:r>
                    <w:t xml:space="preserve">|d| manipulated</w:t>
                  </w:r>
                </w:p>
              </w:tc>
              <w:tc>
                <w:tcPr/>
                <w:p>
                  <w:pPr>
                    <w:pStyle w:val="Compact"/>
                    <w:jc w:val="right"/>
                    <w:jc w:val="center"/>
                  </w:pPr>
                  <w:r>
                    <w:t xml:space="preserve">largest |d| controlled</w:t>
                  </w:r>
                </w:p>
              </w:tc>
            </w:tr>
            <w:tr>
              <w:tc>
                <w:tcPr/>
                <w:p>
                  <w:pPr>
                    <w:pStyle w:val="Compact"/>
                    <w:jc w:val="left"/>
                    <w:jc w:val="center"/>
                  </w:pPr>
                  <w:r>
                    <w:t xml:space="preserve">English: frequency contrast</w:t>
                  </w:r>
                </w:p>
              </w:tc>
              <w:tc>
                <w:tcPr/>
                <w:p>
                  <w:pPr>
                    <w:pStyle w:val="Compact"/>
                    <w:jc w:val="left"/>
                    <w:jc w:val="center"/>
                  </w:pPr>
                  <w:r>
                    <w:t xml:space="preserve">Frequency (Zipf)</w:t>
                  </w:r>
                </w:p>
              </w:tc>
              <w:tc>
                <w:tcPr/>
                <w:p>
                  <w:pPr>
                    <w:pStyle w:val="Compact"/>
                    <w:jc w:val="right"/>
                    <w:jc w:val="center"/>
                  </w:pPr>
                  <w:r>
                    <w:t xml:space="preserve">5.27</w:t>
                  </w:r>
                </w:p>
              </w:tc>
              <w:tc>
                <w:tcPr/>
                <w:p>
                  <w:pPr>
                    <w:pStyle w:val="Compact"/>
                    <w:jc w:val="right"/>
                    <w:jc w:val="center"/>
                  </w:pPr>
                  <w:r>
                    <w:t xml:space="preserve">0.04</w:t>
                  </w:r>
                </w:p>
              </w:tc>
            </w:tr>
            <w:tr>
              <w:tc>
                <w:tcPr/>
                <w:p>
                  <w:pPr>
                    <w:pStyle w:val="Compact"/>
                    <w:jc w:val="left"/>
                    <w:jc w:val="center"/>
                  </w:pPr>
                  <w:r>
                    <w:t xml:space="preserve">English: neighbourhood contrast</w:t>
                  </w:r>
                </w:p>
              </w:tc>
              <w:tc>
                <w:tcPr/>
                <w:p>
                  <w:pPr>
                    <w:pStyle w:val="Compact"/>
                    <w:jc w:val="left"/>
                    <w:jc w:val="center"/>
                  </w:pPr>
                  <w:r>
                    <w:t xml:space="preserve">Neighbourhood N</w:t>
                  </w:r>
                </w:p>
              </w:tc>
              <w:tc>
                <w:tcPr/>
                <w:p>
                  <w:pPr>
                    <w:pStyle w:val="Compact"/>
                    <w:jc w:val="right"/>
                    <w:jc w:val="center"/>
                  </w:pPr>
                  <w:r>
                    <w:t xml:space="preserve">3.11</w:t>
                  </w:r>
                </w:p>
              </w:tc>
              <w:tc>
                <w:tcPr/>
                <w:p>
                  <w:pPr>
                    <w:pStyle w:val="Compact"/>
                    <w:jc w:val="right"/>
                    <w:jc w:val="center"/>
                  </w:pPr>
                  <w:r>
                    <w:t xml:space="preserve">0.00</w:t>
                  </w:r>
                </w:p>
              </w:tc>
            </w:tr>
            <w:tr>
              <w:tc>
                <w:tcPr/>
                <w:p>
                  <w:pPr>
                    <w:pStyle w:val="Compact"/>
                    <w:jc w:val="left"/>
                    <w:jc w:val="center"/>
                  </w:pPr>
                  <w:r>
                    <w:t xml:space="preserve">Spanish: frequency contrast</w:t>
                  </w:r>
                </w:p>
              </w:tc>
              <w:tc>
                <w:tcPr/>
                <w:p>
                  <w:pPr>
                    <w:pStyle w:val="Compact"/>
                    <w:jc w:val="left"/>
                    <w:jc w:val="center"/>
                  </w:pPr>
                  <w:r>
                    <w:t xml:space="preserve">Frequency (Zipf)</w:t>
                  </w:r>
                </w:p>
              </w:tc>
              <w:tc>
                <w:tcPr/>
                <w:p>
                  <w:pPr>
                    <w:pStyle w:val="Compact"/>
                    <w:jc w:val="right"/>
                    <w:jc w:val="center"/>
                  </w:pPr>
                  <w:r>
                    <w:t xml:space="preserve">5.55</w:t>
                  </w:r>
                </w:p>
              </w:tc>
              <w:tc>
                <w:tcPr/>
                <w:p>
                  <w:pPr>
                    <w:pStyle w:val="Compact"/>
                    <w:jc w:val="right"/>
                    <w:jc w:val="center"/>
                  </w:pPr>
                  <w:r>
                    <w:t xml:space="preserve">0.08</w:t>
                  </w:r>
                </w:p>
              </w:tc>
            </w:tr>
            <w:tr>
              <w:tc>
                <w:tcPr/>
                <w:p>
                  <w:pPr>
                    <w:pStyle w:val="Compact"/>
                    <w:jc w:val="left"/>
                    <w:jc w:val="center"/>
                  </w:pPr>
                  <w:r>
                    <w:t xml:space="preserve">Spanish: neighbourhood contrast</w:t>
                  </w:r>
                </w:p>
              </w:tc>
              <w:tc>
                <w:tcPr/>
                <w:p>
                  <w:pPr>
                    <w:pStyle w:val="Compact"/>
                    <w:jc w:val="left"/>
                    <w:jc w:val="center"/>
                  </w:pPr>
                  <w:r>
                    <w:t xml:space="preserve">OLD20</w:t>
                  </w:r>
                </w:p>
              </w:tc>
              <w:tc>
                <w:tcPr/>
                <w:p>
                  <w:pPr>
                    <w:pStyle w:val="Compact"/>
                    <w:jc w:val="right"/>
                    <w:jc w:val="center"/>
                  </w:pPr>
                  <w:r>
                    <w:t xml:space="preserve">2.42</w:t>
                  </w:r>
                </w:p>
              </w:tc>
              <w:tc>
                <w:tcPr/>
                <w:p>
                  <w:pPr>
                    <w:pStyle w:val="Compact"/>
                    <w:jc w:val="right"/>
                    <w:jc w:val="center"/>
                  </w:pPr>
                  <w:r>
                    <w:t xml:space="preserve">0.00</w:t>
                  </w:r>
                </w:p>
              </w:tc>
            </w:tr>
            <w:tr>
              <w:tc>
                <w:tcPr/>
                <w:p>
                  <w:pPr>
                    <w:pStyle w:val="Compact"/>
                    <w:jc w:val="left"/>
                    <w:jc w:val="center"/>
                  </w:pPr>
                  <w:r>
                    <w:t xml:space="preserve">Chinese: frequency contrast</w:t>
                  </w:r>
                </w:p>
              </w:tc>
              <w:tc>
                <w:tcPr/>
                <w:p>
                  <w:pPr>
                    <w:pStyle w:val="Compact"/>
                    <w:jc w:val="left"/>
                    <w:jc w:val="center"/>
                  </w:pPr>
                  <w:r>
                    <w:t xml:space="preserve">Frequency (Zipf)</w:t>
                  </w:r>
                </w:p>
              </w:tc>
              <w:tc>
                <w:tcPr/>
                <w:p>
                  <w:pPr>
                    <w:pStyle w:val="Compact"/>
                    <w:jc w:val="right"/>
                    <w:jc w:val="center"/>
                  </w:pPr>
                  <w:r>
                    <w:t xml:space="preserve">6.00</w:t>
                  </w:r>
                </w:p>
              </w:tc>
              <w:tc>
                <w:tcPr/>
                <w:p>
                  <w:pPr>
                    <w:pStyle w:val="Compact"/>
                    <w:jc w:val="right"/>
                    <w:jc w:val="center"/>
                  </w:pPr>
                  <w:r>
                    <w:t xml:space="preserve">0.11</w:t>
                  </w:r>
                </w:p>
              </w:tc>
            </w:tr>
          </w:tbl>
          <w:bookmarkEnd w:id="18"/>
          <w:p/>
        </w:tc>
      </w:tr>
    </w:tbl>
    <w:p>
      <w:pPr>
        <w:pStyle w:val="BodyText"/>
      </w:pPr>
      <w:r>
        <w:t xml:space="preserve">The manipulated dimension is strongly separated in every demonstration, while the</w:t>
      </w:r>
      <w:r>
        <w:t xml:space="preserve"> </w:t>
      </w:r>
      <w:r>
        <w:t xml:space="preserve">control dimensions show standardised mean differences well below the</w:t>
      </w:r>
      <w:r>
        <w:t xml:space="preserve"> </w:t>
      </w:r>
      <w:r>
        <w:t xml:space="preserve">0.5-standard-deviation bound.</w:t>
      </w:r>
      <w:r>
        <w:t xml:space="preserve"> </w:t>
      </w:r>
      <w:hyperlink w:anchor="fig-balance">
        <w:r>
          <w:rPr>
            <w:rStyle w:val="Hyperlink"/>
          </w:rPr>
          <w:t xml:space="preserve">Figure 1</w:t>
        </w:r>
      </w:hyperlink>
      <w:r>
        <w:t xml:space="preserve"> </w:t>
      </w:r>
      <w:r>
        <w:t xml:space="preserve">plots the absolute standardised mean difference of each dimension</w:t>
      </w:r>
      <w:r>
        <w:t xml:space="preserve"> </w:t>
      </w:r>
      <w:r>
        <w:t xml:space="preserve">against the anchor; the manipulated dimension stands far to the right of the</w:t>
      </w:r>
      <w:r>
        <w:t xml:space="preserve"> </w:t>
      </w:r>
      <w:r>
        <w:t xml:space="preserve">0.5-standard-deviation reference bound (dashed line) while the controlled</w:t>
      </w:r>
      <w:r>
        <w:t xml:space="preserve"> </w:t>
      </w:r>
      <w:r>
        <w:t xml:space="preserve">dimensions cluster near zero.</w:t>
      </w:r>
    </w:p>
    <w:tbl>
      <w:tblPr>
        <w:tblStyle w:val="Table"/>
        <w:tblW w:type="pct" w:w="5000"/>
        <w:tblLayout w:type="fixed"/>
        <w:tblLook w:firstRow="0" w:lastRow="0" w:firstColumn="0" w:lastColumn="0" w:noHBand="0" w:noVBand="0" w:val="0000"/>
      </w:tblPr>
      <w:tblGrid>
        <w:gridCol w:w="7920"/>
      </w:tblGrid>
      <w:tr>
        <w:tc>
          <w:tcPr/>
          <w:bookmarkStart w:id="22" w:name="fig-balance"/>
          <w:p>
            <w:pPr>
              <w:pStyle w:val="Compact"/>
              <w:jc w:val="center"/>
            </w:pPr>
            <w:r>
              <w:drawing>
                <wp:inline>
                  <wp:extent cx="5334000" cy="3259666"/>
                  <wp:effectExtent b="0" l="0" r="0" t="0"/>
                  <wp:docPr descr="" title="" id="20" name="Picture"/>
                  <a:graphic>
                    <a:graphicData uri="http://schemas.openxmlformats.org/drawingml/2006/picture">
                      <pic:pic>
                        <pic:nvPicPr>
                          <pic:cNvPr descr="manuscript_files/figure-docx/fig-balance-1.png" id="21" name="Picture"/>
                          <pic:cNvPicPr>
                            <a:picLocks noChangeArrowheads="1" noChangeAspect="1"/>
                          </pic:cNvPicPr>
                        </pic:nvPicPr>
                        <pic:blipFill>
                          <a:blip r:embed="rId19"/>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i/>
                <w:iCs/>
              </w:rPr>
              <w:t xml:space="preserve">Absolute Standardised Mean Differences by Dimension and Demonstration.</w:t>
            </w:r>
            <w:r>
              <w:t xml:space="preserve"> </w:t>
            </w:r>
            <w:r>
              <w:rPr>
                <w:i/>
                <w:iCs/>
              </w:rPr>
              <w:t xml:space="preserve">Note.</w:t>
            </w:r>
            <w:r>
              <w:t xml:space="preserve"> </w:t>
            </w:r>
            <w:r>
              <w:t xml:space="preserve">Absolute standardised mean difference (Cohen’s</w:t>
            </w:r>
            <w:r>
              <w:t xml:space="preserve"> </w:t>
            </w:r>
            <w:r>
              <w:rPr>
                <w:i/>
                <w:iCs/>
              </w:rPr>
              <w:t xml:space="preserve">d</w:t>
            </w:r>
            <w:r>
              <w:t xml:space="preserve">) of each dimension against the anchor condition. The dashed line is the 0.5-</w:t>
            </w:r>
            <w:r>
              <w:rPr>
                <w:i/>
                <w:iCs/>
              </w:rPr>
              <w:t xml:space="preserve">SD</w:t>
            </w:r>
            <w:r>
              <w:t xml:space="preserve"> </w:t>
            </w:r>
            <w:r>
              <w:t xml:space="preserve">reference bound (the smallest effect of interest for the equivalence test). Manipulated dimensions (orange) lie far to the right; matched dimensions (green) cluster near zero. In the neighbourhood contrasts OLD20 is free to co-vary (purple), reflecting its known correlation with Coltheart’s N.</w:t>
            </w:r>
          </w:p>
          <w:bookmarkEnd w:id="22"/>
        </w:tc>
      </w:tr>
    </w:tbl>
    <w:p>
      <w:pPr>
        <w:pStyle w:val="BodyText"/>
      </w:pPr>
      <w:r>
        <w:t xml:space="preserve">The realised control is best read from the effect sizes and their intervals.</w:t>
      </w:r>
      <w:r>
        <w:t xml:space="preserve"> </w:t>
      </w:r>
      <w:hyperlink w:anchor="tbl-tost">
        <w:r>
          <w:rPr>
            <w:rStyle w:val="Hyperlink"/>
          </w:rPr>
          <w:t xml:space="preserve">Table 2</w:t>
        </w:r>
      </w:hyperlink>
      <w:r>
        <w:t xml:space="preserve"> </w:t>
      </w:r>
      <w:r>
        <w:t xml:space="preserve">lists, for the controlled dimensions of each demonstration, Cohen’s</w:t>
      </w:r>
      <w:r>
        <w:t xml:space="preserve"> </w:t>
      </w:r>
      <w:r>
        <w:rPr>
          <w:i/>
          <w:iCs/>
        </w:rPr>
        <w:t xml:space="preserve">d</w:t>
      </w:r>
      <w:r>
        <w:t xml:space="preserve"> </w:t>
      </w:r>
      <w:r>
        <w:t xml:space="preserve">against the anchor, its 90% confidence interval and the complementary TOST verdict</w:t>
      </w:r>
      <w:r>
        <w:t xml:space="preserve"> </w:t>
      </w:r>
      <w:r>
        <w:t xml:space="preserve">at the 0.5-</w:t>
      </w:r>
      <w:r>
        <w:rPr>
          <w:i/>
          <w:iCs/>
        </w:rPr>
        <w:t xml:space="preserve">SD</w:t>
      </w:r>
      <w:r>
        <w:t xml:space="preserve"> </w:t>
      </w:r>
      <w:r>
        <w:t xml:space="preserve">bound.</w:t>
      </w:r>
    </w:p>
    <w:tbl>
      <w:tblPr>
        <w:tblStyle w:val="Table"/>
        <w:tblW w:type="pct" w:w="5000"/>
        <w:tblLayout w:type="fixed"/>
        <w:tblLook w:firstRow="0" w:lastRow="0" w:firstColumn="0" w:lastColumn="0" w:noHBand="0" w:noVBand="0" w:val="0000"/>
      </w:tblPr>
      <w:tblGrid>
        <w:gridCol w:w="7920"/>
      </w:tblGrid>
      <w:tr>
        <w:tc>
          <w:tcPr/>
          <w:bookmarkStart w:id="23" w:name="tbl-tost"/>
          <w:p>
            <w:pPr>
              <w:jc w:val="center"/>
            </w:pPr>
            <w:pPr>
              <w:jc w:val="left"/>
              <w:spacing w:before="200"/>
              <w:pStyle w:val="ImageCaption"/>
            </w:pPr>
            <w:r>
              <w:t xml:space="preserve">Table 2:</w:t>
            </w:r>
            <w:r>
              <w:t xml:space="preserve"> </w:t>
            </w:r>
            <w:r>
              <w:rPr>
                <w:i/>
                <w:iCs/>
              </w:rPr>
              <w:t xml:space="preserve">Realised Control on the Controlled Dimensions: Effect Sizes With Confidence Intervals and the Complementary Equivalence Test.</w:t>
            </w:r>
            <w:r>
              <w:t xml:space="preserve"> </w:t>
            </w:r>
            <w:r>
              <w:rPr>
                <w:i/>
                <w:iCs/>
              </w:rPr>
              <w:t xml:space="preserve">Note.</w:t>
            </w:r>
            <w:r>
              <w:t xml:space="preserve"> </w:t>
            </w:r>
            <w:r>
              <w:t xml:space="preserve">For each demonstration’s controlled (matched) dimensions: the standardised mean difference (Cohen’s</w:t>
            </w:r>
            <w:r>
              <w:t xml:space="preserve"> </w:t>
            </w:r>
            <w:r>
              <w:rPr>
                <w:i/>
                <w:iCs/>
              </w:rPr>
              <w:t xml:space="preserve">d</w:t>
            </w:r>
            <w:r>
              <w:t xml:space="preserve">) against the anchor, its 90% confidence interval, and the two one-sided tests (TOST)</w:t>
            </w:r>
            <w:r>
              <w:t xml:space="preserve"> </w:t>
            </w:r>
            <w:r>
              <w:rPr>
                <w:i/>
                <w:iCs/>
              </w:rPr>
              <w:t xml:space="preserve">p</w:t>
            </w:r>
            <w:r>
              <w:t xml:space="preserve"> </w:t>
            </w:r>
            <w:r>
              <w:t xml:space="preserve">value and verdict at the 0.5-</w:t>
            </w:r>
            <w:r>
              <w:rPr>
                <w:i/>
                <w:iCs/>
              </w:rPr>
              <w:t xml:space="preserve">SD</w:t>
            </w:r>
            <w:r>
              <w:t xml:space="preserve"> </w:t>
            </w:r>
            <w:r>
              <w:t xml:space="preserve">bound. The 90% interval is the one coherent with a .05-level TOST. R engine.</w:t>
            </w:r>
          </w:p>
          <w:tbl>
            <w:tblPr>
              <w:tblStyle w:val="Table"/>
              <w:tblW w:type="pct" w:w="5000"/>
              <w:tblLayout w:type="fixed"/>
              <w:tblLook w:firstRow="1" w:lastRow="0" w:firstColumn="0" w:lastColumn="0" w:noHBand="0" w:noVBand="0" w:val="0020"/>
            </w:tblPr>
            <w:tblGrid>
              <w:gridCol w:w="2785"/>
              <w:gridCol w:w="1479"/>
              <w:gridCol w:w="870"/>
              <w:gridCol w:w="1218"/>
              <w:gridCol w:w="609"/>
              <w:gridCol w:w="957"/>
            </w:tblGrid>
            <w:tr>
              <w:trPr>
                <w:tblHeader w:val="on"/>
              </w:trPr>
              <w:tc>
                <w:tcPr/>
                <w:p>
                  <w:pPr>
                    <w:pStyle w:val="Compact"/>
                    <w:jc w:val="left"/>
                    <w:jc w:val="center"/>
                  </w:pPr>
                  <w:r>
                    <w:t xml:space="preserve">Demonstration</w:t>
                  </w:r>
                </w:p>
              </w:tc>
              <w:tc>
                <w:tcPr/>
                <w:p>
                  <w:pPr>
                    <w:pStyle w:val="Compact"/>
                    <w:jc w:val="left"/>
                    <w:jc w:val="center"/>
                  </w:pPr>
                  <w:r>
                    <w:t xml:space="preserve">Dimension</w:t>
                  </w:r>
                </w:p>
              </w:tc>
              <w:tc>
                <w:tcPr/>
                <w:p>
                  <w:pPr>
                    <w:pStyle w:val="Compact"/>
                    <w:jc w:val="right"/>
                    <w:jc w:val="center"/>
                  </w:pPr>
                  <w:r>
                    <w:t xml:space="preserve">Cohen’s d</w:t>
                  </w:r>
                </w:p>
              </w:tc>
              <w:tc>
                <w:tcPr/>
                <w:p>
                  <w:pPr>
                    <w:pStyle w:val="Compact"/>
                    <w:jc w:val="left"/>
                    <w:jc w:val="center"/>
                  </w:pPr>
                  <w:r>
                    <w:t xml:space="preserve">90% CI</w:t>
                  </w:r>
                </w:p>
              </w:tc>
              <w:tc>
                <w:tcPr/>
                <w:p>
                  <w:pPr>
                    <w:pStyle w:val="Compact"/>
                    <w:jc w:val="right"/>
                    <w:jc w:val="center"/>
                  </w:pPr>
                  <w:r>
                    <w:t xml:space="preserve">TOST p</w:t>
                  </w:r>
                </w:p>
              </w:tc>
              <w:tc>
                <w:tcPr/>
                <w:p>
                  <w:pPr>
                    <w:pStyle w:val="Compact"/>
                    <w:jc w:val="left"/>
                    <w:jc w:val="center"/>
                  </w:pPr>
                  <w:r>
                    <w:t xml:space="preserve">Equivalent</w:t>
                  </w:r>
                </w:p>
              </w:tc>
            </w:tr>
            <w:tr>
              <w:tc>
                <w:tcPr/>
                <w:p>
                  <w:pPr>
                    <w:pStyle w:val="Compact"/>
                    <w:jc w:val="left"/>
                    <w:jc w:val="center"/>
                  </w:pPr>
                  <w:r>
                    <w:t xml:space="preserve">Chinese: frequency contrast</w:t>
                  </w:r>
                </w:p>
              </w:tc>
              <w:tc>
                <w:tcPr/>
                <w:p>
                  <w:pPr>
                    <w:pStyle w:val="Compact"/>
                    <w:jc w:val="left"/>
                    <w:jc w:val="center"/>
                  </w:pPr>
                  <w:r>
                    <w:t xml:space="preserve">Length</w:t>
                  </w:r>
                </w:p>
              </w:tc>
              <w:tc>
                <w:tcPr/>
                <w:p>
                  <w:pPr>
                    <w:pStyle w:val="Compact"/>
                    <w:jc w:val="right"/>
                    <w:jc w:val="center"/>
                  </w:pPr>
                  <w:r>
                    <w:t xml:space="preserve">0.000</w:t>
                  </w:r>
                </w:p>
              </w:tc>
              <w:tc>
                <w:tcPr/>
                <w:p>
                  <w:pPr>
                    <w:pStyle w:val="Compact"/>
                    <w:jc w:val="left"/>
                    <w:jc w:val="center"/>
                  </w:pPr>
                  <w:r>
                    <w:t xml:space="preserve">[0.00, 0.00]</w:t>
                  </w:r>
                </w:p>
              </w:tc>
              <w:tc>
                <w:tcPr/>
                <w:p>
                  <w:pPr>
                    <w:pStyle w:val="Compact"/>
                    <w:jc w:val="right"/>
                    <w:jc w:val="center"/>
                  </w:pPr>
                  <w:r>
                    <w:t xml:space="preserve">0.000</w:t>
                  </w:r>
                </w:p>
              </w:tc>
              <w:tc>
                <w:tcPr/>
                <w:p>
                  <w:pPr>
                    <w:pStyle w:val="Compact"/>
                    <w:jc w:val="left"/>
                    <w:jc w:val="center"/>
                  </w:pPr>
                  <w:r>
                    <w:t xml:space="preserve">TRUE</w:t>
                  </w:r>
                </w:p>
              </w:tc>
            </w:tr>
            <w:tr>
              <w:tc>
                <w:tcPr/>
                <w:p>
                  <w:pPr>
                    <w:pStyle w:val="Compact"/>
                    <w:jc w:val="left"/>
                    <w:jc w:val="center"/>
                  </w:pPr>
                  <w:r>
                    <w:t xml:space="preserve">Chinese: frequency contrast</w:t>
                  </w:r>
                </w:p>
              </w:tc>
              <w:tc>
                <w:tcPr/>
                <w:p>
                  <w:pPr>
                    <w:pStyle w:val="Compact"/>
                    <w:jc w:val="left"/>
                    <w:jc w:val="center"/>
                  </w:pPr>
                  <w:r>
                    <w:t xml:space="preserve">Neighbourhood N</w:t>
                  </w:r>
                </w:p>
              </w:tc>
              <w:tc>
                <w:tcPr/>
                <w:p>
                  <w:pPr>
                    <w:pStyle w:val="Compact"/>
                    <w:jc w:val="right"/>
                    <w:jc w:val="center"/>
                  </w:pPr>
                  <w:r>
                    <w:t xml:space="preserve">0.071</w:t>
                  </w:r>
                </w:p>
              </w:tc>
              <w:tc>
                <w:tcPr/>
                <w:p>
                  <w:pPr>
                    <w:pStyle w:val="Compact"/>
                    <w:jc w:val="left"/>
                    <w:jc w:val="center"/>
                  </w:pPr>
                  <w:r>
                    <w:t xml:space="preserve">[-0.19, 0.33]</w:t>
                  </w:r>
                </w:p>
              </w:tc>
              <w:tc>
                <w:tcPr/>
                <w:p>
                  <w:pPr>
                    <w:pStyle w:val="Compact"/>
                    <w:jc w:val="right"/>
                    <w:jc w:val="center"/>
                  </w:pPr>
                  <w:r>
                    <w:t xml:space="preserve">0.004</w:t>
                  </w:r>
                </w:p>
              </w:tc>
              <w:tc>
                <w:tcPr/>
                <w:p>
                  <w:pPr>
                    <w:pStyle w:val="Compact"/>
                    <w:jc w:val="left"/>
                    <w:jc w:val="center"/>
                  </w:pPr>
                  <w:r>
                    <w:t xml:space="preserve">TRUE</w:t>
                  </w:r>
                </w:p>
              </w:tc>
            </w:tr>
            <w:tr>
              <w:tc>
                <w:tcPr/>
                <w:p>
                  <w:pPr>
                    <w:pStyle w:val="Compact"/>
                    <w:jc w:val="left"/>
                    <w:jc w:val="center"/>
                  </w:pPr>
                  <w:r>
                    <w:t xml:space="preserve">Chinese: frequency contrast</w:t>
                  </w:r>
                </w:p>
              </w:tc>
              <w:tc>
                <w:tcPr/>
                <w:p>
                  <w:pPr>
                    <w:pStyle w:val="Compact"/>
                    <w:jc w:val="left"/>
                    <w:jc w:val="center"/>
                  </w:pPr>
                  <w:r>
                    <w:t xml:space="preserve">OLD20</w:t>
                  </w:r>
                </w:p>
              </w:tc>
              <w:tc>
                <w:tcPr/>
                <w:p>
                  <w:pPr>
                    <w:pStyle w:val="Compact"/>
                    <w:jc w:val="right"/>
                    <w:jc w:val="center"/>
                  </w:pPr>
                  <w:r>
                    <w:t xml:space="preserve">0.106</w:t>
                  </w:r>
                </w:p>
              </w:tc>
              <w:tc>
                <w:tcPr/>
                <w:p>
                  <w:pPr>
                    <w:pStyle w:val="Compact"/>
                    <w:jc w:val="left"/>
                    <w:jc w:val="center"/>
                  </w:pPr>
                  <w:r>
                    <w:t xml:space="preserve">[-0.15, 0.37]</w:t>
                  </w:r>
                </w:p>
              </w:tc>
              <w:tc>
                <w:tcPr/>
                <w:p>
                  <w:pPr>
                    <w:pStyle w:val="Compact"/>
                    <w:jc w:val="right"/>
                    <w:jc w:val="center"/>
                  </w:pPr>
                  <w:r>
                    <w:t xml:space="preserve">0.007</w:t>
                  </w:r>
                </w:p>
              </w:tc>
              <w:tc>
                <w:tcPr/>
                <w:p>
                  <w:pPr>
                    <w:pStyle w:val="Compact"/>
                    <w:jc w:val="left"/>
                    <w:jc w:val="center"/>
                  </w:pPr>
                  <w:r>
                    <w:t xml:space="preserve">TRUE</w:t>
                  </w:r>
                </w:p>
              </w:tc>
            </w:tr>
            <w:tr>
              <w:tc>
                <w:tcPr/>
                <w:p>
                  <w:pPr>
                    <w:pStyle w:val="Compact"/>
                    <w:jc w:val="left"/>
                    <w:jc w:val="center"/>
                  </w:pPr>
                  <w:r>
                    <w:t xml:space="preserve">English: frequency contrast</w:t>
                  </w:r>
                </w:p>
              </w:tc>
              <w:tc>
                <w:tcPr/>
                <w:p>
                  <w:pPr>
                    <w:pStyle w:val="Compact"/>
                    <w:jc w:val="left"/>
                    <w:jc w:val="center"/>
                  </w:pPr>
                  <w:r>
                    <w:t xml:space="preserve">Length</w:t>
                  </w:r>
                </w:p>
              </w:tc>
              <w:tc>
                <w:tcPr/>
                <w:p>
                  <w:pPr>
                    <w:pStyle w:val="Compact"/>
                    <w:jc w:val="right"/>
                    <w:jc w:val="center"/>
                  </w:pPr>
                  <w:r>
                    <w:t xml:space="preserve">0.027</w:t>
                  </w:r>
                </w:p>
              </w:tc>
              <w:tc>
                <w:tcPr/>
                <w:p>
                  <w:pPr>
                    <w:pStyle w:val="Compact"/>
                    <w:jc w:val="left"/>
                    <w:jc w:val="center"/>
                  </w:pPr>
                  <w:r>
                    <w:t xml:space="preserve">[-0.23, 0.29]</w:t>
                  </w:r>
                </w:p>
              </w:tc>
              <w:tc>
                <w:tcPr/>
                <w:p>
                  <w:pPr>
                    <w:pStyle w:val="Compact"/>
                    <w:jc w:val="right"/>
                    <w:jc w:val="center"/>
                  </w:pPr>
                  <w:r>
                    <w:t xml:space="preserve">0.002</w:t>
                  </w:r>
                </w:p>
              </w:tc>
              <w:tc>
                <w:tcPr/>
                <w:p>
                  <w:pPr>
                    <w:pStyle w:val="Compact"/>
                    <w:jc w:val="left"/>
                    <w:jc w:val="center"/>
                  </w:pPr>
                  <w:r>
                    <w:t xml:space="preserve">TRUE</w:t>
                  </w:r>
                </w:p>
              </w:tc>
            </w:tr>
            <w:tr>
              <w:tc>
                <w:tcPr/>
                <w:p>
                  <w:pPr>
                    <w:pStyle w:val="Compact"/>
                    <w:jc w:val="left"/>
                    <w:jc w:val="center"/>
                  </w:pPr>
                  <w:r>
                    <w:t xml:space="preserve">English: frequency contrast</w:t>
                  </w:r>
                </w:p>
              </w:tc>
              <w:tc>
                <w:tcPr/>
                <w:p>
                  <w:pPr>
                    <w:pStyle w:val="Compact"/>
                    <w:jc w:val="left"/>
                    <w:jc w:val="center"/>
                  </w:pPr>
                  <w:r>
                    <w:t xml:space="preserve">Neighbourhood N</w:t>
                  </w:r>
                </w:p>
              </w:tc>
              <w:tc>
                <w:tcPr/>
                <w:p>
                  <w:pPr>
                    <w:pStyle w:val="Compact"/>
                    <w:jc w:val="right"/>
                    <w:jc w:val="center"/>
                  </w:pPr>
                  <w:r>
                    <w:t xml:space="preserve">0.038</w:t>
                  </w:r>
                </w:p>
              </w:tc>
              <w:tc>
                <w:tcPr/>
                <w:p>
                  <w:pPr>
                    <w:pStyle w:val="Compact"/>
                    <w:jc w:val="left"/>
                    <w:jc w:val="center"/>
                  </w:pPr>
                  <w:r>
                    <w:t xml:space="preserve">[-0.22, 0.30]</w:t>
                  </w:r>
                </w:p>
              </w:tc>
              <w:tc>
                <w:tcPr/>
                <w:p>
                  <w:pPr>
                    <w:pStyle w:val="Compact"/>
                    <w:jc w:val="right"/>
                    <w:jc w:val="center"/>
                  </w:pPr>
                  <w:r>
                    <w:t xml:space="preserve">0.002</w:t>
                  </w:r>
                </w:p>
              </w:tc>
              <w:tc>
                <w:tcPr/>
                <w:p>
                  <w:pPr>
                    <w:pStyle w:val="Compact"/>
                    <w:jc w:val="left"/>
                    <w:jc w:val="center"/>
                  </w:pPr>
                  <w:r>
                    <w:t xml:space="preserve">TRUE</w:t>
                  </w:r>
                </w:p>
              </w:tc>
            </w:tr>
            <w:tr>
              <w:tc>
                <w:tcPr/>
                <w:p>
                  <w:pPr>
                    <w:pStyle w:val="Compact"/>
                    <w:jc w:val="left"/>
                    <w:jc w:val="center"/>
                  </w:pPr>
                  <w:r>
                    <w:t xml:space="preserve">English: frequency contrast</w:t>
                  </w:r>
                </w:p>
              </w:tc>
              <w:tc>
                <w:tcPr/>
                <w:p>
                  <w:pPr>
                    <w:pStyle w:val="Compact"/>
                    <w:jc w:val="left"/>
                    <w:jc w:val="center"/>
                  </w:pPr>
                  <w:r>
                    <w:t xml:space="preserve">OLD20</w:t>
                  </w:r>
                </w:p>
              </w:tc>
              <w:tc>
                <w:tcPr/>
                <w:p>
                  <w:pPr>
                    <w:pStyle w:val="Compact"/>
                    <w:jc w:val="right"/>
                    <w:jc w:val="center"/>
                  </w:pPr>
                  <w:r>
                    <w:t xml:space="preserve">0.009</w:t>
                  </w:r>
                </w:p>
              </w:tc>
              <w:tc>
                <w:tcPr/>
                <w:p>
                  <w:pPr>
                    <w:pStyle w:val="Compact"/>
                    <w:jc w:val="left"/>
                    <w:jc w:val="center"/>
                  </w:pPr>
                  <w:r>
                    <w:t xml:space="preserve">[-0.25, 0.27]</w:t>
                  </w:r>
                </w:p>
              </w:tc>
              <w:tc>
                <w:tcPr/>
                <w:p>
                  <w:pPr>
                    <w:pStyle w:val="Compact"/>
                    <w:jc w:val="right"/>
                    <w:jc w:val="center"/>
                  </w:pPr>
                  <w:r>
                    <w:t xml:space="preserve">0.001</w:t>
                  </w:r>
                </w:p>
              </w:tc>
              <w:tc>
                <w:tcPr/>
                <w:p>
                  <w:pPr>
                    <w:pStyle w:val="Compact"/>
                    <w:jc w:val="left"/>
                    <w:jc w:val="center"/>
                  </w:pPr>
                  <w:r>
                    <w:t xml:space="preserve">TRUE</w:t>
                  </w:r>
                </w:p>
              </w:tc>
            </w:tr>
            <w:tr>
              <w:tc>
                <w:tcPr/>
                <w:p>
                  <w:pPr>
                    <w:pStyle w:val="Compact"/>
                    <w:jc w:val="left"/>
                    <w:jc w:val="center"/>
                  </w:pPr>
                  <w:r>
                    <w:t xml:space="preserve">English: neighbourhood contrast</w:t>
                  </w:r>
                </w:p>
              </w:tc>
              <w:tc>
                <w:tcPr/>
                <w:p>
                  <w:pPr>
                    <w:pStyle w:val="Compact"/>
                    <w:jc w:val="left"/>
                    <w:jc w:val="center"/>
                  </w:pPr>
                  <w:r>
                    <w:t xml:space="preserve">Length</w:t>
                  </w:r>
                </w:p>
              </w:tc>
              <w:tc>
                <w:tcPr/>
                <w:p>
                  <w:pPr>
                    <w:pStyle w:val="Compact"/>
                    <w:jc w:val="right"/>
                    <w:jc w:val="center"/>
                  </w:pPr>
                  <w:r>
                    <w:t xml:space="preserve">0.000</w:t>
                  </w:r>
                </w:p>
              </w:tc>
              <w:tc>
                <w:tcPr/>
                <w:p>
                  <w:pPr>
                    <w:pStyle w:val="Compact"/>
                    <w:jc w:val="left"/>
                    <w:jc w:val="center"/>
                  </w:pPr>
                  <w:r>
                    <w:t xml:space="preserve">[-0.26, 0.26]</w:t>
                  </w:r>
                </w:p>
              </w:tc>
              <w:tc>
                <w:tcPr/>
                <w:p>
                  <w:pPr>
                    <w:pStyle w:val="Compact"/>
                    <w:jc w:val="right"/>
                    <w:jc w:val="center"/>
                  </w:pPr>
                  <w:r>
                    <w:t xml:space="preserve">0.001</w:t>
                  </w:r>
                </w:p>
              </w:tc>
              <w:tc>
                <w:tcPr/>
                <w:p>
                  <w:pPr>
                    <w:pStyle w:val="Compact"/>
                    <w:jc w:val="left"/>
                    <w:jc w:val="center"/>
                  </w:pPr>
                  <w:r>
                    <w:t xml:space="preserve">TRUE</w:t>
                  </w:r>
                </w:p>
              </w:tc>
            </w:tr>
            <w:tr>
              <w:tc>
                <w:tcPr/>
                <w:p>
                  <w:pPr>
                    <w:pStyle w:val="Compact"/>
                    <w:jc w:val="left"/>
                    <w:jc w:val="center"/>
                  </w:pPr>
                  <w:r>
                    <w:t xml:space="preserve">English: neighbourhood contrast</w:t>
                  </w:r>
                </w:p>
              </w:tc>
              <w:tc>
                <w:tcPr/>
                <w:p>
                  <w:pPr>
                    <w:pStyle w:val="Compact"/>
                    <w:jc w:val="left"/>
                    <w:jc w:val="center"/>
                  </w:pPr>
                  <w:r>
                    <w:t xml:space="preserve">Frequency (Zipf)</w:t>
                  </w:r>
                </w:p>
              </w:tc>
              <w:tc>
                <w:tcPr/>
                <w:p>
                  <w:pPr>
                    <w:pStyle w:val="Compact"/>
                    <w:jc w:val="right"/>
                    <w:jc w:val="center"/>
                  </w:pPr>
                  <w:r>
                    <w:t xml:space="preserve">0.000</w:t>
                  </w:r>
                </w:p>
              </w:tc>
              <w:tc>
                <w:tcPr/>
                <w:p>
                  <w:pPr>
                    <w:pStyle w:val="Compact"/>
                    <w:jc w:val="left"/>
                    <w:jc w:val="center"/>
                  </w:pPr>
                  <w:r>
                    <w:t xml:space="preserve">[-0.26, 0.26]</w:t>
                  </w:r>
                </w:p>
              </w:tc>
              <w:tc>
                <w:tcPr/>
                <w:p>
                  <w:pPr>
                    <w:pStyle w:val="Compact"/>
                    <w:jc w:val="right"/>
                    <w:jc w:val="center"/>
                  </w:pPr>
                  <w:r>
                    <w:t xml:space="preserve">0.001</w:t>
                  </w:r>
                </w:p>
              </w:tc>
              <w:tc>
                <w:tcPr/>
                <w:p>
                  <w:pPr>
                    <w:pStyle w:val="Compact"/>
                    <w:jc w:val="left"/>
                    <w:jc w:val="center"/>
                  </w:pPr>
                  <w:r>
                    <w:t xml:space="preserve">TRUE</w:t>
                  </w:r>
                </w:p>
              </w:tc>
            </w:tr>
            <w:tr>
              <w:tc>
                <w:tcPr/>
                <w:p>
                  <w:pPr>
                    <w:pStyle w:val="Compact"/>
                    <w:jc w:val="left"/>
                    <w:jc w:val="center"/>
                  </w:pPr>
                  <w:r>
                    <w:t xml:space="preserve">Spanish: frequency contrast</w:t>
                  </w:r>
                </w:p>
              </w:tc>
              <w:tc>
                <w:tcPr/>
                <w:p>
                  <w:pPr>
                    <w:pStyle w:val="Compact"/>
                    <w:jc w:val="left"/>
                    <w:jc w:val="center"/>
                  </w:pPr>
                  <w:r>
                    <w:t xml:space="preserve">Length</w:t>
                  </w:r>
                </w:p>
              </w:tc>
              <w:tc>
                <w:tcPr/>
                <w:p>
                  <w:pPr>
                    <w:pStyle w:val="Compact"/>
                    <w:jc w:val="right"/>
                    <w:jc w:val="center"/>
                  </w:pPr>
                  <w:r>
                    <w:t xml:space="preserve">0.049</w:t>
                  </w:r>
                </w:p>
              </w:tc>
              <w:tc>
                <w:tcPr/>
                <w:p>
                  <w:pPr>
                    <w:pStyle w:val="Compact"/>
                    <w:jc w:val="left"/>
                    <w:jc w:val="center"/>
                  </w:pPr>
                  <w:r>
                    <w:t xml:space="preserve">[-0.21, 0.31]</w:t>
                  </w:r>
                </w:p>
              </w:tc>
              <w:tc>
                <w:tcPr/>
                <w:p>
                  <w:pPr>
                    <w:pStyle w:val="Compact"/>
                    <w:jc w:val="right"/>
                    <w:jc w:val="center"/>
                  </w:pPr>
                  <w:r>
                    <w:t xml:space="preserve">0.002</w:t>
                  </w:r>
                </w:p>
              </w:tc>
              <w:tc>
                <w:tcPr/>
                <w:p>
                  <w:pPr>
                    <w:pStyle w:val="Compact"/>
                    <w:jc w:val="left"/>
                    <w:jc w:val="center"/>
                  </w:pPr>
                  <w:r>
                    <w:t xml:space="preserve">TRUE</w:t>
                  </w:r>
                </w:p>
              </w:tc>
            </w:tr>
            <w:tr>
              <w:tc>
                <w:tcPr/>
                <w:p>
                  <w:pPr>
                    <w:pStyle w:val="Compact"/>
                    <w:jc w:val="left"/>
                    <w:jc w:val="center"/>
                  </w:pPr>
                  <w:r>
                    <w:t xml:space="preserve">Spanish: frequency contrast</w:t>
                  </w:r>
                </w:p>
              </w:tc>
              <w:tc>
                <w:tcPr/>
                <w:p>
                  <w:pPr>
                    <w:pStyle w:val="Compact"/>
                    <w:jc w:val="left"/>
                    <w:jc w:val="center"/>
                  </w:pPr>
                  <w:r>
                    <w:t xml:space="preserve">Neighbourhood N</w:t>
                  </w:r>
                </w:p>
              </w:tc>
              <w:tc>
                <w:tcPr/>
                <w:p>
                  <w:pPr>
                    <w:pStyle w:val="Compact"/>
                    <w:jc w:val="right"/>
                    <w:jc w:val="center"/>
                  </w:pPr>
                  <w:r>
                    <w:t xml:space="preserve">0.077</w:t>
                  </w:r>
                </w:p>
              </w:tc>
              <w:tc>
                <w:tcPr/>
                <w:p>
                  <w:pPr>
                    <w:pStyle w:val="Compact"/>
                    <w:jc w:val="left"/>
                    <w:jc w:val="center"/>
                  </w:pPr>
                  <w:r>
                    <w:t xml:space="preserve">[-0.18, 0.34]</w:t>
                  </w:r>
                </w:p>
              </w:tc>
              <w:tc>
                <w:tcPr/>
                <w:p>
                  <w:pPr>
                    <w:pStyle w:val="Compact"/>
                    <w:jc w:val="right"/>
                    <w:jc w:val="center"/>
                  </w:pPr>
                  <w:r>
                    <w:t xml:space="preserve">0.004</w:t>
                  </w:r>
                </w:p>
              </w:tc>
              <w:tc>
                <w:tcPr/>
                <w:p>
                  <w:pPr>
                    <w:pStyle w:val="Compact"/>
                    <w:jc w:val="left"/>
                    <w:jc w:val="center"/>
                  </w:pPr>
                  <w:r>
                    <w:t xml:space="preserve">TRUE</w:t>
                  </w:r>
                </w:p>
              </w:tc>
            </w:tr>
            <w:tr>
              <w:tc>
                <w:tcPr/>
                <w:p>
                  <w:pPr>
                    <w:pStyle w:val="Compact"/>
                    <w:jc w:val="left"/>
                    <w:jc w:val="center"/>
                  </w:pPr>
                  <w:r>
                    <w:t xml:space="preserve">Spanish: frequency contrast</w:t>
                  </w:r>
                </w:p>
              </w:tc>
              <w:tc>
                <w:tcPr/>
                <w:p>
                  <w:pPr>
                    <w:pStyle w:val="Compact"/>
                    <w:jc w:val="left"/>
                    <w:jc w:val="center"/>
                  </w:pPr>
                  <w:r>
                    <w:t xml:space="preserve">OLD20</w:t>
                  </w:r>
                </w:p>
              </w:tc>
              <w:tc>
                <w:tcPr/>
                <w:p>
                  <w:pPr>
                    <w:pStyle w:val="Compact"/>
                    <w:jc w:val="right"/>
                    <w:jc w:val="center"/>
                  </w:pPr>
                  <w:r>
                    <w:t xml:space="preserve">0.006</w:t>
                  </w:r>
                </w:p>
              </w:tc>
              <w:tc>
                <w:tcPr/>
                <w:p>
                  <w:pPr>
                    <w:pStyle w:val="Compact"/>
                    <w:jc w:val="left"/>
                    <w:jc w:val="center"/>
                  </w:pPr>
                  <w:r>
                    <w:t xml:space="preserve">[-0.26, 0.27]</w:t>
                  </w:r>
                </w:p>
              </w:tc>
              <w:tc>
                <w:tcPr/>
                <w:p>
                  <w:pPr>
                    <w:pStyle w:val="Compact"/>
                    <w:jc w:val="right"/>
                    <w:jc w:val="center"/>
                  </w:pPr>
                  <w:r>
                    <w:t xml:space="preserve">0.001</w:t>
                  </w:r>
                </w:p>
              </w:tc>
              <w:tc>
                <w:tcPr/>
                <w:p>
                  <w:pPr>
                    <w:pStyle w:val="Compact"/>
                    <w:jc w:val="left"/>
                    <w:jc w:val="center"/>
                  </w:pPr>
                  <w:r>
                    <w:t xml:space="preserve">TRUE</w:t>
                  </w:r>
                </w:p>
              </w:tc>
            </w:tr>
            <w:tr>
              <w:tc>
                <w:tcPr/>
                <w:p>
                  <w:pPr>
                    <w:pStyle w:val="Compact"/>
                    <w:jc w:val="left"/>
                    <w:jc w:val="center"/>
                  </w:pPr>
                  <w:r>
                    <w:t xml:space="preserve">Spanish: neighbourhood contrast</w:t>
                  </w:r>
                </w:p>
              </w:tc>
              <w:tc>
                <w:tcPr/>
                <w:p>
                  <w:pPr>
                    <w:pStyle w:val="Compact"/>
                    <w:jc w:val="left"/>
                    <w:jc w:val="center"/>
                  </w:pPr>
                  <w:r>
                    <w:t xml:space="preserve">Length</w:t>
                  </w:r>
                </w:p>
              </w:tc>
              <w:tc>
                <w:tcPr/>
                <w:p>
                  <w:pPr>
                    <w:pStyle w:val="Compact"/>
                    <w:jc w:val="right"/>
                    <w:jc w:val="center"/>
                  </w:pPr>
                  <w:r>
                    <w:t xml:space="preserve">0.000</w:t>
                  </w:r>
                </w:p>
              </w:tc>
              <w:tc>
                <w:tcPr/>
                <w:p>
                  <w:pPr>
                    <w:pStyle w:val="Compact"/>
                    <w:jc w:val="left"/>
                    <w:jc w:val="center"/>
                  </w:pPr>
                  <w:r>
                    <w:t xml:space="preserve">[-0.26, 0.26]</w:t>
                  </w:r>
                </w:p>
              </w:tc>
              <w:tc>
                <w:tcPr/>
                <w:p>
                  <w:pPr>
                    <w:pStyle w:val="Compact"/>
                    <w:jc w:val="right"/>
                    <w:jc w:val="center"/>
                  </w:pPr>
                  <w:r>
                    <w:t xml:space="preserve">0.001</w:t>
                  </w:r>
                </w:p>
              </w:tc>
              <w:tc>
                <w:tcPr/>
                <w:p>
                  <w:pPr>
                    <w:pStyle w:val="Compact"/>
                    <w:jc w:val="left"/>
                    <w:jc w:val="center"/>
                  </w:pPr>
                  <w:r>
                    <w:t xml:space="preserve">TRUE</w:t>
                  </w:r>
                </w:p>
              </w:tc>
            </w:tr>
            <w:tr>
              <w:tc>
                <w:tcPr/>
                <w:p>
                  <w:pPr>
                    <w:pStyle w:val="Compact"/>
                    <w:jc w:val="left"/>
                    <w:jc w:val="center"/>
                  </w:pPr>
                  <w:r>
                    <w:t xml:space="preserve">Spanish: neighbourhood contrast</w:t>
                  </w:r>
                </w:p>
              </w:tc>
              <w:tc>
                <w:tcPr/>
                <w:p>
                  <w:pPr>
                    <w:pStyle w:val="Compact"/>
                    <w:jc w:val="left"/>
                    <w:jc w:val="center"/>
                  </w:pPr>
                  <w:r>
                    <w:t xml:space="preserve">Frequency (Zipf)</w:t>
                  </w:r>
                </w:p>
              </w:tc>
              <w:tc>
                <w:tcPr/>
                <w:p>
                  <w:pPr>
                    <w:pStyle w:val="Compact"/>
                    <w:jc w:val="right"/>
                    <w:jc w:val="center"/>
                  </w:pPr>
                  <w:r>
                    <w:t xml:space="preserve">0.000</w:t>
                  </w:r>
                </w:p>
              </w:tc>
              <w:tc>
                <w:tcPr/>
                <w:p>
                  <w:pPr>
                    <w:pStyle w:val="Compact"/>
                    <w:jc w:val="left"/>
                    <w:jc w:val="center"/>
                  </w:pPr>
                  <w:r>
                    <w:t xml:space="preserve">[-0.26, 0.26]</w:t>
                  </w:r>
                </w:p>
              </w:tc>
              <w:tc>
                <w:tcPr/>
                <w:p>
                  <w:pPr>
                    <w:pStyle w:val="Compact"/>
                    <w:jc w:val="right"/>
                    <w:jc w:val="center"/>
                  </w:pPr>
                  <w:r>
                    <w:t xml:space="preserve">0.001</w:t>
                  </w:r>
                </w:p>
              </w:tc>
              <w:tc>
                <w:tcPr/>
                <w:p>
                  <w:pPr>
                    <w:pStyle w:val="Compact"/>
                    <w:jc w:val="left"/>
                    <w:jc w:val="center"/>
                  </w:pPr>
                  <w:r>
                    <w:t xml:space="preserve">TRUE</w:t>
                  </w:r>
                </w:p>
              </w:tc>
            </w:tr>
          </w:tbl>
          <w:bookmarkEnd w:id="23"/>
          <w:p/>
        </w:tc>
      </w:tr>
    </w:tbl>
    <w:p>
      <w:pPr>
        <w:pStyle w:val="BodyText"/>
      </w:pPr>
      <w:r>
        <w:t xml:space="preserve">In every demonstration each controlled dimension’s 90% confidence interval lies</w:t>
      </w:r>
      <w:r>
        <w:t xml:space="preserve"> </w:t>
      </w:r>
      <w:r>
        <w:t xml:space="preserve">within the 0.5-</w:t>
      </w:r>
      <w:r>
        <w:rPr>
          <w:i/>
          <w:iCs/>
        </w:rPr>
        <w:t xml:space="preserve">SD</w:t>
      </w:r>
      <w:r>
        <w:t xml:space="preserve"> </w:t>
      </w:r>
      <w:r>
        <w:t xml:space="preserve">bound (</w:t>
      </w:r>
      <w:r>
        <w:rPr>
          <w:i/>
          <w:iCs/>
        </w:rPr>
        <w:t xml:space="preserve">n</w:t>
      </w:r>
      <w:r>
        <w:t xml:space="preserve"> </w:t>
      </w:r>
      <w:r>
        <w:t xml:space="preserve">= 80 per condition), so the realised imbalance is</w:t>
      </w:r>
      <w:r>
        <w:t xml:space="preserve"> </w:t>
      </w:r>
      <w:r>
        <w:t xml:space="preserve">small even at the interval’s far end, not merely non-significant. The TOST agrees,</w:t>
      </w:r>
      <w:r>
        <w:t xml:space="preserve"> </w:t>
      </w:r>
      <w:r>
        <w:t xml:space="preserve">declaring each dimension equivalent at the .05 level, but the interval is the more</w:t>
      </w:r>
      <w:r>
        <w:t xml:space="preserve"> </w:t>
      </w:r>
      <w:r>
        <w:t xml:space="preserve">informative statement because it would widen, and the claim would weaken, were the</w:t>
      </w:r>
      <w:r>
        <w:t xml:space="preserve"> </w:t>
      </w:r>
      <w:r>
        <w:t xml:space="preserve">item count reduced. The neighbourhood contrasts are the demanding case:</w:t>
      </w:r>
      <w:r>
        <w:t xml:space="preserve"> </w:t>
      </w:r>
      <w:r>
        <w:t xml:space="preserve">neighbourhood density is intrinsically correlated with word length and frequency,</w:t>
      </w:r>
      <w:r>
        <w:t xml:space="preserve"> </w:t>
      </w:r>
      <w:r>
        <w:t xml:space="preserve">so a per-anchor match leaves a residual on length (Cohen’s</w:t>
      </w:r>
      <w:r>
        <w:t xml:space="preserve"> </w:t>
      </w:r>
      <w:r>
        <w:rPr>
          <w:i/>
          <w:iCs/>
        </w:rPr>
        <w:t xml:space="preserve">d</w:t>
      </w:r>
      <w:r>
        <w:t xml:space="preserve"> </w:t>
      </w:r>
      <w:r>
        <w:t xml:space="preserve">≈ 0.25). The</w:t>
      </w:r>
      <w:r>
        <w:t xml:space="preserve"> </w:t>
      </w:r>
      <w:r>
        <w:rPr>
          <w:rStyle w:val="VerbatimChar"/>
        </w:rPr>
        <w:t xml:space="preserve">joint</w:t>
      </w:r>
      <w:r>
        <w:t xml:space="preserve"> </w:t>
      </w:r>
      <w:r>
        <w:t xml:space="preserve">matching method removes it: by selecting the best-matched dense–sparse</w:t>
      </w:r>
      <w:r>
        <w:t xml:space="preserve"> </w:t>
      </w:r>
      <w:r>
        <w:t xml:space="preserve">pairs jointly it equates length and frequency almost exactly (</w:t>
      </w:r>
      <w:r>
        <w:rPr>
          <w:i/>
          <w:iCs/>
        </w:rPr>
        <w:t xml:space="preserve">d</w:t>
      </w:r>
      <w:r>
        <w:t xml:space="preserve"> </w:t>
      </w:r>
      <w:r>
        <w:t xml:space="preserve">≈ 0.00 on both,</w:t>
      </w:r>
      <w:r>
        <w:t xml:space="preserve"> </w:t>
      </w:r>
      <w:r>
        <w:t xml:space="preserve">with intervals tightly around zero) while the density contrast remains an order of</w:t>
      </w:r>
      <w:r>
        <w:t xml:space="preserve"> </w:t>
      </w:r>
      <w:r>
        <w:t xml:space="preserve">magnitude larger (</w:t>
      </w:r>
      <w:r>
        <w:rPr>
          <w:i/>
          <w:iCs/>
        </w:rPr>
        <w:t xml:space="preserve">d</w:t>
      </w:r>
      <w:r>
        <w:t xml:space="preserve"> </w:t>
      </w:r>
      <w:r>
        <w:t xml:space="preserve">&gt; 2). The confound is thus a solved engineering problem</w:t>
      </w:r>
      <w:r>
        <w:t xml:space="preserve"> </w:t>
      </w:r>
      <w:r>
        <w:t xml:space="preserve">rather than an inherent limit on the design, and</w:t>
      </w:r>
      <w:r>
        <w:t xml:space="preserve"> </w:t>
      </w:r>
      <w:r>
        <w:t xml:space="preserve">‘lexsync’</w:t>
      </w:r>
      <w:r>
        <w:t xml:space="preserve"> </w:t>
      </w:r>
      <w:r>
        <w:t xml:space="preserve">reports the realised</w:t>
      </w:r>
      <w:r>
        <w:t xml:space="preserve"> </w:t>
      </w:r>
      <w:r>
        <w:t xml:space="preserve">control transparently, with effect size and interval first and the equivalence test</w:t>
      </w:r>
      <w:r>
        <w:t xml:space="preserve"> </w:t>
      </w:r>
      <w:r>
        <w:t xml:space="preserve">as a bound-referenced complement</w:t>
      </w:r>
      <w:r>
        <w:t xml:space="preserve"> </w:t>
      </w:r>
      <w:r>
        <w:t xml:space="preserve">(Lakens, 2017; Sassenhagen &amp; Alday, 2016)</w:t>
      </w:r>
      <w:r>
        <w:t xml:space="preserve">.</w:t>
      </w:r>
    </w:p>
    <w:p>
      <w:pPr>
        <w:pStyle w:val="BodyText"/>
      </w:pPr>
      <w:r>
        <w:t xml:space="preserve">The per-condition descriptive statistics make the control concrete. In the</w:t>
      </w:r>
      <w:r>
        <w:t xml:space="preserve"> </w:t>
      </w:r>
      <w:r>
        <w:t xml:space="preserve">English frequency contrast (</w:t>
      </w:r>
      <w:hyperlink w:anchor="tbl-desc-freq">
        <w:r>
          <w:rPr>
            <w:rStyle w:val="Hyperlink"/>
          </w:rPr>
          <w:t xml:space="preserve">Table 3</w:t>
        </w:r>
      </w:hyperlink>
      <w:r>
        <w:t xml:space="preserve">) frequency is separated by roughly one</w:t>
      </w:r>
      <w:r>
        <w:t xml:space="preserve"> </w:t>
      </w:r>
      <w:r>
        <w:t xml:space="preserve">and a half Zipf units while length, neighbourhood density and OLD20 are almost</w:t>
      </w:r>
      <w:r>
        <w:t xml:space="preserve"> </w:t>
      </w:r>
      <w:r>
        <w:t xml:space="preserve">identical across conditions. In the English neighbourhood contrast</w:t>
      </w:r>
      <w:r>
        <w:t xml:space="preserve"> </w:t>
      </w:r>
      <w:r>
        <w:t xml:space="preserve">(</w:t>
      </w:r>
      <w:hyperlink w:anchor="tbl-desc-nd">
        <w:r>
          <w:rPr>
            <w:rStyle w:val="Hyperlink"/>
          </w:rPr>
          <w:t xml:space="preserve">Table 4</w:t>
        </w:r>
      </w:hyperlink>
      <w:r>
        <w:t xml:space="preserve">) neighbourhood density is separated by an order of magnitude with</w:t>
      </w:r>
      <w:r>
        <w:t xml:space="preserve"> </w:t>
      </w:r>
      <w:r>
        <w:t xml:space="preserve">length and frequency held constant; OLD20, which is mathematically related to N,</w:t>
      </w:r>
      <w:r>
        <w:t xml:space="preserve"> </w:t>
      </w:r>
      <w:r>
        <w:t xml:space="preserve">moves with the manipulation rather than being held constant, as expected.</w:t>
      </w:r>
    </w:p>
    <w:tbl>
      <w:tblPr>
        <w:tblStyle w:val="Table"/>
        <w:tblW w:type="pct" w:w="5000"/>
        <w:tblLayout w:type="fixed"/>
        <w:tblLook w:firstRow="0" w:lastRow="0" w:firstColumn="0" w:lastColumn="0" w:noHBand="0" w:noVBand="0" w:val="0000"/>
      </w:tblPr>
      <w:tblGrid>
        <w:gridCol w:w="7920"/>
      </w:tblGrid>
      <w:tr>
        <w:tc>
          <w:tcPr/>
          <w:bookmarkStart w:id="24" w:name="tbl-desc-freq"/>
          <w:p>
            <w:pPr>
              <w:jc w:val="center"/>
            </w:pPr>
            <w:pPr>
              <w:jc w:val="left"/>
              <w:spacing w:before="200"/>
              <w:pStyle w:val="ImageCaption"/>
            </w:pPr>
            <w:r>
              <w:t xml:space="preserve">Table 3:</w:t>
            </w:r>
            <w:r>
              <w:t xml:space="preserve"> </w:t>
            </w:r>
            <w:r>
              <w:rPr>
                <w:i/>
                <w:iCs/>
              </w:rPr>
              <w:t xml:space="preserve">Descriptive Statistics per Condition: English Frequency Contrast.</w:t>
            </w:r>
            <w:r>
              <w:t xml:space="preserve"> </w:t>
            </w:r>
            <w:r>
              <w:rPr>
                <w:i/>
                <w:iCs/>
              </w:rPr>
              <w:t xml:space="preserve">Note.</w:t>
            </w:r>
            <w:r>
              <w:t xml:space="preserve"> </w:t>
            </w:r>
            <w:r>
              <w:t xml:space="preserve">R engine.</w:t>
            </w:r>
          </w:p>
          <w:tbl>
            <w:tblPr>
              <w:tblStyle w:val="Table"/>
              <w:tblW w:type="pct" w:w="5000"/>
              <w:tblLayout w:type="fixed"/>
              <w:tblLook w:firstRow="1" w:lastRow="0" w:firstColumn="0" w:lastColumn="0" w:noHBand="0" w:noVBand="0" w:val="0020"/>
            </w:tblPr>
            <w:tblGrid>
              <w:gridCol w:w="1827"/>
              <w:gridCol w:w="2071"/>
              <w:gridCol w:w="365"/>
              <w:gridCol w:w="731"/>
              <w:gridCol w:w="731"/>
              <w:gridCol w:w="609"/>
              <w:gridCol w:w="852"/>
              <w:gridCol w:w="731"/>
            </w:tblGrid>
            <w:tr>
              <w:trPr>
                <w:tblHeader w:val="on"/>
              </w:trPr>
              <w:tc>
                <w:tcPr/>
                <w:p>
                  <w:pPr>
                    <w:pStyle w:val="Compact"/>
                    <w:jc w:val="left"/>
                    <w:jc w:val="center"/>
                  </w:pPr>
                  <w:r>
                    <w:t xml:space="preserve">Condition</w:t>
                  </w:r>
                </w:p>
              </w:tc>
              <w:tc>
                <w:tcPr/>
                <w:p>
                  <w:pPr>
                    <w:pStyle w:val="Compact"/>
                    <w:jc w:val="left"/>
                    <w:jc w:val="center"/>
                  </w:pPr>
                  <w:r>
                    <w:t xml:space="preserve">Dimension</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Median</w:t>
                  </w:r>
                </w:p>
              </w:tc>
              <w:tc>
                <w:tcPr/>
                <w:p>
                  <w:pPr>
                    <w:pStyle w:val="Compact"/>
                    <w:jc w:val="right"/>
                    <w:jc w:val="center"/>
                  </w:pPr>
                  <w:r>
                    <w:t xml:space="preserve">Max</w:t>
                  </w:r>
                </w:p>
              </w:tc>
            </w:tr>
            <w:tr>
              <w:tc>
                <w:tcPr/>
                <w:p>
                  <w:pPr>
                    <w:pStyle w:val="Compact"/>
                    <w:jc w:val="left"/>
                    <w:jc w:val="center"/>
                  </w:pPr>
                  <w:r>
                    <w:t xml:space="preserve">high frequency</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4.700</w:t>
                  </w:r>
                </w:p>
              </w:tc>
              <w:tc>
                <w:tcPr/>
                <w:p>
                  <w:pPr>
                    <w:pStyle w:val="Compact"/>
                    <w:jc w:val="right"/>
                    <w:jc w:val="center"/>
                  </w:pPr>
                  <w:r>
                    <w:t xml:space="preserve">1.427</w:t>
                  </w:r>
                </w:p>
              </w:tc>
              <w:tc>
                <w:tcPr/>
                <w:p>
                  <w:pPr>
                    <w:pStyle w:val="Compact"/>
                    <w:jc w:val="right"/>
                    <w:jc w:val="center"/>
                  </w:pPr>
                  <w:r>
                    <w:t xml:space="preserve">3.00</w:t>
                  </w:r>
                </w:p>
              </w:tc>
              <w:tc>
                <w:tcPr/>
                <w:p>
                  <w:pPr>
                    <w:pStyle w:val="Compact"/>
                    <w:jc w:val="right"/>
                    <w:jc w:val="center"/>
                  </w:pPr>
                  <w:r>
                    <w:t xml:space="preserve">4.000</w:t>
                  </w:r>
                </w:p>
              </w:tc>
              <w:tc>
                <w:tcPr/>
                <w:p>
                  <w:pPr>
                    <w:pStyle w:val="Compact"/>
                    <w:jc w:val="right"/>
                    <w:jc w:val="center"/>
                  </w:pPr>
                  <w:r>
                    <w:t xml:space="preserve">8.00</w:t>
                  </w:r>
                </w:p>
              </w:tc>
            </w:tr>
            <w:tr>
              <w:tc>
                <w:tcPr/>
                <w:p>
                  <w:pPr>
                    <w:pStyle w:val="Compact"/>
                    <w:jc w:val="left"/>
                    <w:jc w:val="center"/>
                  </w:pPr>
                  <w:r>
                    <w:t xml:space="preserve">high frequency</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5.578</w:t>
                  </w:r>
                </w:p>
              </w:tc>
              <w:tc>
                <w:tcPr/>
                <w:p>
                  <w:pPr>
                    <w:pStyle w:val="Compact"/>
                    <w:jc w:val="right"/>
                    <w:jc w:val="center"/>
                  </w:pPr>
                  <w:r>
                    <w:t xml:space="preserve">0.369</w:t>
                  </w:r>
                </w:p>
              </w:tc>
              <w:tc>
                <w:tcPr/>
                <w:p>
                  <w:pPr>
                    <w:pStyle w:val="Compact"/>
                    <w:jc w:val="right"/>
                    <w:jc w:val="center"/>
                  </w:pPr>
                  <w:r>
                    <w:t xml:space="preserve">5.20</w:t>
                  </w:r>
                </w:p>
              </w:tc>
              <w:tc>
                <w:tcPr/>
                <w:p>
                  <w:pPr>
                    <w:pStyle w:val="Compact"/>
                    <w:jc w:val="right"/>
                    <w:jc w:val="center"/>
                  </w:pPr>
                  <w:r>
                    <w:t xml:space="preserve">5.455</w:t>
                  </w:r>
                </w:p>
              </w:tc>
              <w:tc>
                <w:tcPr/>
                <w:p>
                  <w:pPr>
                    <w:pStyle w:val="Compact"/>
                    <w:jc w:val="right"/>
                    <w:jc w:val="center"/>
                  </w:pPr>
                  <w:r>
                    <w:t xml:space="preserve">6.98</w:t>
                  </w:r>
                </w:p>
              </w:tc>
            </w:tr>
            <w:tr>
              <w:tc>
                <w:tcPr/>
                <w:p>
                  <w:pPr>
                    <w:pStyle w:val="Compact"/>
                    <w:jc w:val="left"/>
                    <w:jc w:val="center"/>
                  </w:pPr>
                  <w:r>
                    <w:t xml:space="preserve">high frequency</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7.812</w:t>
                  </w:r>
                </w:p>
              </w:tc>
              <w:tc>
                <w:tcPr/>
                <w:p>
                  <w:pPr>
                    <w:pStyle w:val="Compact"/>
                    <w:jc w:val="right"/>
                    <w:jc w:val="center"/>
                  </w:pPr>
                  <w:r>
                    <w:t xml:space="preserve">8.344</w:t>
                  </w:r>
                </w:p>
              </w:tc>
              <w:tc>
                <w:tcPr/>
                <w:p>
                  <w:pPr>
                    <w:pStyle w:val="Compact"/>
                    <w:jc w:val="right"/>
                    <w:jc w:val="center"/>
                  </w:pPr>
                  <w:r>
                    <w:t xml:space="preserve">0.00</w:t>
                  </w:r>
                </w:p>
              </w:tc>
              <w:tc>
                <w:tcPr/>
                <w:p>
                  <w:pPr>
                    <w:pStyle w:val="Compact"/>
                    <w:jc w:val="right"/>
                    <w:jc w:val="center"/>
                  </w:pPr>
                  <w:r>
                    <w:t xml:space="preserve">5.000</w:t>
                  </w:r>
                </w:p>
              </w:tc>
              <w:tc>
                <w:tcPr/>
                <w:p>
                  <w:pPr>
                    <w:pStyle w:val="Compact"/>
                    <w:jc w:val="right"/>
                    <w:jc w:val="center"/>
                  </w:pPr>
                  <w:r>
                    <w:t xml:space="preserve">34.00</w:t>
                  </w:r>
                </w:p>
              </w:tc>
            </w:tr>
            <w:tr>
              <w:tc>
                <w:tcPr/>
                <w:p>
                  <w:pPr>
                    <w:pStyle w:val="Compact"/>
                    <w:jc w:val="left"/>
                    <w:jc w:val="center"/>
                  </w:pPr>
                  <w:r>
                    <w:t xml:space="preserve">high frequency</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1.629</w:t>
                  </w:r>
                </w:p>
              </w:tc>
              <w:tc>
                <w:tcPr/>
                <w:p>
                  <w:pPr>
                    <w:pStyle w:val="Compact"/>
                    <w:jc w:val="right"/>
                    <w:jc w:val="center"/>
                  </w:pPr>
                  <w:r>
                    <w:t xml:space="preserve">0.541</w:t>
                  </w:r>
                </w:p>
              </w:tc>
              <w:tc>
                <w:tcPr/>
                <w:p>
                  <w:pPr>
                    <w:pStyle w:val="Compact"/>
                    <w:jc w:val="right"/>
                    <w:jc w:val="center"/>
                  </w:pPr>
                  <w:r>
                    <w:t xml:space="preserve">1.00</w:t>
                  </w:r>
                </w:p>
              </w:tc>
              <w:tc>
                <w:tcPr/>
                <w:p>
                  <w:pPr>
                    <w:pStyle w:val="Compact"/>
                    <w:jc w:val="right"/>
                    <w:jc w:val="center"/>
                  </w:pPr>
                  <w:r>
                    <w:t xml:space="preserve">1.600</w:t>
                  </w:r>
                </w:p>
              </w:tc>
              <w:tc>
                <w:tcPr/>
                <w:p>
                  <w:pPr>
                    <w:pStyle w:val="Compact"/>
                    <w:jc w:val="right"/>
                    <w:jc w:val="center"/>
                  </w:pPr>
                  <w:r>
                    <w:t xml:space="preserve">3.10</w:t>
                  </w:r>
                </w:p>
              </w:tc>
            </w:tr>
            <w:tr>
              <w:tc>
                <w:tcPr/>
                <w:p>
                  <w:pPr>
                    <w:pStyle w:val="Compact"/>
                    <w:jc w:val="left"/>
                    <w:jc w:val="center"/>
                  </w:pPr>
                  <w:r>
                    <w:t xml:space="preserve">low frequency</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4.662</w:t>
                  </w:r>
                </w:p>
              </w:tc>
              <w:tc>
                <w:tcPr/>
                <w:p>
                  <w:pPr>
                    <w:pStyle w:val="Compact"/>
                    <w:jc w:val="right"/>
                    <w:jc w:val="center"/>
                  </w:pPr>
                  <w:r>
                    <w:t xml:space="preserve">1.350</w:t>
                  </w:r>
                </w:p>
              </w:tc>
              <w:tc>
                <w:tcPr/>
                <w:p>
                  <w:pPr>
                    <w:pStyle w:val="Compact"/>
                    <w:jc w:val="right"/>
                    <w:jc w:val="center"/>
                  </w:pPr>
                  <w:r>
                    <w:t xml:space="preserve">3.00</w:t>
                  </w:r>
                </w:p>
              </w:tc>
              <w:tc>
                <w:tcPr/>
                <w:p>
                  <w:pPr>
                    <w:pStyle w:val="Compact"/>
                    <w:jc w:val="right"/>
                    <w:jc w:val="center"/>
                  </w:pPr>
                  <w:r>
                    <w:t xml:space="preserve">4.000</w:t>
                  </w:r>
                </w:p>
              </w:tc>
              <w:tc>
                <w:tcPr/>
                <w:p>
                  <w:pPr>
                    <w:pStyle w:val="Compact"/>
                    <w:jc w:val="right"/>
                    <w:jc w:val="center"/>
                  </w:pPr>
                  <w:r>
                    <w:t xml:space="preserve">7.00</w:t>
                  </w:r>
                </w:p>
              </w:tc>
            </w:tr>
            <w:tr>
              <w:tc>
                <w:tcPr/>
                <w:p>
                  <w:pPr>
                    <w:pStyle w:val="Compact"/>
                    <w:jc w:val="left"/>
                    <w:jc w:val="center"/>
                  </w:pPr>
                  <w:r>
                    <w:t xml:space="preserve">low frequency</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4.064</w:t>
                  </w:r>
                </w:p>
              </w:tc>
              <w:tc>
                <w:tcPr/>
                <w:p>
                  <w:pPr>
                    <w:pStyle w:val="Compact"/>
                    <w:jc w:val="right"/>
                    <w:jc w:val="center"/>
                  </w:pPr>
                  <w:r>
                    <w:t xml:space="preserve">0.170</w:t>
                  </w:r>
                </w:p>
              </w:tc>
              <w:tc>
                <w:tcPr/>
                <w:p>
                  <w:pPr>
                    <w:pStyle w:val="Compact"/>
                    <w:jc w:val="right"/>
                    <w:jc w:val="center"/>
                  </w:pPr>
                  <w:r>
                    <w:t xml:space="preserve">3.82</w:t>
                  </w:r>
                </w:p>
              </w:tc>
              <w:tc>
                <w:tcPr/>
                <w:p>
                  <w:pPr>
                    <w:pStyle w:val="Compact"/>
                    <w:jc w:val="right"/>
                    <w:jc w:val="center"/>
                  </w:pPr>
                  <w:r>
                    <w:t xml:space="preserve">4.035</w:t>
                  </w:r>
                </w:p>
              </w:tc>
              <w:tc>
                <w:tcPr/>
                <w:p>
                  <w:pPr>
                    <w:pStyle w:val="Compact"/>
                    <w:jc w:val="right"/>
                    <w:jc w:val="center"/>
                  </w:pPr>
                  <w:r>
                    <w:t xml:space="preserve">4.40</w:t>
                  </w:r>
                </w:p>
              </w:tc>
            </w:tr>
            <w:tr>
              <w:tc>
                <w:tcPr/>
                <w:p>
                  <w:pPr>
                    <w:pStyle w:val="Compact"/>
                    <w:jc w:val="left"/>
                    <w:jc w:val="center"/>
                  </w:pPr>
                  <w:r>
                    <w:t xml:space="preserve">low frequency</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7.513</w:t>
                  </w:r>
                </w:p>
              </w:tc>
              <w:tc>
                <w:tcPr/>
                <w:p>
                  <w:pPr>
                    <w:pStyle w:val="Compact"/>
                    <w:jc w:val="right"/>
                    <w:jc w:val="center"/>
                  </w:pPr>
                  <w:r>
                    <w:t xml:space="preserve">7.480</w:t>
                  </w:r>
                </w:p>
              </w:tc>
              <w:tc>
                <w:tcPr/>
                <w:p>
                  <w:pPr>
                    <w:pStyle w:val="Compact"/>
                    <w:jc w:val="right"/>
                    <w:jc w:val="center"/>
                  </w:pPr>
                  <w:r>
                    <w:t xml:space="preserve">0.00</w:t>
                  </w:r>
                </w:p>
              </w:tc>
              <w:tc>
                <w:tcPr/>
                <w:p>
                  <w:pPr>
                    <w:pStyle w:val="Compact"/>
                    <w:jc w:val="right"/>
                    <w:jc w:val="center"/>
                  </w:pPr>
                  <w:r>
                    <w:t xml:space="preserve">5.000</w:t>
                  </w:r>
                </w:p>
              </w:tc>
              <w:tc>
                <w:tcPr/>
                <w:p>
                  <w:pPr>
                    <w:pStyle w:val="Compact"/>
                    <w:jc w:val="right"/>
                    <w:jc w:val="center"/>
                  </w:pPr>
                  <w:r>
                    <w:t xml:space="preserve">24.00</w:t>
                  </w:r>
                </w:p>
              </w:tc>
            </w:tr>
            <w:tr>
              <w:tc>
                <w:tcPr/>
                <w:p>
                  <w:pPr>
                    <w:pStyle w:val="Compact"/>
                    <w:jc w:val="left"/>
                    <w:jc w:val="center"/>
                  </w:pPr>
                  <w:r>
                    <w:t xml:space="preserve">low frequency</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1.624</w:t>
                  </w:r>
                </w:p>
              </w:tc>
              <w:tc>
                <w:tcPr/>
                <w:p>
                  <w:pPr>
                    <w:pStyle w:val="Compact"/>
                    <w:jc w:val="right"/>
                    <w:jc w:val="center"/>
                  </w:pPr>
                  <w:r>
                    <w:t xml:space="preserve">0.518</w:t>
                  </w:r>
                </w:p>
              </w:tc>
              <w:tc>
                <w:tcPr/>
                <w:p>
                  <w:pPr>
                    <w:pStyle w:val="Compact"/>
                    <w:jc w:val="right"/>
                    <w:jc w:val="center"/>
                  </w:pPr>
                  <w:r>
                    <w:t xml:space="preserve">1.00</w:t>
                  </w:r>
                </w:p>
              </w:tc>
              <w:tc>
                <w:tcPr/>
                <w:p>
                  <w:pPr>
                    <w:pStyle w:val="Compact"/>
                    <w:jc w:val="right"/>
                    <w:jc w:val="center"/>
                  </w:pPr>
                  <w:r>
                    <w:t xml:space="preserve">1.600</w:t>
                  </w:r>
                </w:p>
              </w:tc>
              <w:tc>
                <w:tcPr/>
                <w:p>
                  <w:pPr>
                    <w:pStyle w:val="Compact"/>
                    <w:jc w:val="right"/>
                    <w:jc w:val="center"/>
                  </w:pPr>
                  <w:r>
                    <w:t xml:space="preserve">2.70</w:t>
                  </w:r>
                </w:p>
              </w:tc>
            </w:tr>
          </w:tbl>
          <w:bookmarkEnd w:id="2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desc-nd"/>
          <w:p>
            <w:pPr>
              <w:jc w:val="center"/>
            </w:pPr>
            <w:pPr>
              <w:jc w:val="left"/>
              <w:spacing w:before="200"/>
              <w:pStyle w:val="ImageCaption"/>
            </w:pPr>
            <w:r>
              <w:t xml:space="preserve">Table 4:</w:t>
            </w:r>
            <w:r>
              <w:t xml:space="preserve"> </w:t>
            </w:r>
            <w:r>
              <w:rPr>
                <w:i/>
                <w:iCs/>
              </w:rPr>
              <w:t xml:space="preserve">Descriptive Statistics per Condition: English Neighbourhood-Density Contrast.</w:t>
            </w:r>
            <w:r>
              <w:t xml:space="preserve"> </w:t>
            </w:r>
            <w:r>
              <w:rPr>
                <w:i/>
                <w:iCs/>
              </w:rPr>
              <w:t xml:space="preserve">Note.</w:t>
            </w:r>
            <w:r>
              <w:t xml:space="preserve"> </w:t>
            </w:r>
            <w:r>
              <w:t xml:space="preserve">R engine.</w:t>
            </w:r>
          </w:p>
          <w:tbl>
            <w:tblPr>
              <w:tblStyle w:val="Table"/>
              <w:tblW w:type="pct" w:w="5000"/>
              <w:tblLayout w:type="fixed"/>
              <w:tblLook w:firstRow="1" w:lastRow="0" w:firstColumn="0" w:lastColumn="0" w:noHBand="0" w:noVBand="0" w:val="0020"/>
            </w:tblPr>
            <w:tblGrid>
              <w:gridCol w:w="2342"/>
              <w:gridCol w:w="1896"/>
              <w:gridCol w:w="334"/>
              <w:gridCol w:w="669"/>
              <w:gridCol w:w="669"/>
              <w:gridCol w:w="557"/>
              <w:gridCol w:w="780"/>
              <w:gridCol w:w="669"/>
            </w:tblGrid>
            <w:tr>
              <w:trPr>
                <w:tblHeader w:val="on"/>
              </w:trPr>
              <w:tc>
                <w:tcPr/>
                <w:p>
                  <w:pPr>
                    <w:pStyle w:val="Compact"/>
                    <w:jc w:val="left"/>
                    <w:jc w:val="center"/>
                  </w:pPr>
                  <w:r>
                    <w:t xml:space="preserve">Condition</w:t>
                  </w:r>
                </w:p>
              </w:tc>
              <w:tc>
                <w:tcPr/>
                <w:p>
                  <w:pPr>
                    <w:pStyle w:val="Compact"/>
                    <w:jc w:val="left"/>
                    <w:jc w:val="center"/>
                  </w:pPr>
                  <w:r>
                    <w:t xml:space="preserve">Dimension</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Median</w:t>
                  </w:r>
                </w:p>
              </w:tc>
              <w:tc>
                <w:tcPr/>
                <w:p>
                  <w:pPr>
                    <w:pStyle w:val="Compact"/>
                    <w:jc w:val="right"/>
                    <w:jc w:val="center"/>
                  </w:pPr>
                  <w:r>
                    <w:t xml:space="preserve">Max</w:t>
                  </w:r>
                </w:p>
              </w:tc>
            </w:tr>
            <w:tr>
              <w:tc>
                <w:tcPr/>
                <w:p>
                  <w:pPr>
                    <w:pStyle w:val="Compact"/>
                    <w:jc w:val="left"/>
                    <w:jc w:val="center"/>
                  </w:pPr>
                  <w:r>
                    <w:t xml:space="preserve">dense neighbourhood</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4.787</w:t>
                  </w:r>
                </w:p>
              </w:tc>
              <w:tc>
                <w:tcPr/>
                <w:p>
                  <w:pPr>
                    <w:pStyle w:val="Compact"/>
                    <w:jc w:val="right"/>
                    <w:jc w:val="center"/>
                  </w:pPr>
                  <w:r>
                    <w:t xml:space="preserve">0.650</w:t>
                  </w:r>
                </w:p>
              </w:tc>
              <w:tc>
                <w:tcPr/>
                <w:p>
                  <w:pPr>
                    <w:pStyle w:val="Compact"/>
                    <w:jc w:val="right"/>
                    <w:jc w:val="center"/>
                  </w:pPr>
                  <w:r>
                    <w:t xml:space="preserve">4.00</w:t>
                  </w:r>
                </w:p>
              </w:tc>
              <w:tc>
                <w:tcPr/>
                <w:p>
                  <w:pPr>
                    <w:pStyle w:val="Compact"/>
                    <w:jc w:val="right"/>
                    <w:jc w:val="center"/>
                  </w:pPr>
                  <w:r>
                    <w:t xml:space="preserve">5.000</w:t>
                  </w:r>
                </w:p>
              </w:tc>
              <w:tc>
                <w:tcPr/>
                <w:p>
                  <w:pPr>
                    <w:pStyle w:val="Compact"/>
                    <w:jc w:val="right"/>
                    <w:jc w:val="center"/>
                  </w:pPr>
                  <w:r>
                    <w:t xml:space="preserve">6.00</w:t>
                  </w:r>
                </w:p>
              </w:tc>
            </w:tr>
            <w:tr>
              <w:tc>
                <w:tcPr/>
                <w:p>
                  <w:pPr>
                    <w:pStyle w:val="Compact"/>
                    <w:jc w:val="left"/>
                    <w:jc w:val="center"/>
                  </w:pPr>
                  <w:r>
                    <w:t xml:space="preserve">dense neighbourhood</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4.249</w:t>
                  </w:r>
                </w:p>
              </w:tc>
              <w:tc>
                <w:tcPr/>
                <w:p>
                  <w:pPr>
                    <w:pStyle w:val="Compact"/>
                    <w:jc w:val="right"/>
                    <w:jc w:val="center"/>
                  </w:pPr>
                  <w:r>
                    <w:t xml:space="preserve">0.311</w:t>
                  </w:r>
                </w:p>
              </w:tc>
              <w:tc>
                <w:tcPr/>
                <w:p>
                  <w:pPr>
                    <w:pStyle w:val="Compact"/>
                    <w:jc w:val="right"/>
                    <w:jc w:val="center"/>
                  </w:pPr>
                  <w:r>
                    <w:t xml:space="preserve">3.81</w:t>
                  </w:r>
                </w:p>
              </w:tc>
              <w:tc>
                <w:tcPr/>
                <w:p>
                  <w:pPr>
                    <w:pStyle w:val="Compact"/>
                    <w:jc w:val="right"/>
                    <w:jc w:val="center"/>
                  </w:pPr>
                  <w:r>
                    <w:t xml:space="preserve">4.225</w:t>
                  </w:r>
                </w:p>
              </w:tc>
              <w:tc>
                <w:tcPr/>
                <w:p>
                  <w:pPr>
                    <w:pStyle w:val="Compact"/>
                    <w:jc w:val="right"/>
                    <w:jc w:val="center"/>
                  </w:pPr>
                  <w:r>
                    <w:t xml:space="preserve">5.15</w:t>
                  </w:r>
                </w:p>
              </w:tc>
            </w:tr>
            <w:tr>
              <w:tc>
                <w:tcPr/>
                <w:p>
                  <w:pPr>
                    <w:pStyle w:val="Compact"/>
                    <w:jc w:val="left"/>
                    <w:jc w:val="center"/>
                  </w:pPr>
                  <w:r>
                    <w:t xml:space="preserve">dense neighbourhood</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8.363</w:t>
                  </w:r>
                </w:p>
              </w:tc>
              <w:tc>
                <w:tcPr/>
                <w:p>
                  <w:pPr>
                    <w:pStyle w:val="Compact"/>
                    <w:jc w:val="right"/>
                    <w:jc w:val="center"/>
                  </w:pPr>
                  <w:r>
                    <w:t xml:space="preserve">3.530</w:t>
                  </w:r>
                </w:p>
              </w:tc>
              <w:tc>
                <w:tcPr/>
                <w:p>
                  <w:pPr>
                    <w:pStyle w:val="Compact"/>
                    <w:jc w:val="right"/>
                    <w:jc w:val="center"/>
                  </w:pPr>
                  <w:r>
                    <w:t xml:space="preserve">5.00</w:t>
                  </w:r>
                </w:p>
              </w:tc>
              <w:tc>
                <w:tcPr/>
                <w:p>
                  <w:pPr>
                    <w:pStyle w:val="Compact"/>
                    <w:jc w:val="right"/>
                    <w:jc w:val="center"/>
                  </w:pPr>
                  <w:r>
                    <w:t xml:space="preserve">7.500</w:t>
                  </w:r>
                </w:p>
              </w:tc>
              <w:tc>
                <w:tcPr/>
                <w:p>
                  <w:pPr>
                    <w:pStyle w:val="Compact"/>
                    <w:jc w:val="right"/>
                    <w:jc w:val="center"/>
                  </w:pPr>
                  <w:r>
                    <w:t xml:space="preserve">20.00</w:t>
                  </w:r>
                </w:p>
              </w:tc>
            </w:tr>
            <w:tr>
              <w:tc>
                <w:tcPr/>
                <w:p>
                  <w:pPr>
                    <w:pStyle w:val="Compact"/>
                    <w:jc w:val="left"/>
                    <w:jc w:val="center"/>
                  </w:pPr>
                  <w:r>
                    <w:t xml:space="preserve">dense neighbourhood</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1.448</w:t>
                  </w:r>
                </w:p>
              </w:tc>
              <w:tc>
                <w:tcPr/>
                <w:p>
                  <w:pPr>
                    <w:pStyle w:val="Compact"/>
                    <w:jc w:val="right"/>
                    <w:jc w:val="center"/>
                  </w:pPr>
                  <w:r>
                    <w:t xml:space="preserve">0.197</w:t>
                  </w:r>
                </w:p>
              </w:tc>
              <w:tc>
                <w:tcPr/>
                <w:p>
                  <w:pPr>
                    <w:pStyle w:val="Compact"/>
                    <w:jc w:val="right"/>
                    <w:jc w:val="center"/>
                  </w:pPr>
                  <w:r>
                    <w:t xml:space="preserve">1.00</w:t>
                  </w:r>
                </w:p>
              </w:tc>
              <w:tc>
                <w:tcPr/>
                <w:p>
                  <w:pPr>
                    <w:pStyle w:val="Compact"/>
                    <w:jc w:val="right"/>
                    <w:jc w:val="center"/>
                  </w:pPr>
                  <w:r>
                    <w:t xml:space="preserve">1.500</w:t>
                  </w:r>
                </w:p>
              </w:tc>
              <w:tc>
                <w:tcPr/>
                <w:p>
                  <w:pPr>
                    <w:pStyle w:val="Compact"/>
                    <w:jc w:val="right"/>
                    <w:jc w:val="center"/>
                  </w:pPr>
                  <w:r>
                    <w:t xml:space="preserve">1.75</w:t>
                  </w:r>
                </w:p>
              </w:tc>
            </w:tr>
            <w:tr>
              <w:tc>
                <w:tcPr/>
                <w:p>
                  <w:pPr>
                    <w:pStyle w:val="Compact"/>
                    <w:jc w:val="left"/>
                    <w:jc w:val="center"/>
                  </w:pPr>
                  <w:r>
                    <w:t xml:space="preserve">sparse neighbourhood</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4.787</w:t>
                  </w:r>
                </w:p>
              </w:tc>
              <w:tc>
                <w:tcPr/>
                <w:p>
                  <w:pPr>
                    <w:pStyle w:val="Compact"/>
                    <w:jc w:val="right"/>
                    <w:jc w:val="center"/>
                  </w:pPr>
                  <w:r>
                    <w:t xml:space="preserve">0.650</w:t>
                  </w:r>
                </w:p>
              </w:tc>
              <w:tc>
                <w:tcPr/>
                <w:p>
                  <w:pPr>
                    <w:pStyle w:val="Compact"/>
                    <w:jc w:val="right"/>
                    <w:jc w:val="center"/>
                  </w:pPr>
                  <w:r>
                    <w:t xml:space="preserve">4.00</w:t>
                  </w:r>
                </w:p>
              </w:tc>
              <w:tc>
                <w:tcPr/>
                <w:p>
                  <w:pPr>
                    <w:pStyle w:val="Compact"/>
                    <w:jc w:val="right"/>
                    <w:jc w:val="center"/>
                  </w:pPr>
                  <w:r>
                    <w:t xml:space="preserve">5.000</w:t>
                  </w:r>
                </w:p>
              </w:tc>
              <w:tc>
                <w:tcPr/>
                <w:p>
                  <w:pPr>
                    <w:pStyle w:val="Compact"/>
                    <w:jc w:val="right"/>
                    <w:jc w:val="center"/>
                  </w:pPr>
                  <w:r>
                    <w:t xml:space="preserve">6.00</w:t>
                  </w:r>
                </w:p>
              </w:tc>
            </w:tr>
            <w:tr>
              <w:tc>
                <w:tcPr/>
                <w:p>
                  <w:pPr>
                    <w:pStyle w:val="Compact"/>
                    <w:jc w:val="left"/>
                    <w:jc w:val="center"/>
                  </w:pPr>
                  <w:r>
                    <w:t xml:space="preserve">sparse neighbourhood</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4.249</w:t>
                  </w:r>
                </w:p>
              </w:tc>
              <w:tc>
                <w:tcPr/>
                <w:p>
                  <w:pPr>
                    <w:pStyle w:val="Compact"/>
                    <w:jc w:val="right"/>
                    <w:jc w:val="center"/>
                  </w:pPr>
                  <w:r>
                    <w:t xml:space="preserve">0.311</w:t>
                  </w:r>
                </w:p>
              </w:tc>
              <w:tc>
                <w:tcPr/>
                <w:p>
                  <w:pPr>
                    <w:pStyle w:val="Compact"/>
                    <w:jc w:val="right"/>
                    <w:jc w:val="center"/>
                  </w:pPr>
                  <w:r>
                    <w:t xml:space="preserve">3.81</w:t>
                  </w:r>
                </w:p>
              </w:tc>
              <w:tc>
                <w:tcPr/>
                <w:p>
                  <w:pPr>
                    <w:pStyle w:val="Compact"/>
                    <w:jc w:val="right"/>
                    <w:jc w:val="center"/>
                  </w:pPr>
                  <w:r>
                    <w:t xml:space="preserve">4.225</w:t>
                  </w:r>
                </w:p>
              </w:tc>
              <w:tc>
                <w:tcPr/>
                <w:p>
                  <w:pPr>
                    <w:pStyle w:val="Compact"/>
                    <w:jc w:val="right"/>
                    <w:jc w:val="center"/>
                  </w:pPr>
                  <w:r>
                    <w:t xml:space="preserve">5.15</w:t>
                  </w:r>
                </w:p>
              </w:tc>
            </w:tr>
            <w:tr>
              <w:tc>
                <w:tcPr/>
                <w:p>
                  <w:pPr>
                    <w:pStyle w:val="Compact"/>
                    <w:jc w:val="left"/>
                    <w:jc w:val="center"/>
                  </w:pPr>
                  <w:r>
                    <w:t xml:space="preserve">sparse neighbourhood</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0.525</w:t>
                  </w:r>
                </w:p>
              </w:tc>
              <w:tc>
                <w:tcPr/>
                <w:p>
                  <w:pPr>
                    <w:pStyle w:val="Compact"/>
                    <w:jc w:val="right"/>
                    <w:jc w:val="center"/>
                  </w:pPr>
                  <w:r>
                    <w:t xml:space="preserve">0.503</w:t>
                  </w:r>
                </w:p>
              </w:tc>
              <w:tc>
                <w:tcPr/>
                <w:p>
                  <w:pPr>
                    <w:pStyle w:val="Compact"/>
                    <w:jc w:val="right"/>
                    <w:jc w:val="center"/>
                  </w:pPr>
                  <w:r>
                    <w:t xml:space="preserve">0.00</w:t>
                  </w:r>
                </w:p>
              </w:tc>
              <w:tc>
                <w:tcPr/>
                <w:p>
                  <w:pPr>
                    <w:pStyle w:val="Compact"/>
                    <w:jc w:val="right"/>
                    <w:jc w:val="center"/>
                  </w:pPr>
                  <w:r>
                    <w:t xml:space="preserve">1.000</w:t>
                  </w:r>
                </w:p>
              </w:tc>
              <w:tc>
                <w:tcPr/>
                <w:p>
                  <w:pPr>
                    <w:pStyle w:val="Compact"/>
                    <w:jc w:val="right"/>
                    <w:jc w:val="center"/>
                  </w:pPr>
                  <w:r>
                    <w:t xml:space="preserve">1.00</w:t>
                  </w:r>
                </w:p>
              </w:tc>
            </w:tr>
            <w:tr>
              <w:tc>
                <w:tcPr/>
                <w:p>
                  <w:pPr>
                    <w:pStyle w:val="Compact"/>
                    <w:jc w:val="left"/>
                    <w:jc w:val="center"/>
                  </w:pPr>
                  <w:r>
                    <w:t xml:space="preserve">sparse neighbourhood</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1.970</w:t>
                  </w:r>
                </w:p>
              </w:tc>
              <w:tc>
                <w:tcPr/>
                <w:p>
                  <w:pPr>
                    <w:pStyle w:val="Compact"/>
                    <w:jc w:val="right"/>
                    <w:jc w:val="center"/>
                  </w:pPr>
                  <w:r>
                    <w:t xml:space="preserve">0.253</w:t>
                  </w:r>
                </w:p>
              </w:tc>
              <w:tc>
                <w:tcPr/>
                <w:p>
                  <w:pPr>
                    <w:pStyle w:val="Compact"/>
                    <w:jc w:val="right"/>
                    <w:jc w:val="center"/>
                  </w:pPr>
                  <w:r>
                    <w:t xml:space="preserve">1.60</w:t>
                  </w:r>
                </w:p>
              </w:tc>
              <w:tc>
                <w:tcPr/>
                <w:p>
                  <w:pPr>
                    <w:pStyle w:val="Compact"/>
                    <w:jc w:val="right"/>
                    <w:jc w:val="center"/>
                  </w:pPr>
                  <w:r>
                    <w:t xml:space="preserve">1.900</w:t>
                  </w:r>
                </w:p>
              </w:tc>
              <w:tc>
                <w:tcPr/>
                <w:p>
                  <w:pPr>
                    <w:pStyle w:val="Compact"/>
                    <w:jc w:val="right"/>
                    <w:jc w:val="center"/>
                  </w:pPr>
                  <w:r>
                    <w:t xml:space="preserve">2.95</w:t>
                  </w:r>
                </w:p>
              </w:tc>
            </w:tr>
          </w:tbl>
          <w:bookmarkEnd w:id="25"/>
          <w:p/>
        </w:tc>
      </w:tr>
    </w:tbl>
    <w:bookmarkStart w:id="28" w:name="generalisation-to-a-logographic-script"/>
    <w:p>
      <w:pPr>
        <w:pStyle w:val="Heading2"/>
      </w:pPr>
      <w:r>
        <w:t xml:space="preserve">Generalisation to a logographic script</w:t>
      </w:r>
    </w:p>
    <w:p>
      <w:pPr>
        <w:pStyle w:val="FirstParagraph"/>
      </w:pPr>
      <w:r>
        <w:t xml:space="preserve">The orthographic-neighbourhood measures operate on character strings, so the</w:t>
      </w:r>
      <w:r>
        <w:t xml:space="preserve"> </w:t>
      </w:r>
      <w:r>
        <w:t xml:space="preserve">pipeline is not tied to alphabetic writing. To show this concretely, the fifth</w:t>
      </w:r>
      <w:r>
        <w:t xml:space="preserve"> </w:t>
      </w:r>
      <w:r>
        <w:t xml:space="preserve">demonstration is a high- versus low-frequency contrast in Mandarin Chinese. Its</w:t>
      </w:r>
      <w:r>
        <w:t xml:space="preserve"> </w:t>
      </w:r>
      <w:r>
        <w:t xml:space="preserve">lexicon is derived from the same engine as the others (</w:t>
      </w:r>
      <w:r>
        <w:rPr>
          <w:rStyle w:val="VerbatimChar"/>
        </w:rPr>
        <w:t xml:space="preserve">wordfreq</w:t>
      </w:r>
      <w:r>
        <w:t xml:space="preserve">‘s Chinese data</w:t>
      </w:r>
      <w:r>
        <w:t xml:space="preserve"> </w:t>
      </w:r>
      <w:r>
        <w:t xml:space="preserve">(Speer, 2022)</w:t>
      </w:r>
      <w:r>
        <w:t xml:space="preserve">), and the two conditions are two-character words, the</w:t>
      </w:r>
      <w:r>
        <w:t xml:space="preserve"> </w:t>
      </w:r>
      <w:r>
        <w:t xml:space="preserve">dominant word form in Chinese. Here ’length’</w:t>
      </w:r>
      <w:r>
        <w:t xml:space="preserve"> </w:t>
      </w:r>
      <w:r>
        <w:t xml:space="preserve">is the number of characters, and</w:t>
      </w:r>
      <w:r>
        <w:t xml:space="preserve"> </w:t>
      </w:r>
      <w:r>
        <w:t xml:space="preserve">Coltheart’s N and OLD20 are computed over characters rather than letters; we refer</w:t>
      </w:r>
      <w:r>
        <w:t xml:space="preserve"> </w:t>
      </w:r>
      <w:r>
        <w:t xml:space="preserve">to them as character-level neighbourhood measures. Adding the demonstration</w:t>
      </w:r>
      <w:r>
        <w:t xml:space="preserve"> </w:t>
      </w:r>
      <w:r>
        <w:t xml:space="preserve">required no change to the matching, counterbalancing or scripting code: a design</w:t>
      </w:r>
      <w:r>
        <w:t xml:space="preserve"> </w:t>
      </w:r>
      <w:r>
        <w:t xml:space="preserve">configuration names the Chinese lexicon and a glyph-complete font, and the</w:t>
      </w:r>
      <w:r>
        <w:t xml:space="preserve"> </w:t>
      </w:r>
      <w:r>
        <w:t xml:space="preserve">existing machinery does the rest.</w:t>
      </w:r>
    </w:p>
    <w:p>
      <w:pPr>
        <w:pStyle w:val="BodyText"/>
      </w:pPr>
      <w:hyperlink w:anchor="tbl-desc-zh">
        <w:r>
          <w:rPr>
            <w:rStyle w:val="Hyperlink"/>
          </w:rPr>
          <w:t xml:space="preserve">Table 5</w:t>
        </w:r>
      </w:hyperlink>
      <w:r>
        <w:t xml:space="preserve"> </w:t>
      </w:r>
      <w:r>
        <w:t xml:space="preserve">shows the result. Frequency is separated by about one and a half Zipf</w:t>
      </w:r>
      <w:r>
        <w:t xml:space="preserve"> </w:t>
      </w:r>
      <w:r>
        <w:t xml:space="preserve">units (Cohen’s</w:t>
      </w:r>
      <w:r>
        <w:t xml:space="preserve"> </w:t>
      </w:r>
      <w:r>
        <w:rPr>
          <w:i/>
          <w:iCs/>
        </w:rPr>
        <w:t xml:space="preserve">d</w:t>
      </w:r>
      <w:r>
        <w:t xml:space="preserve"> </w:t>
      </w:r>
      <w:r>
        <w:t xml:space="preserve">≈ 6), while character-length is held constant at two and the</w:t>
      </w:r>
      <w:r>
        <w:t xml:space="preserve"> </w:t>
      </w:r>
      <w:r>
        <w:t xml:space="preserve">character-level neighbourhood measures are equated across conditions (each with a</w:t>
      </w:r>
      <w:r>
        <w:t xml:space="preserve"> </w:t>
      </w:r>
      <w:r>
        <w:t xml:space="preserve">90% confidence interval on</w:t>
      </w:r>
      <w:r>
        <w:t xml:space="preserve"> </w:t>
      </w:r>
      <w:r>
        <w:rPr>
          <w:i/>
          <w:iCs/>
        </w:rPr>
        <w:t xml:space="preserve">d</w:t>
      </w:r>
      <w:r>
        <w:t xml:space="preserve"> </w:t>
      </w:r>
      <w:r>
        <w:t xml:space="preserve">lying within the 0.5-</w:t>
      </w:r>
      <w:r>
        <w:rPr>
          <w:i/>
          <w:iCs/>
        </w:rPr>
        <w:t xml:space="preserve">SD</w:t>
      </w:r>
      <w:r>
        <w:t xml:space="preserve"> </w:t>
      </w:r>
      <w:r>
        <w:t xml:space="preserve">bound, and</w:t>
      </w:r>
      <w:r>
        <w:t xml:space="preserve"> </w:t>
      </w:r>
      <w:r>
        <w:t xml:space="preserve">correspondingly TOST-equivalent). Chinese two-character words have dense</w:t>
      </w:r>
      <w:r>
        <w:t xml:space="preserve"> </w:t>
      </w:r>
      <w:r>
        <w:t xml:space="preserve">orthographic neighbourhoods (tens of single-character substitutions each, an</w:t>
      </w:r>
      <w:r>
        <w:t xml:space="preserve"> </w:t>
      </w:r>
      <w:r>
        <w:t xml:space="preserve">order of magnitude more than the alphabetic words above), and</w:t>
      </w:r>
      <w:r>
        <w:t xml:space="preserve"> </w:t>
      </w:r>
      <w:r>
        <w:t xml:space="preserve">‘lexsync’</w:t>
      </w:r>
      <w:r>
        <w:t xml:space="preserve"> </w:t>
      </w:r>
      <w:r>
        <w:t xml:space="preserve">equates</w:t>
      </w:r>
      <w:r>
        <w:t xml:space="preserve"> </w:t>
      </w:r>
      <w:r>
        <w:t xml:space="preserve">this dense, skewed distribution as readily as the sparse alphabetic one. The</w:t>
      </w:r>
      <w:r>
        <w:t xml:space="preserve"> </w:t>
      </w:r>
      <w:r>
        <w:t xml:space="preserve">generated</w:t>
      </w:r>
      <w:r>
        <w:t xml:space="preserve"> </w:t>
      </w:r>
      <w:r>
        <w:t xml:space="preserve">‘PsychoPy’</w:t>
      </w:r>
      <w:r>
        <w:t xml:space="preserve"> </w:t>
      </w:r>
      <w:r>
        <w:t xml:space="preserve">and</w:t>
      </w:r>
      <w:r>
        <w:t xml:space="preserve"> </w:t>
      </w:r>
      <w:r>
        <w:t xml:space="preserve">‘OpenSesame’</w:t>
      </w:r>
      <w:r>
        <w:t xml:space="preserve"> </w:t>
      </w:r>
      <w:r>
        <w:t xml:space="preserve">experiments set a CJK font, so the</w:t>
      </w:r>
      <w:r>
        <w:t xml:space="preserve"> </w:t>
      </w:r>
      <w:r>
        <w:t xml:space="preserve">characters render directly. The selection is byte-identical across the R and</w:t>
      </w:r>
      <w:r>
        <w:t xml:space="preserve"> </w:t>
      </w:r>
      <w:r>
        <w:t xml:space="preserve">Python engines, exactly as for the alphabetic demonstrations.</w:t>
      </w:r>
    </w:p>
    <w:tbl>
      <w:tblPr>
        <w:tblStyle w:val="Table"/>
        <w:tblW w:type="pct" w:w="5000"/>
        <w:tblLayout w:type="fixed"/>
        <w:tblLook w:firstRow="0" w:lastRow="0" w:firstColumn="0" w:lastColumn="0" w:noHBand="0" w:noVBand="0" w:val="0000"/>
      </w:tblPr>
      <w:tblGrid>
        <w:gridCol w:w="7920"/>
      </w:tblGrid>
      <w:tr>
        <w:tc>
          <w:tcPr/>
          <w:bookmarkStart w:id="26" w:name="tbl-desc-zh"/>
          <w:p>
            <w:pPr>
              <w:jc w:val="center"/>
            </w:pPr>
            <w:pPr>
              <w:jc w:val="left"/>
              <w:spacing w:before="200"/>
              <w:pStyle w:val="ImageCaption"/>
            </w:pPr>
            <w:r>
              <w:t xml:space="preserve">Table 5:</w:t>
            </w:r>
            <w:r>
              <w:t xml:space="preserve"> </w:t>
            </w:r>
            <w:r>
              <w:rPr>
                <w:i/>
                <w:iCs/>
              </w:rPr>
              <w:t xml:space="preserve">Descriptive Statistics per Condition: Mandarin Chinese Frequency Contrast.</w:t>
            </w:r>
            <w:r>
              <w:t xml:space="preserve"> </w:t>
            </w:r>
            <w:r>
              <w:rPr>
                <w:i/>
                <w:iCs/>
              </w:rPr>
              <w:t xml:space="preserve">Note.</w:t>
            </w:r>
            <w:r>
              <w:t xml:space="preserve"> </w:t>
            </w:r>
            <w:r>
              <w:t xml:space="preserve">Length is in characters; neighbourhood N and OLD20 are character-level measures. R engine.</w:t>
            </w:r>
          </w:p>
          <w:tbl>
            <w:tblPr>
              <w:tblStyle w:val="Table"/>
              <w:tblW w:type="pct" w:w="5000"/>
              <w:tblLayout w:type="fixed"/>
              <w:tblLook w:firstRow="1" w:lastRow="0" w:firstColumn="0" w:lastColumn="0" w:noHBand="0" w:noVBand="0" w:val="0020"/>
            </w:tblPr>
            <w:tblGrid>
              <w:gridCol w:w="1747"/>
              <w:gridCol w:w="1980"/>
              <w:gridCol w:w="349"/>
              <w:gridCol w:w="815"/>
              <w:gridCol w:w="815"/>
              <w:gridCol w:w="582"/>
              <w:gridCol w:w="815"/>
              <w:gridCol w:w="815"/>
            </w:tblGrid>
            <w:tr>
              <w:trPr>
                <w:tblHeader w:val="on"/>
              </w:trPr>
              <w:tc>
                <w:tcPr/>
                <w:p>
                  <w:pPr>
                    <w:pStyle w:val="Compact"/>
                    <w:jc w:val="left"/>
                    <w:jc w:val="center"/>
                  </w:pPr>
                  <w:r>
                    <w:t xml:space="preserve">Condition</w:t>
                  </w:r>
                </w:p>
              </w:tc>
              <w:tc>
                <w:tcPr/>
                <w:p>
                  <w:pPr>
                    <w:pStyle w:val="Compact"/>
                    <w:jc w:val="left"/>
                    <w:jc w:val="center"/>
                  </w:pPr>
                  <w:r>
                    <w:t xml:space="preserve">Dimension</w:t>
                  </w:r>
                </w:p>
              </w:tc>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Median</w:t>
                  </w:r>
                </w:p>
              </w:tc>
              <w:tc>
                <w:tcPr/>
                <w:p>
                  <w:pPr>
                    <w:pStyle w:val="Compact"/>
                    <w:jc w:val="right"/>
                    <w:jc w:val="center"/>
                  </w:pPr>
                  <w:r>
                    <w:t xml:space="preserve">Max</w:t>
                  </w:r>
                </w:p>
              </w:tc>
            </w:tr>
            <w:tr>
              <w:tc>
                <w:tcPr/>
                <w:p>
                  <w:pPr>
                    <w:pStyle w:val="Compact"/>
                    <w:jc w:val="left"/>
                    <w:jc w:val="center"/>
                  </w:pPr>
                  <w:r>
                    <w:t xml:space="preserve">high frequency</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2.000</w:t>
                  </w:r>
                </w:p>
              </w:tc>
              <w:tc>
                <w:tcPr/>
                <w:p>
                  <w:pPr>
                    <w:pStyle w:val="Compact"/>
                    <w:jc w:val="right"/>
                    <w:jc w:val="center"/>
                  </w:pPr>
                  <w:r>
                    <w:t xml:space="preserve">0.000</w:t>
                  </w:r>
                </w:p>
              </w:tc>
              <w:tc>
                <w:tcPr/>
                <w:p>
                  <w:pPr>
                    <w:pStyle w:val="Compact"/>
                    <w:jc w:val="right"/>
                    <w:jc w:val="center"/>
                  </w:pPr>
                  <w:r>
                    <w:t xml:space="preserve">2.0</w:t>
                  </w:r>
                </w:p>
              </w:tc>
              <w:tc>
                <w:tcPr/>
                <w:p>
                  <w:pPr>
                    <w:pStyle w:val="Compact"/>
                    <w:jc w:val="right"/>
                    <w:jc w:val="center"/>
                  </w:pPr>
                  <w:r>
                    <w:t xml:space="preserve">2.000</w:t>
                  </w:r>
                </w:p>
              </w:tc>
              <w:tc>
                <w:tcPr/>
                <w:p>
                  <w:pPr>
                    <w:pStyle w:val="Compact"/>
                    <w:jc w:val="right"/>
                    <w:jc w:val="center"/>
                  </w:pPr>
                  <w:r>
                    <w:t xml:space="preserve">2.00</w:t>
                  </w:r>
                </w:p>
              </w:tc>
            </w:tr>
            <w:tr>
              <w:tc>
                <w:tcPr/>
                <w:p>
                  <w:pPr>
                    <w:pStyle w:val="Compact"/>
                    <w:jc w:val="left"/>
                    <w:jc w:val="center"/>
                  </w:pPr>
                  <w:r>
                    <w:t xml:space="preserve">high frequency</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5.324</w:t>
                  </w:r>
                </w:p>
              </w:tc>
              <w:tc>
                <w:tcPr/>
                <w:p>
                  <w:pPr>
                    <w:pStyle w:val="Compact"/>
                    <w:jc w:val="right"/>
                    <w:jc w:val="center"/>
                  </w:pPr>
                  <w:r>
                    <w:t xml:space="preserve">0.294</w:t>
                  </w:r>
                </w:p>
              </w:tc>
              <w:tc>
                <w:tcPr/>
                <w:p>
                  <w:pPr>
                    <w:pStyle w:val="Compact"/>
                    <w:jc w:val="right"/>
                    <w:jc w:val="center"/>
                  </w:pPr>
                  <w:r>
                    <w:t xml:space="preserve">5.0</w:t>
                  </w:r>
                </w:p>
              </w:tc>
              <w:tc>
                <w:tcPr/>
                <w:p>
                  <w:pPr>
                    <w:pStyle w:val="Compact"/>
                    <w:jc w:val="right"/>
                    <w:jc w:val="center"/>
                  </w:pPr>
                  <w:r>
                    <w:t xml:space="preserve">5.245</w:t>
                  </w:r>
                </w:p>
              </w:tc>
              <w:tc>
                <w:tcPr/>
                <w:p>
                  <w:pPr>
                    <w:pStyle w:val="Compact"/>
                    <w:jc w:val="right"/>
                    <w:jc w:val="center"/>
                  </w:pPr>
                  <w:r>
                    <w:t xml:space="preserve">6.56</w:t>
                  </w:r>
                </w:p>
              </w:tc>
            </w:tr>
            <w:tr>
              <w:tc>
                <w:tcPr/>
                <w:p>
                  <w:pPr>
                    <w:pStyle w:val="Compact"/>
                    <w:jc w:val="left"/>
                    <w:jc w:val="center"/>
                  </w:pPr>
                  <w:r>
                    <w:t xml:space="preserve">high frequency</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69.825</w:t>
                  </w:r>
                </w:p>
              </w:tc>
              <w:tc>
                <w:tcPr/>
                <w:p>
                  <w:pPr>
                    <w:pStyle w:val="Compact"/>
                    <w:jc w:val="right"/>
                    <w:jc w:val="center"/>
                  </w:pPr>
                  <w:r>
                    <w:t xml:space="preserve">64.807</w:t>
                  </w:r>
                </w:p>
              </w:tc>
              <w:tc>
                <w:tcPr/>
                <w:p>
                  <w:pPr>
                    <w:pStyle w:val="Compact"/>
                    <w:jc w:val="right"/>
                    <w:jc w:val="center"/>
                  </w:pPr>
                  <w:r>
                    <w:t xml:space="preserve">8.0</w:t>
                  </w:r>
                </w:p>
              </w:tc>
              <w:tc>
                <w:tcPr/>
                <w:p>
                  <w:pPr>
                    <w:pStyle w:val="Compact"/>
                    <w:jc w:val="right"/>
                    <w:jc w:val="center"/>
                  </w:pPr>
                  <w:r>
                    <w:t xml:space="preserve">51.500</w:t>
                  </w:r>
                </w:p>
              </w:tc>
              <w:tc>
                <w:tcPr/>
                <w:p>
                  <w:pPr>
                    <w:pStyle w:val="Compact"/>
                    <w:jc w:val="right"/>
                    <w:jc w:val="center"/>
                  </w:pPr>
                  <w:r>
                    <w:t xml:space="preserve">307.00</w:t>
                  </w:r>
                </w:p>
              </w:tc>
            </w:tr>
            <w:tr>
              <w:tc>
                <w:tcPr/>
                <w:p>
                  <w:pPr>
                    <w:pStyle w:val="Compact"/>
                    <w:jc w:val="left"/>
                    <w:jc w:val="center"/>
                  </w:pPr>
                  <w:r>
                    <w:t xml:space="preserve">high frequency</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1.038</w:t>
                  </w:r>
                </w:p>
              </w:tc>
              <w:tc>
                <w:tcPr/>
                <w:p>
                  <w:pPr>
                    <w:pStyle w:val="Compact"/>
                    <w:jc w:val="right"/>
                    <w:jc w:val="center"/>
                  </w:pPr>
                  <w:r>
                    <w:t xml:space="preserve">0.111</w:t>
                  </w:r>
                </w:p>
              </w:tc>
              <w:tc>
                <w:tcPr/>
                <w:p>
                  <w:pPr>
                    <w:pStyle w:val="Compact"/>
                    <w:jc w:val="right"/>
                    <w:jc w:val="center"/>
                  </w:pPr>
                  <w:r>
                    <w:t xml:space="preserve">1.0</w:t>
                  </w:r>
                </w:p>
              </w:tc>
              <w:tc>
                <w:tcPr/>
                <w:p>
                  <w:pPr>
                    <w:pStyle w:val="Compact"/>
                    <w:jc w:val="right"/>
                    <w:jc w:val="center"/>
                  </w:pPr>
                  <w:r>
                    <w:t xml:space="preserve">1.000</w:t>
                  </w:r>
                </w:p>
              </w:tc>
              <w:tc>
                <w:tcPr/>
                <w:p>
                  <w:pPr>
                    <w:pStyle w:val="Compact"/>
                    <w:jc w:val="right"/>
                    <w:jc w:val="center"/>
                  </w:pPr>
                  <w:r>
                    <w:t xml:space="preserve">1.55</w:t>
                  </w:r>
                </w:p>
              </w:tc>
            </w:tr>
            <w:tr>
              <w:tc>
                <w:tcPr/>
                <w:p>
                  <w:pPr>
                    <w:pStyle w:val="Compact"/>
                    <w:jc w:val="left"/>
                    <w:jc w:val="center"/>
                  </w:pPr>
                  <w:r>
                    <w:t xml:space="preserve">low frequency</w:t>
                  </w:r>
                </w:p>
              </w:tc>
              <w:tc>
                <w:tcPr/>
                <w:p>
                  <w:pPr>
                    <w:pStyle w:val="Compact"/>
                    <w:jc w:val="left"/>
                    <w:jc w:val="center"/>
                  </w:pPr>
                  <w:r>
                    <w:t xml:space="preserve">Length</w:t>
                  </w:r>
                </w:p>
              </w:tc>
              <w:tc>
                <w:tcPr/>
                <w:p>
                  <w:pPr>
                    <w:pStyle w:val="Compact"/>
                    <w:jc w:val="right"/>
                    <w:jc w:val="center"/>
                  </w:pPr>
                  <w:r>
                    <w:t xml:space="preserve">80</w:t>
                  </w:r>
                </w:p>
              </w:tc>
              <w:tc>
                <w:tcPr/>
                <w:p>
                  <w:pPr>
                    <w:pStyle w:val="Compact"/>
                    <w:jc w:val="right"/>
                    <w:jc w:val="center"/>
                  </w:pPr>
                  <w:r>
                    <w:t xml:space="preserve">2.000</w:t>
                  </w:r>
                </w:p>
              </w:tc>
              <w:tc>
                <w:tcPr/>
                <w:p>
                  <w:pPr>
                    <w:pStyle w:val="Compact"/>
                    <w:jc w:val="right"/>
                    <w:jc w:val="center"/>
                  </w:pPr>
                  <w:r>
                    <w:t xml:space="preserve">0.000</w:t>
                  </w:r>
                </w:p>
              </w:tc>
              <w:tc>
                <w:tcPr/>
                <w:p>
                  <w:pPr>
                    <w:pStyle w:val="Compact"/>
                    <w:jc w:val="right"/>
                    <w:jc w:val="center"/>
                  </w:pPr>
                  <w:r>
                    <w:t xml:space="preserve">2.0</w:t>
                  </w:r>
                </w:p>
              </w:tc>
              <w:tc>
                <w:tcPr/>
                <w:p>
                  <w:pPr>
                    <w:pStyle w:val="Compact"/>
                    <w:jc w:val="right"/>
                    <w:jc w:val="center"/>
                  </w:pPr>
                  <w:r>
                    <w:t xml:space="preserve">2.000</w:t>
                  </w:r>
                </w:p>
              </w:tc>
              <w:tc>
                <w:tcPr/>
                <w:p>
                  <w:pPr>
                    <w:pStyle w:val="Compact"/>
                    <w:jc w:val="right"/>
                    <w:jc w:val="center"/>
                  </w:pPr>
                  <w:r>
                    <w:t xml:space="preserve">2.00</w:t>
                  </w:r>
                </w:p>
              </w:tc>
            </w:tr>
            <w:tr>
              <w:tc>
                <w:tcPr/>
                <w:p>
                  <w:pPr>
                    <w:pStyle w:val="Compact"/>
                    <w:jc w:val="left"/>
                    <w:jc w:val="center"/>
                  </w:pPr>
                  <w:r>
                    <w:t xml:space="preserve">low frequency</w:t>
                  </w:r>
                </w:p>
              </w:tc>
              <w:tc>
                <w:tcPr/>
                <w:p>
                  <w:pPr>
                    <w:pStyle w:val="Compact"/>
                    <w:jc w:val="left"/>
                    <w:jc w:val="center"/>
                  </w:pPr>
                  <w:r>
                    <w:t xml:space="preserve">Frequency (Zipf)</w:t>
                  </w:r>
                </w:p>
              </w:tc>
              <w:tc>
                <w:tcPr/>
                <w:p>
                  <w:pPr>
                    <w:pStyle w:val="Compact"/>
                    <w:jc w:val="right"/>
                    <w:jc w:val="center"/>
                  </w:pPr>
                  <w:r>
                    <w:t xml:space="preserve">80</w:t>
                  </w:r>
                </w:p>
              </w:tc>
              <w:tc>
                <w:tcPr/>
                <w:p>
                  <w:pPr>
                    <w:pStyle w:val="Compact"/>
                    <w:jc w:val="right"/>
                    <w:jc w:val="center"/>
                  </w:pPr>
                  <w:r>
                    <w:t xml:space="preserve">3.810</w:t>
                  </w:r>
                </w:p>
              </w:tc>
              <w:tc>
                <w:tcPr/>
                <w:p>
                  <w:pPr>
                    <w:pStyle w:val="Compact"/>
                    <w:jc w:val="right"/>
                    <w:jc w:val="center"/>
                  </w:pPr>
                  <w:r>
                    <w:t xml:space="preserve">0.201</w:t>
                  </w:r>
                </w:p>
              </w:tc>
              <w:tc>
                <w:tcPr/>
                <w:p>
                  <w:pPr>
                    <w:pStyle w:val="Compact"/>
                    <w:jc w:val="right"/>
                    <w:jc w:val="center"/>
                  </w:pPr>
                  <w:r>
                    <w:t xml:space="preserve">3.5</w:t>
                  </w:r>
                </w:p>
              </w:tc>
              <w:tc>
                <w:tcPr/>
                <w:p>
                  <w:pPr>
                    <w:pStyle w:val="Compact"/>
                    <w:jc w:val="right"/>
                    <w:jc w:val="center"/>
                  </w:pPr>
                  <w:r>
                    <w:t xml:space="preserve">3.810</w:t>
                  </w:r>
                </w:p>
              </w:tc>
              <w:tc>
                <w:tcPr/>
                <w:p>
                  <w:pPr>
                    <w:pStyle w:val="Compact"/>
                    <w:jc w:val="right"/>
                    <w:jc w:val="center"/>
                  </w:pPr>
                  <w:r>
                    <w:t xml:space="preserve">4.20</w:t>
                  </w:r>
                </w:p>
              </w:tc>
            </w:tr>
            <w:tr>
              <w:tc>
                <w:tcPr/>
                <w:p>
                  <w:pPr>
                    <w:pStyle w:val="Compact"/>
                    <w:jc w:val="left"/>
                    <w:jc w:val="center"/>
                  </w:pPr>
                  <w:r>
                    <w:t xml:space="preserve">low frequency</w:t>
                  </w:r>
                </w:p>
              </w:tc>
              <w:tc>
                <w:tcPr/>
                <w:p>
                  <w:pPr>
                    <w:pStyle w:val="Compact"/>
                    <w:jc w:val="left"/>
                    <w:jc w:val="center"/>
                  </w:pPr>
                  <w:r>
                    <w:t xml:space="preserve">Neighbourhood N</w:t>
                  </w:r>
                </w:p>
              </w:tc>
              <w:tc>
                <w:tcPr/>
                <w:p>
                  <w:pPr>
                    <w:pStyle w:val="Compact"/>
                    <w:jc w:val="right"/>
                    <w:jc w:val="center"/>
                  </w:pPr>
                  <w:r>
                    <w:t xml:space="preserve">80</w:t>
                  </w:r>
                </w:p>
              </w:tc>
              <w:tc>
                <w:tcPr/>
                <w:p>
                  <w:pPr>
                    <w:pStyle w:val="Compact"/>
                    <w:jc w:val="right"/>
                    <w:jc w:val="center"/>
                  </w:pPr>
                  <w:r>
                    <w:t xml:space="preserve">65.662</w:t>
                  </w:r>
                </w:p>
              </w:tc>
              <w:tc>
                <w:tcPr/>
                <w:p>
                  <w:pPr>
                    <w:pStyle w:val="Compact"/>
                    <w:jc w:val="right"/>
                    <w:jc w:val="center"/>
                  </w:pPr>
                  <w:r>
                    <w:t xml:space="preserve">52.159</w:t>
                  </w:r>
                </w:p>
              </w:tc>
              <w:tc>
                <w:tcPr/>
                <w:p>
                  <w:pPr>
                    <w:pStyle w:val="Compact"/>
                    <w:jc w:val="right"/>
                    <w:jc w:val="center"/>
                  </w:pPr>
                  <w:r>
                    <w:t xml:space="preserve">14.0</w:t>
                  </w:r>
                </w:p>
              </w:tc>
              <w:tc>
                <w:tcPr/>
                <w:p>
                  <w:pPr>
                    <w:pStyle w:val="Compact"/>
                    <w:jc w:val="right"/>
                    <w:jc w:val="center"/>
                  </w:pPr>
                  <w:r>
                    <w:t xml:space="preserve">51.500</w:t>
                  </w:r>
                </w:p>
              </w:tc>
              <w:tc>
                <w:tcPr/>
                <w:p>
                  <w:pPr>
                    <w:pStyle w:val="Compact"/>
                    <w:jc w:val="right"/>
                    <w:jc w:val="center"/>
                  </w:pPr>
                  <w:r>
                    <w:t xml:space="preserve">199.00</w:t>
                  </w:r>
                </w:p>
              </w:tc>
            </w:tr>
            <w:tr>
              <w:tc>
                <w:tcPr/>
                <w:p>
                  <w:pPr>
                    <w:pStyle w:val="Compact"/>
                    <w:jc w:val="left"/>
                    <w:jc w:val="center"/>
                  </w:pPr>
                  <w:r>
                    <w:t xml:space="preserve">low frequency</w:t>
                  </w:r>
                </w:p>
              </w:tc>
              <w:tc>
                <w:tcPr/>
                <w:p>
                  <w:pPr>
                    <w:pStyle w:val="Compact"/>
                    <w:jc w:val="left"/>
                    <w:jc w:val="center"/>
                  </w:pPr>
                  <w:r>
                    <w:t xml:space="preserve">OLD20</w:t>
                  </w:r>
                </w:p>
              </w:tc>
              <w:tc>
                <w:tcPr/>
                <w:p>
                  <w:pPr>
                    <w:pStyle w:val="Compact"/>
                    <w:jc w:val="right"/>
                    <w:jc w:val="center"/>
                  </w:pPr>
                  <w:r>
                    <w:t xml:space="preserve">80</w:t>
                  </w:r>
                </w:p>
              </w:tc>
              <w:tc>
                <w:tcPr/>
                <w:p>
                  <w:pPr>
                    <w:pStyle w:val="Compact"/>
                    <w:jc w:val="right"/>
                    <w:jc w:val="center"/>
                  </w:pPr>
                  <w:r>
                    <w:t xml:space="preserve">1.028</w:t>
                  </w:r>
                </w:p>
              </w:tc>
              <w:tc>
                <w:tcPr/>
                <w:p>
                  <w:pPr>
                    <w:pStyle w:val="Compact"/>
                    <w:jc w:val="right"/>
                    <w:jc w:val="center"/>
                  </w:pPr>
                  <w:r>
                    <w:t xml:space="preserve">0.074</w:t>
                  </w:r>
                </w:p>
              </w:tc>
              <w:tc>
                <w:tcPr/>
                <w:p>
                  <w:pPr>
                    <w:pStyle w:val="Compact"/>
                    <w:jc w:val="right"/>
                    <w:jc w:val="center"/>
                  </w:pPr>
                  <w:r>
                    <w:t xml:space="preserve">1.0</w:t>
                  </w:r>
                </w:p>
              </w:tc>
              <w:tc>
                <w:tcPr/>
                <w:p>
                  <w:pPr>
                    <w:pStyle w:val="Compact"/>
                    <w:jc w:val="right"/>
                    <w:jc w:val="center"/>
                  </w:pPr>
                  <w:r>
                    <w:t xml:space="preserve">1.000</w:t>
                  </w:r>
                </w:p>
              </w:tc>
              <w:tc>
                <w:tcPr/>
                <w:p>
                  <w:pPr>
                    <w:pStyle w:val="Compact"/>
                    <w:jc w:val="right"/>
                    <w:jc w:val="center"/>
                  </w:pPr>
                  <w:r>
                    <w:t xml:space="preserve">1.25</w:t>
                  </w:r>
                </w:p>
              </w:tc>
            </w:tr>
          </w:tbl>
          <w:bookmarkEnd w:id="26"/>
          <w:p/>
        </w:tc>
      </w:tr>
    </w:tbl>
    <w:p>
      <w:pPr>
        <w:pStyle w:val="BodyText"/>
      </w:pPr>
      <w:r>
        <w:t xml:space="preserve">Finally, because the matcher is deterministic the two engines select the same</w:t>
      </w:r>
      <w:r>
        <w:t xml:space="preserve"> </w:t>
      </w:r>
      <w:r>
        <w:t xml:space="preserve">matched (word, condition) pairs rather than merely similar ones (the seeded trial</w:t>
      </w:r>
      <w:r>
        <w:t xml:space="preserve"> </w:t>
      </w:r>
      <w:r>
        <w:t xml:space="preserve">order differs, as the R and Python random-number generators do). Across the five</w:t>
      </w:r>
      <w:r>
        <w:t xml:space="preserve"> </w:t>
      </w:r>
      <w:r>
        <w:t xml:space="preserve">matched word contrasts</w:t>
      </w:r>
      <w:r>
        <w:t xml:space="preserve"> </w:t>
      </w:r>
      <w:r>
        <w:t xml:space="preserve">all 800 selected</w:t>
      </w:r>
      <w:r>
        <w:t xml:space="preserve"> </w:t>
      </w:r>
      <w:r>
        <w:t xml:space="preserve">(word, condition) pairs were identical between the R and the Python engine, and</w:t>
      </w:r>
      <w:r>
        <w:t xml:space="preserve"> </w:t>
      </w:r>
      <w:r>
        <w:t xml:space="preserve">every statistic they report agrees to the precision shown.</w:t>
      </w:r>
      <w:r>
        <w:t xml:space="preserve"> </w:t>
      </w:r>
      <w:hyperlink w:anchor="tbl-parity">
        <w:r>
          <w:rPr>
            <w:rStyle w:val="Hyperlink"/>
          </w:rPr>
          <w:t xml:space="preserve">Table 6</w:t>
        </w:r>
      </w:hyperlink>
      <w:r>
        <w:t xml:space="preserve"> </w:t>
      </w:r>
      <w:r>
        <w:t xml:space="preserve">makes this</w:t>
      </w:r>
      <w:r>
        <w:t xml:space="preserve"> </w:t>
      </w:r>
      <w:r>
        <w:t xml:space="preserve">concrete for the English frequency contrast: the standardised mean difference of</w:t>
      </w:r>
      <w:r>
        <w:t xml:space="preserve"> </w:t>
      </w:r>
      <w:r>
        <w:t xml:space="preserve">each dimension, computed independently in the two languages, coincides to the</w:t>
      </w:r>
      <w:r>
        <w:t xml:space="preserve"> </w:t>
      </w:r>
      <w:r>
        <w:t xml:space="preserve">precision shown.</w:t>
      </w:r>
    </w:p>
    <w:tbl>
      <w:tblPr>
        <w:tblStyle w:val="Table"/>
        <w:tblW w:type="pct" w:w="5000"/>
        <w:tblLayout w:type="fixed"/>
        <w:tblLook w:firstRow="0" w:lastRow="0" w:firstColumn="0" w:lastColumn="0" w:noHBand="0" w:noVBand="0" w:val="0000"/>
      </w:tblPr>
      <w:tblGrid>
        <w:gridCol w:w="7920"/>
      </w:tblGrid>
      <w:tr>
        <w:tc>
          <w:tcPr/>
          <w:bookmarkStart w:id="27" w:name="tbl-parity"/>
          <w:p>
            <w:pPr>
              <w:jc w:val="center"/>
            </w:pPr>
            <w:pPr>
              <w:jc w:val="left"/>
              <w:spacing w:before="200"/>
              <w:pStyle w:val="ImageCaption"/>
            </w:pPr>
            <w:r>
              <w:t xml:space="preserve">Table 6:</w:t>
            </w:r>
            <w:r>
              <w:t xml:space="preserve"> </w:t>
            </w:r>
            <w:r>
              <w:rPr>
                <w:i/>
                <w:iCs/>
              </w:rPr>
              <w:t xml:space="preserve">Cross-Engine Parity for the English Frequency Contrast.</w:t>
            </w:r>
            <w:r>
              <w:t xml:space="preserve"> </w:t>
            </w:r>
            <w:r>
              <w:rPr>
                <w:i/>
                <w:iCs/>
              </w:rPr>
              <w:t xml:space="preserve">Note.</w:t>
            </w:r>
            <w:r>
              <w:t xml:space="preserve"> </w:t>
            </w:r>
            <w:r>
              <w:t xml:space="preserve">Each dimension’s standardised mean difference (Cohen’s</w:t>
            </w:r>
            <w:r>
              <w:t xml:space="preserve"> </w:t>
            </w:r>
            <w:r>
              <w:rPr>
                <w:i/>
                <w:iCs/>
              </w:rPr>
              <w:t xml:space="preserve">d</w:t>
            </w:r>
            <w:r>
              <w:t xml:space="preserve">) against the anchor, computed independently by the R and Python engines. The columns are identical to three decimal places.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Dimension</w:t>
                  </w:r>
                </w:p>
              </w:tc>
              <w:tc>
                <w:tcPr/>
                <w:p>
                  <w:pPr>
                    <w:pStyle w:val="Compact"/>
                    <w:jc w:val="right"/>
                    <w:jc w:val="center"/>
                  </w:pPr>
                  <w:r>
                    <w:t xml:space="preserve">Cohen’s d (R engine)</w:t>
                  </w:r>
                </w:p>
              </w:tc>
              <w:tc>
                <w:tcPr/>
                <w:p>
                  <w:pPr>
                    <w:pStyle w:val="Compact"/>
                    <w:jc w:val="right"/>
                    <w:jc w:val="center"/>
                  </w:pPr>
                  <w:r>
                    <w:t xml:space="preserve">Cohen’s d (Python engine)</w:t>
                  </w:r>
                </w:p>
              </w:tc>
            </w:tr>
            <w:tr>
              <w:tc>
                <w:tcPr/>
                <w:p>
                  <w:pPr>
                    <w:pStyle w:val="Compact"/>
                    <w:jc w:val="left"/>
                    <w:jc w:val="center"/>
                  </w:pPr>
                  <w:r>
                    <w:t xml:space="preserve">Length</w:t>
                  </w:r>
                </w:p>
              </w:tc>
              <w:tc>
                <w:tcPr/>
                <w:p>
                  <w:pPr>
                    <w:pStyle w:val="Compact"/>
                    <w:jc w:val="right"/>
                    <w:jc w:val="center"/>
                  </w:pPr>
                  <w:r>
                    <w:t xml:space="preserve">0.027</w:t>
                  </w:r>
                </w:p>
              </w:tc>
              <w:tc>
                <w:tcPr/>
                <w:p>
                  <w:pPr>
                    <w:pStyle w:val="Compact"/>
                    <w:jc w:val="right"/>
                    <w:jc w:val="center"/>
                  </w:pPr>
                  <w:r>
                    <w:t xml:space="preserve">0.027</w:t>
                  </w:r>
                </w:p>
              </w:tc>
            </w:tr>
            <w:tr>
              <w:tc>
                <w:tcPr/>
                <w:p>
                  <w:pPr>
                    <w:pStyle w:val="Compact"/>
                    <w:jc w:val="left"/>
                    <w:jc w:val="center"/>
                  </w:pPr>
                  <w:r>
                    <w:t xml:space="preserve">Frequency (Zipf)</w:t>
                  </w:r>
                </w:p>
              </w:tc>
              <w:tc>
                <w:tcPr/>
                <w:p>
                  <w:pPr>
                    <w:pStyle w:val="Compact"/>
                    <w:jc w:val="right"/>
                    <w:jc w:val="center"/>
                  </w:pPr>
                  <w:r>
                    <w:t xml:space="preserve">5.272</w:t>
                  </w:r>
                </w:p>
              </w:tc>
              <w:tc>
                <w:tcPr/>
                <w:p>
                  <w:pPr>
                    <w:pStyle w:val="Compact"/>
                    <w:jc w:val="right"/>
                    <w:jc w:val="center"/>
                  </w:pPr>
                  <w:r>
                    <w:t xml:space="preserve">5.272</w:t>
                  </w:r>
                </w:p>
              </w:tc>
            </w:tr>
            <w:tr>
              <w:tc>
                <w:tcPr/>
                <w:p>
                  <w:pPr>
                    <w:pStyle w:val="Compact"/>
                    <w:jc w:val="left"/>
                    <w:jc w:val="center"/>
                  </w:pPr>
                  <w:r>
                    <w:t xml:space="preserve">Neighbourhood N</w:t>
                  </w:r>
                </w:p>
              </w:tc>
              <w:tc>
                <w:tcPr/>
                <w:p>
                  <w:pPr>
                    <w:pStyle w:val="Compact"/>
                    <w:jc w:val="right"/>
                    <w:jc w:val="center"/>
                  </w:pPr>
                  <w:r>
                    <w:t xml:space="preserve">0.038</w:t>
                  </w:r>
                </w:p>
              </w:tc>
              <w:tc>
                <w:tcPr/>
                <w:p>
                  <w:pPr>
                    <w:pStyle w:val="Compact"/>
                    <w:jc w:val="right"/>
                    <w:jc w:val="center"/>
                  </w:pPr>
                  <w:r>
                    <w:t xml:space="preserve">0.038</w:t>
                  </w:r>
                </w:p>
              </w:tc>
            </w:tr>
            <w:tr>
              <w:tc>
                <w:tcPr/>
                <w:p>
                  <w:pPr>
                    <w:pStyle w:val="Compact"/>
                    <w:jc w:val="left"/>
                    <w:jc w:val="center"/>
                  </w:pPr>
                  <w:r>
                    <w:t xml:space="preserve">OLD20</w:t>
                  </w:r>
                </w:p>
              </w:tc>
              <w:tc>
                <w:tcPr/>
                <w:p>
                  <w:pPr>
                    <w:pStyle w:val="Compact"/>
                    <w:jc w:val="right"/>
                    <w:jc w:val="center"/>
                  </w:pPr>
                  <w:r>
                    <w:t xml:space="preserve">0.009</w:t>
                  </w:r>
                </w:p>
              </w:tc>
              <w:tc>
                <w:tcPr/>
                <w:p>
                  <w:pPr>
                    <w:pStyle w:val="Compact"/>
                    <w:jc w:val="right"/>
                    <w:jc w:val="center"/>
                  </w:pPr>
                  <w:r>
                    <w:t xml:space="preserve">0.009</w:t>
                  </w:r>
                </w:p>
              </w:tc>
            </w:tr>
          </w:tbl>
          <w:bookmarkEnd w:id="27"/>
          <w:p/>
        </w:tc>
      </w:tr>
    </w:tbl>
    <w:bookmarkEnd w:id="28"/>
    <w:bookmarkStart w:id="29" w:name="beyond-word-lists-three-paradigms"/>
    <w:p>
      <w:pPr>
        <w:pStyle w:val="Heading2"/>
      </w:pPr>
      <w:r>
        <w:t xml:space="preserve">Beyond word lists: three paradigms</w:t>
      </w:r>
    </w:p>
    <w:p>
      <w:pPr>
        <w:pStyle w:val="FirstParagraph"/>
      </w:pPr>
      <w:r>
        <w:t xml:space="preserve">The same engine builds tasks that are not word lists. Three further demonstrations,</w:t>
      </w:r>
      <w:r>
        <w:t xml:space="preserve"> </w:t>
      </w:r>
      <w:r>
        <w:t xml:space="preserve">each in English, exercise a different stimulus structure and trial procedure</w:t>
      </w:r>
      <w:r>
        <w:t xml:space="preserve"> </w:t>
      </w:r>
      <w:r>
        <w:t xml:space="preserve">through the trial-event model. A lexical-decision design contrasts</w:t>
      </w:r>
      <w:r>
        <w:t xml:space="preserve"> </w:t>
      </w:r>
      <w:r>
        <w:t xml:space="preserve">60 real words with 60 pseudowords generated to match them in</w:t>
      </w:r>
      <w:r>
        <w:t xml:space="preserve"> </w:t>
      </w:r>
      <w:r>
        <w:t xml:space="preserve">length; the generated non-words are orthographically legal and absent from the</w:t>
      </w:r>
      <w:r>
        <w:t xml:space="preserve"> </w:t>
      </w:r>
      <w:r>
        <w:t xml:space="preserve">corpus, and length is equated by construction (Cohen’s</w:t>
      </w:r>
      <w:r>
        <w:t xml:space="preserve"> </w:t>
      </w:r>
      <w:r>
        <w:rPr>
          <w:i/>
          <w:iCs/>
        </w:rPr>
        <w:t xml:space="preserve">d</w:t>
      </w:r>
      <w:r>
        <w:t xml:space="preserve"> </w:t>
      </w:r>
      <w:r>
        <w:t xml:space="preserve">=</w:t>
      </w:r>
      <w:r>
        <w:t xml:space="preserve"> </w:t>
      </w:r>
      <w:r>
        <w:t xml:space="preserve">0.00). A priming design draws 12</w:t>
      </w:r>
      <w:r>
        <w:t xml:space="preserve"> </w:t>
      </w:r>
      <w:r>
        <w:t xml:space="preserve">prime–target pairs from an item table and contrasts related with unrelated primes,</w:t>
      </w:r>
      <w:r>
        <w:t xml:space="preserve"> </w:t>
      </w:r>
      <w:r>
        <w:t xml:space="preserve">its trial inserting a brief prime and a mask before the onset-locked target. A</w:t>
      </w:r>
      <w:r>
        <w:t xml:space="preserve"> </w:t>
      </w:r>
      <w:r>
        <w:t xml:space="preserve">self-paced reading design presents 10 sentences region by region, the</w:t>
      </w:r>
      <w:r>
        <w:t xml:space="preserve"> </w:t>
      </w:r>
      <w:r>
        <w:t xml:space="preserve">grammatical–ungrammatical manipulation falling on the onset-locked critical region</w:t>
      </w:r>
      <w:r>
        <w:t xml:space="preserve"> </w:t>
      </w:r>
      <w:r>
        <w:t xml:space="preserve">and followed by a comprehension question. Each design compiles from the same event</w:t>
      </w:r>
      <w:r>
        <w:t xml:space="preserve"> </w:t>
      </w:r>
      <w:r>
        <w:t xml:space="preserve">list to a runnable</w:t>
      </w:r>
      <w:r>
        <w:t xml:space="preserve"> </w:t>
      </w:r>
      <w:r>
        <w:t xml:space="preserve">‘PsychoPy’</w:t>
      </w:r>
      <w:r>
        <w:t xml:space="preserve"> </w:t>
      </w:r>
      <w:r>
        <w:t xml:space="preserve">script, a valid</w:t>
      </w:r>
      <w:r>
        <w:t xml:space="preserve"> </w:t>
      </w:r>
      <w:r>
        <w:t xml:space="preserve">‘OpenSesame’</w:t>
      </w:r>
      <w:r>
        <w:t xml:space="preserve"> </w:t>
      </w:r>
      <w:r>
        <w:t xml:space="preserve">experiment and a</w:t>
      </w:r>
      <w:r>
        <w:t xml:space="preserve"> </w:t>
      </w:r>
      <w:r>
        <w:t xml:space="preserve">browser-based</w:t>
      </w:r>
      <w:r>
        <w:t xml:space="preserve"> </w:t>
      </w:r>
      <w:r>
        <w:t xml:space="preserve">‘jsPsych’</w:t>
      </w:r>
      <w:r>
        <w:t xml:space="preserve"> </w:t>
      </w:r>
      <w:r>
        <w:t xml:space="preserve">experiment, and the R and Python engines</w:t>
      </w:r>
      <w:r>
        <w:t xml:space="preserve"> </w:t>
      </w:r>
      <w:r>
        <w:t xml:space="preserve">select identical materials in every case,</w:t>
      </w:r>
      <w:r>
        <w:t xml:space="preserve"> </w:t>
      </w:r>
      <w:r>
        <w:t xml:space="preserve">including, for lexical decision, the very same deterministically generated</w:t>
      </w:r>
      <w:r>
        <w:t xml:space="preserve"> </w:t>
      </w:r>
      <w:r>
        <w:t xml:space="preserve">pseudowords.</w:t>
      </w:r>
    </w:p>
    <w:bookmarkEnd w:id="29"/>
    <w:bookmarkStart w:id="31" w:name="reproducing-published-designs"/>
    <w:p>
      <w:pPr>
        <w:pStyle w:val="Heading2"/>
      </w:pPr>
      <w:r>
        <w:t xml:space="preserve">Reproducing published designs</w:t>
      </w:r>
    </w:p>
    <w:p>
      <w:pPr>
        <w:pStyle w:val="FirstParagraph"/>
      </w:pPr>
      <w:r>
        <w:t xml:space="preserve">The demonstrations so far are illustrative. To show that</w:t>
      </w:r>
      <w:r>
        <w:t xml:space="preserve"> </w:t>
      </w:r>
      <w:r>
        <w:t xml:space="preserve">‘lexsync’</w:t>
      </w:r>
      <w:r>
        <w:t xml:space="preserve"> </w:t>
      </w:r>
      <w:r>
        <w:t xml:space="preserve">reproduces</w:t>
      </w:r>
      <w:r>
        <w:t xml:space="preserve"> </w:t>
      </w:r>
      <w:r>
        <w:t xml:space="preserve">designs from the published literature, we recreated three studies that span the</w:t>
      </w:r>
      <w:r>
        <w:t xml:space="preserve"> </w:t>
      </w:r>
      <w:r>
        <w:t xml:space="preserve">workflow’s range: the artificial-grammar study the package originates from, a</w:t>
      </w:r>
      <w:r>
        <w:t xml:space="preserve"> </w:t>
      </w:r>
      <w:r>
        <w:t xml:space="preserve">classic factorial lexical-decision design, and a masked-priming design. Each was</w:t>
      </w:r>
      <w:r>
        <w:t xml:space="preserve"> </w:t>
      </w:r>
      <w:r>
        <w:t xml:space="preserve">rebuilt to the original’s matching</w:t>
      </w:r>
      <w:r>
        <w:t xml:space="preserve"> </w:t>
      </w:r>
      <w:r>
        <w:rPr>
          <w:i/>
          <w:iCs/>
        </w:rPr>
        <w:t xml:space="preserve">criteria</w:t>
      </w:r>
      <w:r>
        <w:t xml:space="preserve"> </w:t>
      </w:r>
      <w:r>
        <w:t xml:space="preserve">(its manipulated and controlled</w:t>
      </w:r>
      <w:r>
        <w:t xml:space="preserve"> </w:t>
      </w:r>
      <w:r>
        <w:t xml:space="preserve">dimensions and their tolerances) from a contemporary, redistributable corpus,</w:t>
      </w:r>
      <w:r>
        <w:t xml:space="preserve"> </w:t>
      </w:r>
      <w:r>
        <w:t xml:space="preserve">rather than by copying the authors’ word lists.</w:t>
      </w:r>
      <w:r>
        <w:t xml:space="preserve"> </w:t>
      </w:r>
      <w:hyperlink w:anchor="tbl-repro">
        <w:r>
          <w:rPr>
            <w:rStyle w:val="Hyperlink"/>
          </w:rPr>
          <w:t xml:space="preserve">Table 7</w:t>
        </w:r>
      </w:hyperlink>
      <w:r>
        <w:t xml:space="preserve"> </w:t>
      </w:r>
      <w:r>
        <w:t xml:space="preserve">summarises the three,</w:t>
      </w:r>
      <w:r>
        <w:t xml:space="preserve"> </w:t>
      </w:r>
      <w:r>
        <w:t xml:space="preserve">and the two engines reproduce each one identically.</w:t>
      </w:r>
    </w:p>
    <w:tbl>
      <w:tblPr>
        <w:tblStyle w:val="Table"/>
        <w:tblW w:type="pct" w:w="5000"/>
        <w:tblLayout w:type="fixed"/>
        <w:tblLook w:firstRow="0" w:lastRow="0" w:firstColumn="0" w:lastColumn="0" w:noHBand="0" w:noVBand="0" w:val="0000"/>
      </w:tblPr>
      <w:tblGrid>
        <w:gridCol w:w="7920"/>
      </w:tblGrid>
      <w:tr>
        <w:tc>
          <w:tcPr/>
          <w:bookmarkStart w:id="30" w:name="tbl-repro"/>
          <w:p>
            <w:pPr>
              <w:jc w:val="center"/>
            </w:pPr>
            <w:pPr>
              <w:jc w:val="left"/>
              <w:spacing w:before="200"/>
              <w:pStyle w:val="ImageCaption"/>
            </w:pPr>
            <w:r>
              <w:t xml:space="preserve">Table 7:</w:t>
            </w:r>
            <w:r>
              <w:t xml:space="preserve"> </w:t>
            </w:r>
            <w:r>
              <w:rPr>
                <w:i/>
                <w:iCs/>
              </w:rPr>
              <w:t xml:space="preserve">Three Published Designs Reproduced to Criteria.</w:t>
            </w:r>
            <w:r>
              <w:t xml:space="preserve"> </w:t>
            </w:r>
            <w:r>
              <w:rPr>
                <w:i/>
                <w:iCs/>
              </w:rPr>
              <w:t xml:space="preserve">Note.</w:t>
            </w:r>
            <w:r>
              <w:t xml:space="preserve"> </w:t>
            </w:r>
            <w:r>
              <w:t xml:space="preserve">For each reproduction: the structure rebuilt, the number of generated items, and the largest standardised mean difference (Cohen’s</w:t>
            </w:r>
            <w:r>
              <w:t xml:space="preserve"> </w:t>
            </w:r>
            <w:r>
              <w:rPr>
                <w:i/>
                <w:iCs/>
              </w:rPr>
              <w:t xml:space="preserve">d</w:t>
            </w:r>
            <w:r>
              <w:t xml:space="preserve">) remaining on a controlled (matched) dimension. The manipulations are large by construction; for Andrews these are frequency and neighbourhood size, reported in the text. The Rastle design is a priming layout with no corpus-matched control dimension.</w:t>
            </w:r>
          </w:p>
          <w:tbl>
            <w:tblPr>
              <w:tblStyle w:val="Table"/>
              <w:tblW w:type="pct" w:w="5000"/>
              <w:tblLayout w:type="fixed"/>
              <w:tblLook w:firstRow="1" w:lastRow="0" w:firstColumn="0" w:lastColumn="0" w:noHBand="0" w:noVBand="0" w:val="0020"/>
            </w:tblPr>
            <w:tblGrid>
              <w:gridCol w:w="1616"/>
              <w:gridCol w:w="4202"/>
              <w:gridCol w:w="323"/>
              <w:gridCol w:w="1777"/>
            </w:tblGrid>
            <w:tr>
              <w:trPr>
                <w:tblHeader w:val="on"/>
              </w:trPr>
              <w:tc>
                <w:tcPr/>
                <w:p>
                  <w:pPr>
                    <w:pStyle w:val="Compact"/>
                    <w:jc w:val="left"/>
                    <w:jc w:val="center"/>
                  </w:pPr>
                  <w:r>
                    <w:t xml:space="preserve">Reproduction</w:t>
                  </w:r>
                </w:p>
              </w:tc>
              <w:tc>
                <w:tcPr/>
                <w:p>
                  <w:pPr>
                    <w:pStyle w:val="Compact"/>
                    <w:jc w:val="left"/>
                    <w:jc w:val="center"/>
                  </w:pPr>
                  <w:r>
                    <w:t xml:space="preserve">Design rebuilt</w:t>
                  </w:r>
                </w:p>
              </w:tc>
              <w:tc>
                <w:tcPr/>
                <w:p>
                  <w:pPr>
                    <w:pStyle w:val="Compact"/>
                    <w:jc w:val="right"/>
                    <w:jc w:val="center"/>
                  </w:pPr>
                  <w:r>
                    <w:t xml:space="preserve">Items</w:t>
                  </w:r>
                </w:p>
              </w:tc>
              <w:tc>
                <w:tcPr/>
                <w:p>
                  <w:pPr>
                    <w:pStyle w:val="Compact"/>
                    <w:jc w:val="right"/>
                    <w:jc w:val="center"/>
                  </w:pPr>
                  <w:r>
                    <w:t xml:space="preserve">Largest controlled |d|</w:t>
                  </w:r>
                </w:p>
              </w:tc>
            </w:tr>
            <w:tr>
              <w:tc>
                <w:tcPr/>
                <w:p>
                  <w:pPr>
                    <w:pStyle w:val="Compact"/>
                    <w:jc w:val="left"/>
                    <w:jc w:val="center"/>
                  </w:pPr>
                  <w:r>
                    <w:t xml:space="preserve">González Alonso et al. (2025)</w:t>
                  </w:r>
                </w:p>
              </w:tc>
              <w:tc>
                <w:tcPr/>
                <w:p>
                  <w:pPr>
                    <w:pStyle w:val="Compact"/>
                    <w:jc w:val="left"/>
                    <w:jc w:val="center"/>
                  </w:pPr>
                  <w:r>
                    <w:t xml:space="preserve">Gender assignment: feminine vs masculine, matched on frequency and length</w:t>
                  </w:r>
                </w:p>
              </w:tc>
              <w:tc>
                <w:tcPr/>
                <w:p>
                  <w:pPr>
                    <w:pStyle w:val="Compact"/>
                    <w:jc w:val="right"/>
                    <w:jc w:val="center"/>
                  </w:pPr>
                  <w:r>
                    <w:t xml:space="preserve">96</w:t>
                  </w:r>
                </w:p>
              </w:tc>
              <w:tc>
                <w:tcPr/>
                <w:p>
                  <w:pPr>
                    <w:pStyle w:val="Compact"/>
                    <w:jc w:val="right"/>
                    <w:jc w:val="center"/>
                  </w:pPr>
                  <w:r>
                    <w:t xml:space="preserve">0.02</w:t>
                  </w:r>
                </w:p>
              </w:tc>
            </w:tr>
            <w:tr>
              <w:tc>
                <w:tcPr/>
                <w:p>
                  <w:pPr>
                    <w:pStyle w:val="Compact"/>
                    <w:jc w:val="left"/>
                    <w:jc w:val="center"/>
                  </w:pPr>
                  <w:r>
                    <w:t xml:space="preserve">Andrews (1989)</w:t>
                  </w:r>
                </w:p>
              </w:tc>
              <w:tc>
                <w:tcPr/>
                <w:p>
                  <w:pPr>
                    <w:pStyle w:val="Compact"/>
                    <w:jc w:val="left"/>
                    <w:jc w:val="center"/>
                  </w:pPr>
                  <w:r>
                    <w:t xml:space="preserve">Frequency x neighbourhood size: 2x2 lexical decision, cells matched on length</w:t>
                  </w:r>
                </w:p>
              </w:tc>
              <w:tc>
                <w:tcPr/>
                <w:p>
                  <w:pPr>
                    <w:pStyle w:val="Compact"/>
                    <w:jc w:val="right"/>
                    <w:jc w:val="center"/>
                  </w:pPr>
                  <w:r>
                    <w:t xml:space="preserve">72</w:t>
                  </w:r>
                </w:p>
              </w:tc>
              <w:tc>
                <w:tcPr/>
                <w:p>
                  <w:pPr>
                    <w:pStyle w:val="Compact"/>
                    <w:jc w:val="right"/>
                    <w:jc w:val="center"/>
                  </w:pPr>
                  <w:r>
                    <w:t xml:space="preserve">0.21</w:t>
                  </w:r>
                </w:p>
              </w:tc>
            </w:tr>
            <w:tr>
              <w:tc>
                <w:tcPr/>
                <w:p>
                  <w:pPr>
                    <w:pStyle w:val="Compact"/>
                    <w:jc w:val="left"/>
                    <w:jc w:val="center"/>
                  </w:pPr>
                  <w:r>
                    <w:t xml:space="preserve">Rastle, Davis &amp; New (2004)</w:t>
                  </w:r>
                </w:p>
              </w:tc>
              <w:tc>
                <w:tcPr/>
                <w:p>
                  <w:pPr>
                    <w:pStyle w:val="Compact"/>
                    <w:jc w:val="left"/>
                    <w:jc w:val="center"/>
                  </w:pPr>
                  <w:r>
                    <w:t xml:space="preserve">Masked priming: transparent / opaque / orthographic, vs unrelated baseline</w:t>
                  </w:r>
                </w:p>
              </w:tc>
              <w:tc>
                <w:tcPr/>
                <w:p>
                  <w:pPr>
                    <w:pStyle w:val="Compact"/>
                    <w:jc w:val="right"/>
                    <w:jc w:val="center"/>
                  </w:pPr>
                  <w:r>
                    <w:t xml:space="preserve">24</w:t>
                  </w:r>
                </w:p>
              </w:tc>
              <w:tc>
                <w:tcPr/>
                <w:p>
                  <w:pPr>
                    <w:pStyle w:val="Compact"/>
                    <w:jc w:val="right"/>
                    <w:jc w:val="center"/>
                  </w:pPr>
                  <w:r>
                    <w:t xml:space="preserve">—</w:t>
                  </w:r>
                </w:p>
              </w:tc>
            </w:tr>
          </w:tbl>
          <w:bookmarkEnd w:id="30"/>
          <w:p/>
        </w:tc>
      </w:tr>
    </w:tbl>
    <w:p>
      <w:pPr>
        <w:pStyle w:val="BodyText"/>
      </w:pPr>
      <w:r>
        <w:t xml:space="preserve">The origin study</w:t>
      </w:r>
      <w:r>
        <w:t xml:space="preserve"> </w:t>
      </w:r>
      <w:r>
        <w:t xml:space="preserve">(González Alonso et al., 2025)</w:t>
      </w:r>
      <w:r>
        <w:t xml:space="preserve"> </w:t>
      </w:r>
      <w:r>
        <w:t xml:space="preserve">administered a natural-language</w:t>
      </w:r>
      <w:r>
        <w:t xml:space="preserve"> </w:t>
      </w:r>
      <w:r>
        <w:t xml:space="preserve">gender-assignment task in which corpus nouns, half feminine and half masculine,</w:t>
      </w:r>
      <w:r>
        <w:t xml:space="preserve"> </w:t>
      </w:r>
      <w:r>
        <w:t xml:space="preserve">were matched to the study’s nouns on word frequency (within mean ±</w:t>
      </w:r>
      <w:r>
        <w:t xml:space="preserve"> </w:t>
      </w:r>
      <w:r>
        <w:rPr>
          <w:i/>
          <w:iCs/>
        </w:rPr>
        <w:t xml:space="preserve">SD</w:t>
      </w:r>
      <w:r>
        <w:t xml:space="preserve">/9) and</w:t>
      </w:r>
      <w:r>
        <w:t xml:space="preserve"> </w:t>
      </w:r>
      <w:r>
        <w:t xml:space="preserve">number of letters (within mean ± 2</w:t>
      </w:r>
      <w:r>
        <w:t xml:space="preserve"> </w:t>
      </w:r>
      <w:r>
        <w:rPr>
          <w:i/>
          <w:iCs/>
        </w:rPr>
        <w:t xml:space="preserve">SD</w:t>
      </w:r>
      <w:r>
        <w:t xml:space="preserve">).</w:t>
      </w:r>
      <w:r>
        <w:t xml:space="preserve"> </w:t>
      </w:r>
      <w:r>
        <w:t xml:space="preserve">‘lexsync’</w:t>
      </w:r>
      <w:r>
        <w:t xml:space="preserve"> </w:t>
      </w:r>
      <w:r>
        <w:t xml:space="preserve">reproduces this design</w:t>
      </w:r>
      <w:r>
        <w:t xml:space="preserve"> </w:t>
      </w:r>
      <w:r>
        <w:t xml:space="preserve">directly: the same per-dimension tolerance windows are declared in the design file</w:t>
      </w:r>
      <w:r>
        <w:t xml:space="preserve"> </w:t>
      </w:r>
      <w:r>
        <w:t xml:space="preserve">and applied by the matcher, and feminine and masculine words are equated on</w:t>
      </w:r>
      <w:r>
        <w:t xml:space="preserve"> </w:t>
      </w:r>
      <w:r>
        <w:t xml:space="preserve">frequency and length to a largest controlled Cohen’s</w:t>
      </w:r>
      <w:r>
        <w:t xml:space="preserve"> </w:t>
      </w:r>
      <w:r>
        <w:rPr>
          <w:i/>
          <w:iCs/>
        </w:rPr>
        <w:t xml:space="preserve">d</w:t>
      </w:r>
      <w:r>
        <w:t xml:space="preserve"> </w:t>
      </w:r>
      <w:r>
        <w:t xml:space="preserve">of</w:t>
      </w:r>
      <w:r>
        <w:t xml:space="preserve"> </w:t>
      </w:r>
      <w:r>
        <w:t xml:space="preserve">0.02 across 96 items. Because the bundled</w:t>
      </w:r>
      <w:r>
        <w:t xml:space="preserve"> </w:t>
      </w:r>
      <w:r>
        <w:t xml:space="preserve">Spanish corpus carries no lexical-gender field, gender is approximated by the</w:t>
      </w:r>
      <w:r>
        <w:t xml:space="preserve"> </w:t>
      </w:r>
      <w:r>
        <w:t xml:space="preserve">canonical ending (</w:t>
      </w:r>
      <w:r>
        <w:rPr>
          <w:i/>
          <w:iCs/>
        </w:rPr>
        <w:t xml:space="preserve">-a</w:t>
      </w:r>
      <w:r>
        <w:t xml:space="preserve">,</w:t>
      </w:r>
      <w:r>
        <w:t xml:space="preserve"> </w:t>
      </w:r>
      <w:r>
        <w:rPr>
          <w:i/>
          <w:iCs/>
        </w:rPr>
        <w:t xml:space="preserve">-o</w:t>
      </w:r>
      <w:r>
        <w:t xml:space="preserve">) rather than looked up as the original did in EsPal</w:t>
      </w:r>
      <w:r>
        <w:t xml:space="preserve"> </w:t>
      </w:r>
      <w:r>
        <w:t xml:space="preserve">(Duchon et al., 2013)</w:t>
      </w:r>
      <w:r>
        <w:t xml:space="preserve">; the demonstration is therefore of the matched selection and</w:t>
      </w:r>
      <w:r>
        <w:t xml:space="preserve"> </w:t>
      </w:r>
      <w:r>
        <w:t xml:space="preserve">its realised control, the part</w:t>
      </w:r>
      <w:r>
        <w:t xml:space="preserve"> </w:t>
      </w:r>
      <w:r>
        <w:t xml:space="preserve">‘lexsync’</w:t>
      </w:r>
      <w:r>
        <w:t xml:space="preserve"> </w:t>
      </w:r>
      <w:r>
        <w:t xml:space="preserve">automates, not of the authors’ exact</w:t>
      </w:r>
      <w:r>
        <w:t xml:space="preserve"> </w:t>
      </w:r>
      <w:r>
        <w:t xml:space="preserve">items.</w:t>
      </w:r>
    </w:p>
    <w:p>
      <w:pPr>
        <w:pStyle w:val="BodyText"/>
      </w:pPr>
      <w:r>
        <w:t xml:space="preserve">Andrews (1989)</w:t>
      </w:r>
      <w:r>
        <w:t xml:space="preserve"> </w:t>
      </w:r>
      <w:r>
        <w:t xml:space="preserve">crossed word frequency with</w:t>
      </w:r>
      <w:r>
        <w:t xml:space="preserve"> </w:t>
      </w:r>
      <w:r>
        <w:t xml:space="preserve">orthographic neighbourhood size in a 2 × 2 lexical-decision design, holding length</w:t>
      </w:r>
      <w:r>
        <w:t xml:space="preserve"> </w:t>
      </w:r>
      <w:r>
        <w:t xml:space="preserve">constant, and found that a large neighbourhood facilitates low-frequency words</w:t>
      </w:r>
      <w:r>
        <w:t xml:space="preserve"> </w:t>
      </w:r>
      <w:r>
        <w:t xml:space="preserve">disproportionately.</w:t>
      </w:r>
      <w:r>
        <w:t xml:space="preserve"> </w:t>
      </w:r>
      <w:r>
        <w:t xml:space="preserve">‘lexsync’</w:t>
      </w:r>
      <w:r>
        <w:t xml:space="preserve"> </w:t>
      </w:r>
      <w:r>
        <w:t xml:space="preserve">rebuilds the factorial structure over short words,</w:t>
      </w:r>
      <w:r>
        <w:t xml:space="preserve"> </w:t>
      </w:r>
      <w:r>
        <w:t xml:space="preserve">equating all four cells on length (largest controlled</w:t>
      </w:r>
      <w:r>
        <w:t xml:space="preserve"> </w:t>
      </w:r>
      <w:r>
        <w:rPr>
          <w:i/>
          <w:iCs/>
        </w:rPr>
        <w:t xml:space="preserve">d</w:t>
      </w:r>
      <w:r>
        <w:t xml:space="preserve"> </w:t>
      </w:r>
      <w:r>
        <w:t xml:space="preserve">=</w:t>
      </w:r>
      <w:r>
        <w:t xml:space="preserve"> </w:t>
      </w:r>
      <w:r>
        <w:t xml:space="preserve">0.21) while separating the manipulated dimensions</w:t>
      </w:r>
      <w:r>
        <w:t xml:space="preserve"> </w:t>
      </w:r>
      <w:r>
        <w:t xml:space="preserve">widely. Frequency</w:t>
      </w:r>
      <w:r>
        <w:t xml:space="preserve"> </w:t>
      </w:r>
      <w:r>
        <w:rPr>
          <w:i/>
          <w:iCs/>
        </w:rPr>
        <w:t xml:space="preserve">d</w:t>
      </w:r>
      <w:r>
        <w:t xml:space="preserve"> </w:t>
      </w:r>
      <w:r>
        <w:t xml:space="preserve">reaches 5.2 and neighbourhood</w:t>
      </w:r>
      <w:r>
        <w:t xml:space="preserve"> </w:t>
      </w:r>
      <w:r>
        <w:rPr>
          <w:i/>
          <w:iCs/>
        </w:rPr>
        <w:t xml:space="preserve">d</w:t>
      </w:r>
      <w:r>
        <w:t xml:space="preserve"> </w:t>
      </w:r>
      <w:r>
        <w:t xml:space="preserve">reaches 3.3. Frequencies come from a contemporary corpus</w:t>
      </w:r>
      <w:r>
        <w:t xml:space="preserve"> </w:t>
      </w:r>
      <w:r>
        <w:t xml:space="preserve">rather than the Kučera–Francis counts of the original, so the realised bands differ</w:t>
      </w:r>
      <w:r>
        <w:t xml:space="preserve"> </w:t>
      </w:r>
      <w:r>
        <w:t xml:space="preserve">while the factorial design does not.</w:t>
      </w:r>
    </w:p>
    <w:p>
      <w:pPr>
        <w:pStyle w:val="BodyText"/>
      </w:pPr>
      <w:r>
        <w:t xml:space="preserve">Rastle et al. (2004)</w:t>
      </w:r>
      <w:r>
        <w:t xml:space="preserve"> </w:t>
      </w:r>
      <w:r>
        <w:t xml:space="preserve">used masked priming to</w:t>
      </w:r>
      <w:r>
        <w:t xml:space="preserve"> </w:t>
      </w:r>
      <w:r>
        <w:t xml:space="preserve">dissociate three kinds of prime–target relationship, transparent morphological</w:t>
      </w:r>
      <w:r>
        <w:t xml:space="preserve"> </w:t>
      </w:r>
      <w:r>
        <w:t xml:space="preserve">(</w:t>
      </w:r>
      <w:r>
        <w:rPr>
          <w:i/>
          <w:iCs/>
        </w:rPr>
        <w:t xml:space="preserve">cleaner</w:t>
      </w:r>
      <w:r>
        <w:t xml:space="preserve">–CLEAN), opaque morphological (</w:t>
      </w:r>
      <w:r>
        <w:rPr>
          <w:i/>
          <w:iCs/>
        </w:rPr>
        <w:t xml:space="preserve">corner</w:t>
      </w:r>
      <w:r>
        <w:t xml:space="preserve">–CORN) and purely orthographic</w:t>
      </w:r>
      <w:r>
        <w:t xml:space="preserve"> </w:t>
      </w:r>
      <w:r>
        <w:t xml:space="preserve">(</w:t>
      </w:r>
      <w:r>
        <w:rPr>
          <w:i/>
          <w:iCs/>
        </w:rPr>
        <w:t xml:space="preserve">brothel</w:t>
      </w:r>
      <w:r>
        <w:t xml:space="preserve">–BROTH), each against an unrelated baseline, arguing for an early</w:t>
      </w:r>
      <w:r>
        <w:t xml:space="preserve"> </w:t>
      </w:r>
      <w:r>
        <w:t xml:space="preserve">morpho-orthographic segmentation stage blind to meaning.</w:t>
      </w:r>
      <w:r>
        <w:t xml:space="preserve"> </w:t>
      </w:r>
      <w:r>
        <w:t xml:space="preserve">‘lexsync’</w:t>
      </w:r>
      <w:r>
        <w:t xml:space="preserve"> </w:t>
      </w:r>
      <w:r>
        <w:t xml:space="preserve">expresses the</w:t>
      </w:r>
      <w:r>
        <w:t xml:space="preserve"> </w:t>
      </w:r>
      <w:r>
        <w:t xml:space="preserve">design with its priming paradigm: 12 targets are each shown with a</w:t>
      </w:r>
      <w:r>
        <w:t xml:space="preserve"> </w:t>
      </w:r>
      <w:r>
        <w:t xml:space="preserve">related prime of their assigned type and an unrelated, length-matched control,</w:t>
      </w:r>
      <w:r>
        <w:t xml:space="preserve"> </w:t>
      </w:r>
      <w:r>
        <w:t xml:space="preserve">Latin-square counterbalanced across 2 lists so a target appears once</w:t>
      </w:r>
      <w:r>
        <w:t xml:space="preserve"> </w:t>
      </w:r>
      <w:r>
        <w:t xml:space="preserve">per list, with the prime type carried as a between-items factor for analysis. This</w:t>
      </w:r>
      <w:r>
        <w:t xml:space="preserve"> </w:t>
      </w:r>
      <w:r>
        <w:t xml:space="preserve">is a representative item set following the prime-type structure of the original,</w:t>
      </w:r>
      <w:r>
        <w:t xml:space="preserve"> </w:t>
      </w:r>
      <w:r>
        <w:t xml:space="preserve">not its full materials.</w:t>
      </w:r>
    </w:p>
    <w:bookmarkEnd w:id="31"/>
    <w:bookmarkEnd w:id="32"/>
    <w:bookmarkStart w:id="33" w:name="discussion"/>
    <w:p>
      <w:pPr>
        <w:pStyle w:val="Heading1"/>
      </w:pPr>
      <w:r>
        <w:t xml:space="preserve">Discussion</w:t>
      </w:r>
    </w:p>
    <w:p>
      <w:pPr>
        <w:pStyle w:val="FirstParagraph"/>
      </w:pPr>
      <w:r>
        <w:t xml:space="preserve">‘lexsync’</w:t>
      </w:r>
      <w:r>
        <w:t xml:space="preserve"> </w:t>
      </w:r>
      <w:r>
        <w:t xml:space="preserve">unifies steps that are usually performed in separate tools and separate</w:t>
      </w:r>
      <w:r>
        <w:t xml:space="preserve"> </w:t>
      </w:r>
      <w:r>
        <w:t xml:space="preserve">languages. Its principal contribution is integration. Multidimensional matching</w:t>
      </w:r>
      <w:r>
        <w:t xml:space="preserve"> </w:t>
      </w:r>
      <w:r>
        <w:t xml:space="preserve">exists in</w:t>
      </w:r>
      <w:r>
        <w:t xml:space="preserve"> </w:t>
      </w:r>
      <w:r>
        <w:t xml:space="preserve">‘LexOPS’</w:t>
      </w:r>
      <w:r>
        <w:t xml:space="preserve"> </w:t>
      </w:r>
      <w:r>
        <w:t xml:space="preserve">and</w:t>
      </w:r>
      <w:r>
        <w:t xml:space="preserve"> </w:t>
      </w:r>
      <w:r>
        <w:t xml:space="preserve">‘LIBRA’</w:t>
      </w:r>
      <w:r>
        <w:t xml:space="preserve">, and precise presentation exists in</w:t>
      </w:r>
      <w:r>
        <w:t xml:space="preserve"> </w:t>
      </w:r>
      <w:r>
        <w:t xml:space="preserve">‘PsychoPy’</w:t>
      </w:r>
      <w:r>
        <w:t xml:space="preserve"> </w:t>
      </w:r>
      <w:r>
        <w:t xml:space="preserve">and</w:t>
      </w:r>
      <w:r>
        <w:t xml:space="preserve"> </w:t>
      </w:r>
      <w:r>
        <w:t xml:space="preserve">‘OpenSesame’</w:t>
      </w:r>
      <w:r>
        <w:t xml:space="preserve">, but the path from a</w:t>
      </w:r>
      <w:r>
        <w:t xml:space="preserve"> </w:t>
      </w:r>
      <w:r>
        <w:t xml:space="preserve">multilingual corpus to a hardware-timed, cross-platform experiment has not before</w:t>
      </w:r>
      <w:r>
        <w:t xml:space="preserve"> </w:t>
      </w:r>
      <w:r>
        <w:t xml:space="preserve">been available as a single installable, dual-language tool. Two features are</w:t>
      </w:r>
      <w:r>
        <w:t xml:space="preserve"> </w:t>
      </w:r>
      <w:r>
        <w:t xml:space="preserve">worth emphasising. First, the deterministic matcher selects identical matched</w:t>
      </w:r>
      <w:r>
        <w:t xml:space="preserve"> </w:t>
      </w:r>
      <w:r>
        <w:t xml:space="preserve">(word, condition) sets in the R and Python engines, with the reported match</w:t>
      </w:r>
      <w:r>
        <w:t xml:space="preserve"> </w:t>
      </w:r>
      <w:r>
        <w:t xml:space="preserve">statistics agreeing to the precision shown; only the seeded trial order, which</w:t>
      </w:r>
      <w:r>
        <w:t xml:space="preserve"> </w:t>
      </w:r>
      <w:r>
        <w:t xml:space="preserve">depends on each language’s random-number generator, differs. A laboratory can</w:t>
      </w:r>
      <w:r>
        <w:t xml:space="preserve"> </w:t>
      </w:r>
      <w:r>
        <w:t xml:space="preserve">therefore adopt</w:t>
      </w:r>
      <w:r>
        <w:t xml:space="preserve"> </w:t>
      </w:r>
      <w:r>
        <w:t xml:space="preserve">‘lexsync’</w:t>
      </w:r>
      <w:r>
        <w:t xml:space="preserve"> </w:t>
      </w:r>
      <w:r>
        <w:t xml:space="preserve">in whichever ecosystem it prefers without fear of</w:t>
      </w:r>
      <w:r>
        <w:t xml:space="preserve"> </w:t>
      </w:r>
      <w:r>
        <w:t xml:space="preserve">divergent stimulus selection. Second, both</w:t>
      </w:r>
      <w:r>
        <w:t xml:space="preserve"> </w:t>
      </w:r>
      <w:r>
        <w:t xml:space="preserve">presentation targets upgrade the sequence-ordered triggers of the original</w:t>
      </w:r>
      <w:r>
        <w:t xml:space="preserve"> </w:t>
      </w:r>
      <w:r>
        <w:t xml:space="preserve">workflow to onset-aligned markers (flip-locked in</w:t>
      </w:r>
      <w:r>
        <w:t xml:space="preserve"> </w:t>
      </w:r>
      <w:r>
        <w:t xml:space="preserve">‘PsychoPy’</w:t>
      </w:r>
      <w:r>
        <w:t xml:space="preserve">, and written</w:t>
      </w:r>
      <w:r>
        <w:t xml:space="preserve"> </w:t>
      </w:r>
      <w:r>
        <w:t xml:space="preserve">immediately after the refresh-blocking</w:t>
      </w:r>
      <w:r>
        <w:t xml:space="preserve"> </w:t>
      </w:r>
      <w:r>
        <w:rPr>
          <w:rStyle w:val="VerbatimChar"/>
        </w:rPr>
        <w:t xml:space="preserve">show()</w:t>
      </w:r>
      <w:r>
        <w:t xml:space="preserve"> </w:t>
      </w:r>
      <w:r>
        <w:t xml:space="preserve">in</w:t>
      </w:r>
      <w:r>
        <w:t xml:space="preserve"> </w:t>
      </w:r>
      <w:r>
        <w:t xml:space="preserve">‘OpenSesame’</w:t>
      </w:r>
      <w:r>
        <w:t xml:space="preserve">), a concrete</w:t>
      </w:r>
      <w:r>
        <w:t xml:space="preserve"> </w:t>
      </w:r>
      <w:r>
        <w:t xml:space="preserve">methodological improvement for ERP research.</w:t>
      </w:r>
    </w:p>
    <w:p>
      <w:pPr>
        <w:pStyle w:val="BodyText"/>
      </w:pPr>
      <w:r>
        <w:t xml:space="preserve">Some limitations remain. The Chinese demonstration shows that the pipeline</w:t>
      </w:r>
      <w:r>
        <w:t xml:space="preserve"> </w:t>
      </w:r>
      <w:r>
        <w:t xml:space="preserve">generalises to a logographic script (corpus access, dimension derivation,</w:t>
      </w:r>
      <w:r>
        <w:t xml:space="preserve"> </w:t>
      </w:r>
      <w:r>
        <w:t xml:space="preserve">matching, counterbalancing and CJK-font script generation all work unchanged),</w:t>
      </w:r>
      <w:r>
        <w:t xml:space="preserve"> </w:t>
      </w:r>
      <w:r>
        <w:t xml:space="preserve">but the neighbourhood measures it equates there (Coltheart’s N and OLD20) are</w:t>
      </w:r>
      <w:r>
        <w:t xml:space="preserve"> </w:t>
      </w:r>
      <w:r>
        <w:t xml:space="preserve">computed at the character level. They do not capture the sub-character structure</w:t>
      </w:r>
      <w:r>
        <w:t xml:space="preserve"> </w:t>
      </w:r>
      <w:r>
        <w:t xml:space="preserve">that also shapes Chinese reading, such as radical, stroke-count and</w:t>
      </w:r>
      <w:r>
        <w:t xml:space="preserve"> </w:t>
      </w:r>
      <w:r>
        <w:t xml:space="preserve">phonetic-radical information. Such measures are not intrinsic to the method; they</w:t>
      </w:r>
      <w:r>
        <w:t xml:space="preserve"> </w:t>
      </w:r>
      <w:r>
        <w:t xml:space="preserve">enter as additional script-specific dimensions through the same extensible</w:t>
      </w:r>
      <w:r>
        <w:t xml:space="preserve"> </w:t>
      </w:r>
      <w:r>
        <w:t xml:space="preserve">dimension system, and supplying them is left to future work. A photodiode check</w:t>
      </w:r>
      <w:r>
        <w:t xml:space="preserve"> </w:t>
      </w:r>
      <w:r>
        <w:t xml:space="preserve">remains advisable for any onset-critical study, as for any software trigger. The</w:t>
      </w:r>
      <w:r>
        <w:t xml:space="preserve"> </w:t>
      </w:r>
      <w:r>
        <w:t xml:space="preserve">example item tables for the paired and sentence paradigms are deliberately small,</w:t>
      </w:r>
      <w:r>
        <w:t xml:space="preserve"> </w:t>
      </w:r>
      <w:r>
        <w:t xml:space="preserve">intended to exercise and document the pipeline rather than to constitute validated</w:t>
      </w:r>
      <w:r>
        <w:t xml:space="preserve"> </w:t>
      </w:r>
      <w:r>
        <w:t xml:space="preserve">materials; researchers supply their own.</w:t>
      </w:r>
    </w:p>
    <w:p>
      <w:pPr>
        <w:pStyle w:val="BodyText"/>
      </w:pPr>
      <w:r>
        <w:t xml:space="preserve">Several further extensions follow directly from the motivation and slot into the</w:t>
      </w:r>
      <w:r>
        <w:t xml:space="preserve"> </w:t>
      </w:r>
      <w:r>
        <w:t xml:space="preserve">existing module structure. The web target above could be joined by a</w:t>
      </w:r>
      <w:r>
        <w:t xml:space="preserve"> </w:t>
      </w:r>
      <w:r>
        <w:t xml:space="preserve">‘PCIbex’</w:t>
      </w:r>
      <w:r>
        <w:t xml:space="preserve"> </w:t>
      </w:r>
      <w:r>
        <w:t xml:space="preserve">reading study and by client-side hardware synchronisation (WebSerial or a</w:t>
      </w:r>
      <w:r>
        <w:t xml:space="preserve"> </w:t>
      </w:r>
      <w:r>
        <w:t xml:space="preserve">photodiode patch), so that online studies inherit the same onset markers the</w:t>
      </w:r>
      <w:r>
        <w:t xml:space="preserve"> </w:t>
      </w:r>
      <w:r>
        <w:t xml:space="preserve">laboratory targets write. The dimension set, already broadened beyond orthography</w:t>
      </w:r>
      <w:r>
        <w:t xml:space="preserve"> </w:t>
      </w:r>
      <w:r>
        <w:t xml:space="preserve">to an orthographic syllable estimate and a corpus-derived bigram-frequency</w:t>
      </w:r>
      <w:r>
        <w:t xml:space="preserve"> </w:t>
      </w:r>
      <w:r>
        <w:t xml:space="preserve">(phonotactic-probability) measure, could grow further to predictability dimensions</w:t>
      </w:r>
      <w:r>
        <w:t xml:space="preserve"> </w:t>
      </w:r>
      <w:r>
        <w:t xml:space="preserve">(n-gram or language-model surprisal); semantic dimensions such as concreteness, age</w:t>
      </w:r>
      <w:r>
        <w:t xml:space="preserve"> </w:t>
      </w:r>
      <w:r>
        <w:t xml:space="preserve">of acquisition and valence are already reachable through the norm-table connector,</w:t>
      </w:r>
      <w:r>
        <w:t xml:space="preserve"> </w:t>
      </w:r>
      <w:r>
        <w:t xml:space="preserve">the norm data being fetched separately because their licences vary. Sampling matched</w:t>
      </w:r>
      <w:r>
        <w:t xml:space="preserve"> </w:t>
      </w:r>
      <w:r>
        <w:t xml:space="preserve">item sets per participant, rather than per study, would extend the resampling</w:t>
      </w:r>
      <w:r>
        <w:t xml:space="preserve"> </w:t>
      </w:r>
      <w:r>
        <w:t xml:space="preserve">already provided.</w:t>
      </w:r>
    </w:p>
    <w:bookmarkEnd w:id="33"/>
    <w:bookmarkStart w:id="35" w:name="availability-and-open-practices"/>
    <w:p>
      <w:pPr>
        <w:pStyle w:val="Heading1"/>
      </w:pPr>
      <w:r>
        <w:t xml:space="preserve">Availability and open practices</w:t>
      </w:r>
    </w:p>
    <w:p>
      <w:pPr>
        <w:pStyle w:val="FirstParagraph"/>
      </w:pPr>
      <w:r>
        <w:t xml:space="preserve">‘lexsync’</w:t>
      </w:r>
      <w:r>
        <w:t xml:space="preserve"> </w:t>
      </w:r>
      <w:r>
        <w:t xml:space="preserve">is available as an R package and a Python package, with a shared corpus</w:t>
      </w:r>
      <w:r>
        <w:t xml:space="preserve"> </w:t>
      </w:r>
      <w:r>
        <w:t xml:space="preserve">registry and the reproducible source of this manuscript. A browser application for</w:t>
      </w:r>
      <w:r>
        <w:t xml:space="preserve"> </w:t>
      </w:r>
      <w:r>
        <w:t xml:space="preserve">each engine (a Shiny app for the R package and a Streamlit app for the Python one)</w:t>
      </w:r>
      <w:r>
        <w:t xml:space="preserve"> </w:t>
      </w:r>
      <w:r>
        <w:t xml:space="preserve">lets a researcher assemble a design, run the verified pipeline and export the design</w:t>
      </w:r>
      <w:r>
        <w:t xml:space="preserve"> </w:t>
      </w:r>
      <w:r>
        <w:t xml:space="preserve">configuration together with the R, Python and command-line code that reproduces it,</w:t>
      </w:r>
      <w:r>
        <w:t xml:space="preserve"> </w:t>
      </w:r>
      <w:r>
        <w:t xml:space="preserve">so the interface itself yields shareable, reproducible artefacts. The code is released</w:t>
      </w:r>
      <w:r>
        <w:t xml:space="preserve"> </w:t>
      </w:r>
      <w:r>
        <w:t xml:space="preserve">under the MIT licence and the bundled corpus derivatives under CC BY-SA 4.0, with</w:t>
      </w:r>
      <w:r>
        <w:t xml:space="preserve"> </w:t>
      </w:r>
      <w:r>
        <w:t xml:space="preserve">full attribution and retrieval dates recorded alongside the data. The repository</w:t>
      </w:r>
      <w:r>
        <w:t xml:space="preserve"> </w:t>
      </w:r>
      <w:r>
        <w:t xml:space="preserve">URL in the package metadata is a placeholder pending public release.</w:t>
      </w:r>
    </w:p>
    <w:bookmarkStart w:id="34" w:name="extending-lexsync"/>
    <w:p>
      <w:pPr>
        <w:pStyle w:val="Heading2"/>
      </w:pPr>
      <w:r>
        <w:t xml:space="preserve">Extending lexsync</w:t>
      </w:r>
    </w:p>
    <w:p>
      <w:pPr>
        <w:pStyle w:val="FirstParagraph"/>
      </w:pPr>
      <w:r>
        <w:t xml:space="preserve">In keeping with the design, extensions have well-defined insertion points. To add</w:t>
      </w:r>
      <w:r>
        <w:t xml:space="preserve"> </w:t>
      </w:r>
      <w:r>
        <w:t xml:space="preserve">a paradigm, add an entry to the registry in</w:t>
      </w:r>
      <w:r>
        <w:t xml:space="preserve"> </w:t>
      </w:r>
      <w:r>
        <w:rPr>
          <w:rStyle w:val="VerbatimChar"/>
        </w:rPr>
        <w:t xml:space="preserve">paradigms</w:t>
      </w:r>
      <w:r>
        <w:t xml:space="preserve"> </w:t>
      </w:r>
      <w:r>
        <w:t xml:space="preserve">giving its default</w:t>
      </w:r>
      <w:r>
        <w:t xml:space="preserve"> </w:t>
      </w:r>
      <w:r>
        <w:t xml:space="preserve">event sequence, the trial fields it requires and its counterbalancing recipe, and</w:t>
      </w:r>
      <w:r>
        <w:t xml:space="preserve"> </w:t>
      </w:r>
      <w:r>
        <w:t xml:space="preserve">both backends then render it with no further code. To add a lexical dimension,</w:t>
      </w:r>
      <w:r>
        <w:t xml:space="preserve"> </w:t>
      </w:r>
      <w:r>
        <w:t xml:space="preserve">compute it in</w:t>
      </w:r>
      <w:r>
        <w:t xml:space="preserve"> </w:t>
      </w:r>
      <w:r>
        <w:rPr>
          <w:rStyle w:val="VerbatimChar"/>
        </w:rPr>
        <w:t xml:space="preserve">querying</w:t>
      </w:r>
      <w:r>
        <w:t xml:space="preserve"> </w:t>
      </w:r>
      <w:r>
        <w:t xml:space="preserve">(alongside</w:t>
      </w:r>
      <w:r>
        <w:t xml:space="preserve"> </w:t>
      </w:r>
      <w:r>
        <w:rPr>
          <w:rStyle w:val="VerbatimChar"/>
        </w:rPr>
        <w:t xml:space="preserve">add_neighbourhood</w:t>
      </w:r>
      <w:r>
        <w:t xml:space="preserve">) and list it in the</w:t>
      </w:r>
      <w:r>
        <w:t xml:space="preserve"> </w:t>
      </w:r>
      <w:r>
        <w:t xml:space="preserve">dimension table in</w:t>
      </w:r>
      <w:r>
        <w:t xml:space="preserve"> </w:t>
      </w:r>
      <w:r>
        <w:rPr>
          <w:rStyle w:val="VerbatimChar"/>
        </w:rPr>
        <w:t xml:space="preserve">config/schema.yaml</w:t>
      </w:r>
      <w:r>
        <w:t xml:space="preserve">, in both packages. To add a presentation</w:t>
      </w:r>
      <w:r>
        <w:t xml:space="preserve"> </w:t>
      </w:r>
      <w:r>
        <w:t xml:space="preserve">target, add an</w:t>
      </w:r>
      <w:r>
        <w:t xml:space="preserve"> </w:t>
      </w:r>
      <w:r>
        <w:rPr>
          <w:rStyle w:val="VerbatimChar"/>
        </w:rPr>
        <w:t xml:space="preserve">export_&lt;target&gt;()</w:t>
      </w:r>
      <w:r>
        <w:t xml:space="preserve"> </w:t>
      </w:r>
      <w:r>
        <w:t xml:space="preserve">function in</w:t>
      </w:r>
      <w:r>
        <w:t xml:space="preserve"> </w:t>
      </w:r>
      <w:r>
        <w:rPr>
          <w:rStyle w:val="VerbatimChar"/>
        </w:rPr>
        <w:t xml:space="preserve">scripting</w:t>
      </w:r>
      <w:r>
        <w:t xml:space="preserve"> </w:t>
      </w:r>
      <w:r>
        <w:t xml:space="preserve">that walks the same</w:t>
      </w:r>
      <w:r>
        <w:t xml:space="preserve"> </w:t>
      </w:r>
      <w:r>
        <w:t xml:space="preserve">rendered event list. To add a corpus or language, add an entry to</w:t>
      </w:r>
      <w:r>
        <w:t xml:space="preserve"> </w:t>
      </w:r>
      <w:r>
        <w:rPr>
          <w:rStyle w:val="VerbatimChar"/>
        </w:rPr>
        <w:t xml:space="preserve">corpora/registry.yaml</w:t>
      </w:r>
      <w:r>
        <w:t xml:space="preserve">, and no code change is required for SUBTLEX-family or</w:t>
      </w:r>
      <w:r>
        <w:t xml:space="preserve"> </w:t>
      </w:r>
      <w:r>
        <w:t xml:space="preserve">‘wordfreq’</w:t>
      </w:r>
      <w:r>
        <w:t xml:space="preserve"> </w:t>
      </w:r>
      <w:r>
        <w:t xml:space="preserve">sources.</w:t>
      </w:r>
    </w:p>
    <w:p>
      <w:r>
        <w:br w:type="page"/>
      </w:r>
    </w:p>
    <w:bookmarkEnd w:id="34"/>
    <w:bookmarkEnd w:id="35"/>
    <w:bookmarkStart w:id="99" w:name="references"/>
    <w:p>
      <w:pPr>
        <w:pStyle w:val="Heading1"/>
      </w:pPr>
      <w:r>
        <w:t xml:space="preserve">References</w:t>
      </w:r>
    </w:p>
    <w:bookmarkStart w:id="98" w:name="refs"/>
    <w:bookmarkStart w:id="37" w:name="ref-andrews1989frequency"/>
    <w:p>
      <w:pPr>
        <w:pStyle w:val="Bibliography"/>
      </w:pPr>
      <w:r>
        <w:t xml:space="preserve">Andrews, S. (1989). Frequency and neighborhood effects on lexical access: Activation or search?</w:t>
      </w:r>
      <w:r>
        <w:t xml:space="preserve"> </w:t>
      </w:r>
      <w:r>
        <w:rPr>
          <w:i/>
          <w:iCs/>
        </w:rPr>
        <w:t xml:space="preserve">Journal of Experimental Psychology: Learning, Memory, and Cognition</w:t>
      </w:r>
      <w:r>
        <w:t xml:space="preserve">,</w:t>
      </w:r>
      <w:r>
        <w:t xml:space="preserve"> </w:t>
      </w:r>
      <w:r>
        <w:rPr>
          <w:i/>
          <w:iCs/>
        </w:rPr>
        <w:t xml:space="preserve">15</w:t>
      </w:r>
      <w:r>
        <w:t xml:space="preserve">(5), 802–814.</w:t>
      </w:r>
      <w:r>
        <w:t xml:space="preserve"> </w:t>
      </w:r>
      <w:hyperlink r:id="rId36">
        <w:r>
          <w:rPr>
            <w:rStyle w:val="Hyperlink"/>
          </w:rPr>
          <w:t xml:space="preserve">https://doi.org/10.1037/0278-7393.15.5.802</w:t>
        </w:r>
      </w:hyperlink>
    </w:p>
    <w:bookmarkEnd w:id="37"/>
    <w:bookmarkStart w:id="39" w:name="ref-bochynska2023reproducible"/>
    <w:p>
      <w:pPr>
        <w:pStyle w:val="Bibliography"/>
      </w:pPr>
      <w:r>
        <w:t xml:space="preserve">Bochynska, A., Keeble, L., Halfacre, C., Casillas, J. V., Champagne, I.-A., Chen, K., Röthlisberger, M., Buchanan, E. M., &amp; Roettger, T. B. (2023). Reproducible research practices and transparency across linguistics.</w:t>
      </w:r>
      <w:r>
        <w:t xml:space="preserve"> </w:t>
      </w:r>
      <w:r>
        <w:rPr>
          <w:i/>
          <w:iCs/>
        </w:rPr>
        <w:t xml:space="preserve">Glossa Psycholinguistics</w:t>
      </w:r>
      <w:r>
        <w:t xml:space="preserve">,</w:t>
      </w:r>
      <w:r>
        <w:t xml:space="preserve"> </w:t>
      </w:r>
      <w:r>
        <w:rPr>
          <w:i/>
          <w:iCs/>
        </w:rPr>
        <w:t xml:space="preserve">2</w:t>
      </w:r>
      <w:r>
        <w:t xml:space="preserve">(1).</w:t>
      </w:r>
      <w:r>
        <w:t xml:space="preserve"> </w:t>
      </w:r>
      <w:hyperlink r:id="rId38">
        <w:r>
          <w:rPr>
            <w:rStyle w:val="Hyperlink"/>
          </w:rPr>
          <w:t xml:space="preserve">https://doi.org/10.5070/G6011239</w:t>
        </w:r>
      </w:hyperlink>
    </w:p>
    <w:bookmarkEnd w:id="39"/>
    <w:bookmarkStart w:id="41" w:name="ref-brysbaert2009subtlexus"/>
    <w:p>
      <w:pPr>
        <w:pStyle w:val="Bibliography"/>
      </w:pPr>
      <w:r>
        <w:t xml:space="preserve">Brysbaert, M., &amp; New, B. (2009). Moving beyond</w:t>
      </w:r>
      <w:r>
        <w:t xml:space="preserve"> </w:t>
      </w:r>
      <w:r>
        <w:t xml:space="preserve">Ku</w:t>
      </w:r>
      <w:r>
        <w:t xml:space="preserve">č</w:t>
      </w:r>
      <w:r>
        <w:t xml:space="preserve">era</w:t>
      </w:r>
      <w:r>
        <w:t xml:space="preserve"> </w:t>
      </w:r>
      <w:r>
        <w:t xml:space="preserve">and</w:t>
      </w:r>
      <w:r>
        <w:t xml:space="preserve"> </w:t>
      </w:r>
      <w:r>
        <w:t xml:space="preserve">Francis</w:t>
      </w:r>
      <w:r>
        <w:t xml:space="preserve">: A critical evaluation of current word frequency norms and the introduction of a new and improved word frequency measure for</w:t>
      </w:r>
      <w:r>
        <w:t xml:space="preserve"> </w:t>
      </w:r>
      <w:r>
        <w:t xml:space="preserve">American</w:t>
      </w:r>
      <w:r>
        <w:t xml:space="preserve"> </w:t>
      </w:r>
      <w:r>
        <w:t xml:space="preserve">English</w:t>
      </w:r>
      <w:r>
        <w:t xml:space="preserve">.</w:t>
      </w:r>
      <w:r>
        <w:t xml:space="preserve"> </w:t>
      </w:r>
      <w:r>
        <w:rPr>
          <w:i/>
          <w:iCs/>
        </w:rPr>
        <w:t xml:space="preserve">Behavior Research Methods</w:t>
      </w:r>
      <w:r>
        <w:t xml:space="preserve">,</w:t>
      </w:r>
      <w:r>
        <w:t xml:space="preserve"> </w:t>
      </w:r>
      <w:r>
        <w:rPr>
          <w:i/>
          <w:iCs/>
        </w:rPr>
        <w:t xml:space="preserve">41</w:t>
      </w:r>
      <w:r>
        <w:t xml:space="preserve">(4), 977–990.</w:t>
      </w:r>
      <w:r>
        <w:t xml:space="preserve"> </w:t>
      </w:r>
      <w:hyperlink r:id="rId40">
        <w:r>
          <w:rPr>
            <w:rStyle w:val="Hyperlink"/>
          </w:rPr>
          <w:t xml:space="preserve">https://doi.org/10.3758/BRM.41.4.977</w:t>
        </w:r>
      </w:hyperlink>
    </w:p>
    <w:bookmarkEnd w:id="41"/>
    <w:bookmarkStart w:id="43" w:name="ref-cai2010subtlexch"/>
    <w:p>
      <w:pPr>
        <w:pStyle w:val="Bibliography"/>
      </w:pPr>
      <w:r>
        <w:t xml:space="preserve">Cai, Q., &amp; Brysbaert, M. (2010).</w:t>
      </w:r>
      <w:r>
        <w:t xml:space="preserve"> </w:t>
      </w:r>
      <w:r>
        <w:t xml:space="preserve">SUBTLEX-CH</w:t>
      </w:r>
      <w:r>
        <w:t xml:space="preserve">:</w:t>
      </w:r>
      <w:r>
        <w:t xml:space="preserve"> </w:t>
      </w:r>
      <w:r>
        <w:t xml:space="preserve">Chinese</w:t>
      </w:r>
      <w:r>
        <w:t xml:space="preserve"> </w:t>
      </w:r>
      <w:r>
        <w:t xml:space="preserve">word and character frequencies based on film subtitles.</w:t>
      </w:r>
      <w:r>
        <w:t xml:space="preserve"> </w:t>
      </w:r>
      <w:r>
        <w:rPr>
          <w:i/>
          <w:iCs/>
        </w:rPr>
        <w:t xml:space="preserve">PLoS ONE</w:t>
      </w:r>
      <w:r>
        <w:t xml:space="preserve">,</w:t>
      </w:r>
      <w:r>
        <w:t xml:space="preserve"> </w:t>
      </w:r>
      <w:r>
        <w:rPr>
          <w:i/>
          <w:iCs/>
        </w:rPr>
        <w:t xml:space="preserve">5</w:t>
      </w:r>
      <w:r>
        <w:t xml:space="preserve">(6), e10729.</w:t>
      </w:r>
      <w:r>
        <w:t xml:space="preserve"> </w:t>
      </w:r>
      <w:hyperlink r:id="rId42">
        <w:r>
          <w:rPr>
            <w:rStyle w:val="Hyperlink"/>
          </w:rPr>
          <w:t xml:space="preserve">https://doi.org/10.1371/journal.pone.0010729</w:t>
        </w:r>
      </w:hyperlink>
    </w:p>
    <w:bookmarkEnd w:id="43"/>
    <w:bookmarkStart w:id="45" w:name="ref-clark1973language"/>
    <w:p>
      <w:pPr>
        <w:pStyle w:val="Bibliography"/>
      </w:pPr>
      <w:r>
        <w:t xml:space="preserve">Clark, H. H. (1973). The language-as-fixed-effect fallacy:</w:t>
      </w:r>
      <w:r>
        <w:t xml:space="preserve"> </w:t>
      </w:r>
      <w:r>
        <w:t xml:space="preserve">A</w:t>
      </w:r>
      <w:r>
        <w:t xml:space="preserve"> </w:t>
      </w:r>
      <w:r>
        <w:t xml:space="preserve">critique of language statistics in psychological research.</w:t>
      </w:r>
      <w:r>
        <w:t xml:space="preserve"> </w:t>
      </w:r>
      <w:r>
        <w:rPr>
          <w:i/>
          <w:iCs/>
        </w:rPr>
        <w:t xml:space="preserve">Journal of Verbal Learning and Verbal Behavior</w:t>
      </w:r>
      <w:r>
        <w:t xml:space="preserve">,</w:t>
      </w:r>
      <w:r>
        <w:t xml:space="preserve"> </w:t>
      </w:r>
      <w:r>
        <w:rPr>
          <w:i/>
          <w:iCs/>
        </w:rPr>
        <w:t xml:space="preserve">12</w:t>
      </w:r>
      <w:r>
        <w:t xml:space="preserve">(4), 335–359.</w:t>
      </w:r>
      <w:r>
        <w:t xml:space="preserve"> </w:t>
      </w:r>
      <w:hyperlink r:id="rId44">
        <w:r>
          <w:rPr>
            <w:rStyle w:val="Hyperlink"/>
          </w:rPr>
          <w:t xml:space="preserve">https://doi.org/10.1016/S0022-5371(73)80014-3</w:t>
        </w:r>
      </w:hyperlink>
    </w:p>
    <w:bookmarkEnd w:id="45"/>
    <w:bookmarkStart w:id="46" w:name="ref-coltheart1977access"/>
    <w:p>
      <w:pPr>
        <w:pStyle w:val="Bibliography"/>
      </w:pPr>
      <w:r>
        <w:t xml:space="preserve">Coltheart, M., Davelaar, E., Jonasson, J. T., &amp; Besner, D. (1977). Access to the internal lexicon. In S. Dornic (Ed.),</w:t>
      </w:r>
      <w:r>
        <w:t xml:space="preserve"> </w:t>
      </w:r>
      <w:r>
        <w:rPr>
          <w:i/>
          <w:iCs/>
        </w:rPr>
        <w:t xml:space="preserve">Attention and performance</w:t>
      </w:r>
      <w:r>
        <w:rPr>
          <w:i/>
          <w:iCs/>
        </w:rPr>
        <w:t xml:space="preserve"> </w:t>
      </w:r>
      <w:r>
        <w:rPr>
          <w:i/>
          <w:iCs/>
        </w:rPr>
        <w:t xml:space="preserve">VI</w:t>
      </w:r>
      <w:r>
        <w:t xml:space="preserve"> </w:t>
      </w:r>
      <w:r>
        <w:t xml:space="preserve">(pp. 535–555). Erlbaum.</w:t>
      </w:r>
    </w:p>
    <w:bookmarkEnd w:id="46"/>
    <w:bookmarkStart w:id="48" w:name="ref-coretta2023multidimensional"/>
    <w:p>
      <w:pPr>
        <w:pStyle w:val="Bibliography"/>
      </w:pPr>
      <w:r>
        <w:t xml:space="preserve">Coretta, S., Casillas, J. V., Roessig, S., et al.</w:t>
      </w:r>
      <w:r>
        <w:t xml:space="preserve"> (2023). Multidimensional signals and analytic flexibility:</w:t>
      </w:r>
      <w:r>
        <w:t xml:space="preserve"> </w:t>
      </w:r>
      <w:r>
        <w:t xml:space="preserve">Estimating</w:t>
      </w:r>
      <w:r>
        <w:t xml:space="preserve"> </w:t>
      </w:r>
      <w:r>
        <w:t xml:space="preserve">degrees of freedom in human-speech analyses.</w:t>
      </w:r>
      <w:r>
        <w:t xml:space="preserve"> </w:t>
      </w:r>
      <w:r>
        <w:rPr>
          <w:i/>
          <w:iCs/>
        </w:rPr>
        <w:t xml:space="preserve">Advances in Methods and Practices in Psychological Science</w:t>
      </w:r>
      <w:r>
        <w:t xml:space="preserve">,</w:t>
      </w:r>
      <w:r>
        <w:t xml:space="preserve"> </w:t>
      </w:r>
      <w:r>
        <w:rPr>
          <w:i/>
          <w:iCs/>
        </w:rPr>
        <w:t xml:space="preserve">6</w:t>
      </w:r>
      <w:r>
        <w:t xml:space="preserve">(3).</w:t>
      </w:r>
      <w:r>
        <w:t xml:space="preserve"> </w:t>
      </w:r>
      <w:hyperlink r:id="rId47">
        <w:r>
          <w:rPr>
            <w:rStyle w:val="Hyperlink"/>
          </w:rPr>
          <w:t xml:space="preserve">https://doi.org/10.1177/25152459231162567</w:t>
        </w:r>
      </w:hyperlink>
    </w:p>
    <w:bookmarkEnd w:id="48"/>
    <w:bookmarkStart w:id="49" w:name="ref-cuetos2011subtlexesp"/>
    <w:p>
      <w:pPr>
        <w:pStyle w:val="Bibliography"/>
      </w:pPr>
      <w:r>
        <w:t xml:space="preserve">Cuetos, F., González-Nosti, M., Barbón, A., &amp; Brysbaert, M. (2011).</w:t>
      </w:r>
      <w:r>
        <w:t xml:space="preserve"> </w:t>
      </w:r>
      <w:r>
        <w:t xml:space="preserve">SUBTLEX-ESP</w:t>
      </w:r>
      <w:r>
        <w:t xml:space="preserve">:</w:t>
      </w:r>
      <w:r>
        <w:t xml:space="preserve"> </w:t>
      </w:r>
      <w:r>
        <w:t xml:space="preserve">Spanish</w:t>
      </w:r>
      <w:r>
        <w:t xml:space="preserve"> </w:t>
      </w:r>
      <w:r>
        <w:t xml:space="preserve">word frequencies based on film subtitles.</w:t>
      </w:r>
      <w:r>
        <w:t xml:space="preserve"> </w:t>
      </w:r>
      <w:r>
        <w:rPr>
          <w:i/>
          <w:iCs/>
        </w:rPr>
        <w:t xml:space="preserve">Psic</w:t>
      </w:r>
      <w:r>
        <w:rPr>
          <w:i/>
          <w:iCs/>
        </w:rPr>
        <w:t xml:space="preserve">ó</w:t>
      </w:r>
      <w:r>
        <w:rPr>
          <w:i/>
          <w:iCs/>
        </w:rPr>
        <w:t xml:space="preserve">logica</w:t>
      </w:r>
      <w:r>
        <w:t xml:space="preserve">,</w:t>
      </w:r>
      <w:r>
        <w:t xml:space="preserve"> </w:t>
      </w:r>
      <w:r>
        <w:rPr>
          <w:i/>
          <w:iCs/>
        </w:rPr>
        <w:t xml:space="preserve">32</w:t>
      </w:r>
      <w:r>
        <w:t xml:space="preserve">(2), 133–143.</w:t>
      </w:r>
    </w:p>
    <w:bookmarkEnd w:id="49"/>
    <w:bookmarkStart w:id="51" w:name="ref-duchon2013espal"/>
    <w:p>
      <w:pPr>
        <w:pStyle w:val="Bibliography"/>
      </w:pPr>
      <w:r>
        <w:t xml:space="preserve">Duchon, A., Perea, M., Sebastián-Gallés, N., Martí, A., &amp; Carreiras, M. (2013).</w:t>
      </w:r>
      <w:r>
        <w:t xml:space="preserve"> </w:t>
      </w:r>
      <w:r>
        <w:t xml:space="preserve">EsPal</w:t>
      </w:r>
      <w:r>
        <w:t xml:space="preserve">: One-stop shopping for</w:t>
      </w:r>
      <w:r>
        <w:t xml:space="preserve"> </w:t>
      </w:r>
      <w:r>
        <w:t xml:space="preserve">Spanish</w:t>
      </w:r>
      <w:r>
        <w:t xml:space="preserve"> </w:t>
      </w:r>
      <w:r>
        <w:t xml:space="preserve">word properties.</w:t>
      </w:r>
      <w:r>
        <w:t xml:space="preserve"> </w:t>
      </w:r>
      <w:r>
        <w:rPr>
          <w:i/>
          <w:iCs/>
        </w:rPr>
        <w:t xml:space="preserve">Behavior Research Methods</w:t>
      </w:r>
      <w:r>
        <w:t xml:space="preserve">,</w:t>
      </w:r>
      <w:r>
        <w:t xml:space="preserve"> </w:t>
      </w:r>
      <w:r>
        <w:rPr>
          <w:i/>
          <w:iCs/>
        </w:rPr>
        <w:t xml:space="preserve">45</w:t>
      </w:r>
      <w:r>
        <w:t xml:space="preserve">(4), 1246–1258.</w:t>
      </w:r>
      <w:r>
        <w:t xml:space="preserve"> </w:t>
      </w:r>
      <w:hyperlink r:id="rId50">
        <w:r>
          <w:rPr>
            <w:rStyle w:val="Hyperlink"/>
          </w:rPr>
          <w:t xml:space="preserve">https://doi.org/10.3758/s13428-013-0326-1</w:t>
        </w:r>
      </w:hyperlink>
    </w:p>
    <w:bookmarkEnd w:id="51"/>
    <w:bookmarkStart w:id="53" w:name="ref-gonzalezalonso2025l3"/>
    <w:p>
      <w:pPr>
        <w:pStyle w:val="Bibliography"/>
      </w:pPr>
      <w:r>
        <w:t xml:space="preserve">González Alonso, J., Bernabeu, P., Silva, G., DeLuca, V., Poch, C., Ivanova, I., &amp; Rothman, J. (2025). Starting from the very beginning: Unraveling third language (</w:t>
      </w:r>
      <w:r>
        <w:t xml:space="preserve">L3</w:t>
      </w:r>
      <w:r>
        <w:t xml:space="preserve">) development with longitudinal data from artificial language learning and</w:t>
      </w:r>
      <w:r>
        <w:t xml:space="preserve"> </w:t>
      </w:r>
      <w:r>
        <w:t xml:space="preserve">EEG</w:t>
      </w:r>
      <w:r>
        <w:t xml:space="preserve">.</w:t>
      </w:r>
      <w:r>
        <w:t xml:space="preserve"> </w:t>
      </w:r>
      <w:r>
        <w:rPr>
          <w:i/>
          <w:iCs/>
        </w:rPr>
        <w:t xml:space="preserve">International Journal of Multilingualism</w:t>
      </w:r>
      <w:r>
        <w:t xml:space="preserve">,</w:t>
      </w:r>
      <w:r>
        <w:t xml:space="preserve"> </w:t>
      </w:r>
      <w:r>
        <w:rPr>
          <w:i/>
          <w:iCs/>
        </w:rPr>
        <w:t xml:space="preserve">22</w:t>
      </w:r>
      <w:r>
        <w:t xml:space="preserve">(1), 119–142.</w:t>
      </w:r>
      <w:r>
        <w:t xml:space="preserve"> </w:t>
      </w:r>
      <w:hyperlink r:id="rId52">
        <w:r>
          <w:rPr>
            <w:rStyle w:val="Hyperlink"/>
          </w:rPr>
          <w:t xml:space="preserve">https://doi.org/10.1080/14790718.2024.2415993</w:t>
        </w:r>
      </w:hyperlink>
    </w:p>
    <w:bookmarkEnd w:id="53"/>
    <w:bookmarkStart w:id="55" w:name="ref-gu1993comparison"/>
    <w:p>
      <w:pPr>
        <w:pStyle w:val="Bibliography"/>
      </w:pPr>
      <w:r>
        <w:t xml:space="preserve">Gu, X. S., &amp; Rosenbaum, P. R. (1993). Comparison of multivariate matching methods: Structures, distances, and algorithms.</w:t>
      </w:r>
      <w:r>
        <w:t xml:space="preserve"> </w:t>
      </w:r>
      <w:r>
        <w:rPr>
          <w:i/>
          <w:iCs/>
        </w:rPr>
        <w:t xml:space="preserve">Journal of Computational and Graphical Statistics</w:t>
      </w:r>
      <w:r>
        <w:t xml:space="preserve">,</w:t>
      </w:r>
      <w:r>
        <w:t xml:space="preserve"> </w:t>
      </w:r>
      <w:r>
        <w:rPr>
          <w:i/>
          <w:iCs/>
        </w:rPr>
        <w:t xml:space="preserve">2</w:t>
      </w:r>
      <w:r>
        <w:t xml:space="preserve">(4), 405–420.</w:t>
      </w:r>
      <w:r>
        <w:t xml:space="preserve"> </w:t>
      </w:r>
      <w:hyperlink r:id="rId54">
        <w:r>
          <w:rPr>
            <w:rStyle w:val="Hyperlink"/>
          </w:rPr>
          <w:t xml:space="preserve">https://doi.org/10.1080/10618600.1993.10474623</w:t>
        </w:r>
      </w:hyperlink>
    </w:p>
    <w:bookmarkEnd w:id="55"/>
    <w:bookmarkStart w:id="57" w:name="ref-hansen2006optimal"/>
    <w:p>
      <w:pPr>
        <w:pStyle w:val="Bibliography"/>
      </w:pPr>
      <w:r>
        <w:t xml:space="preserve">Hansen, B. B., &amp; Klopfer, S. O. (2006). Optimal full matching and related designs via network flows.</w:t>
      </w:r>
      <w:r>
        <w:t xml:space="preserve"> </w:t>
      </w:r>
      <w:r>
        <w:rPr>
          <w:i/>
          <w:iCs/>
        </w:rPr>
        <w:t xml:space="preserve">Journal of Computational and Graphical Statistics</w:t>
      </w:r>
      <w:r>
        <w:t xml:space="preserve">,</w:t>
      </w:r>
      <w:r>
        <w:t xml:space="preserve"> </w:t>
      </w:r>
      <w:r>
        <w:rPr>
          <w:i/>
          <w:iCs/>
        </w:rPr>
        <w:t xml:space="preserve">15</w:t>
      </w:r>
      <w:r>
        <w:t xml:space="preserve">(3), 609–627.</w:t>
      </w:r>
      <w:r>
        <w:t xml:space="preserve"> </w:t>
      </w:r>
      <w:hyperlink r:id="rId56">
        <w:r>
          <w:rPr>
            <w:rStyle w:val="Hyperlink"/>
          </w:rPr>
          <w:t xml:space="preserve">https://doi.org/10.1198/106186006X137047</w:t>
        </w:r>
      </w:hyperlink>
    </w:p>
    <w:bookmarkEnd w:id="57"/>
    <w:bookmarkStart w:id="59" w:name="ref-vanheuven2014subtlexuk"/>
    <w:p>
      <w:pPr>
        <w:pStyle w:val="Bibliography"/>
      </w:pPr>
      <w:r>
        <w:t xml:space="preserve">Heuven, W. J. B. van, Mandera, P., Keuleers, E., &amp; Brysbaert, M. (2014).</w:t>
      </w:r>
      <w:r>
        <w:t xml:space="preserve"> </w:t>
      </w:r>
      <w:r>
        <w:t xml:space="preserve">SUBTLEX-UK</w:t>
      </w:r>
      <w:r>
        <w:t xml:space="preserve">: A new and improved word frequency database for</w:t>
      </w:r>
      <w:r>
        <w:t xml:space="preserve"> </w:t>
      </w:r>
      <w:r>
        <w:t xml:space="preserve">British</w:t>
      </w:r>
      <w:r>
        <w:t xml:space="preserve"> </w:t>
      </w:r>
      <w:r>
        <w:t xml:space="preserve">English</w:t>
      </w:r>
      <w:r>
        <w:t xml:space="preserve">.</w:t>
      </w:r>
      <w:r>
        <w:t xml:space="preserve"> </w:t>
      </w:r>
      <w:r>
        <w:rPr>
          <w:i/>
          <w:iCs/>
        </w:rPr>
        <w:t xml:space="preserve">Quarterly Journal of Experimental Psychology</w:t>
      </w:r>
      <w:r>
        <w:t xml:space="preserve">,</w:t>
      </w:r>
      <w:r>
        <w:t xml:space="preserve"> </w:t>
      </w:r>
      <w:r>
        <w:rPr>
          <w:i/>
          <w:iCs/>
        </w:rPr>
        <w:t xml:space="preserve">67</w:t>
      </w:r>
      <w:r>
        <w:t xml:space="preserve">(6), 1176–1190.</w:t>
      </w:r>
      <w:r>
        <w:t xml:space="preserve"> </w:t>
      </w:r>
      <w:hyperlink r:id="rId58">
        <w:r>
          <w:rPr>
            <w:rStyle w:val="Hyperlink"/>
          </w:rPr>
          <w:t xml:space="preserve">https://doi.org/10.1080/17470218.2013.850521</w:t>
        </w:r>
      </w:hyperlink>
    </w:p>
    <w:bookmarkEnd w:id="59"/>
    <w:bookmarkStart w:id="61" w:name="ref-itkonen2024lastu"/>
    <w:p>
      <w:pPr>
        <w:pStyle w:val="Bibliography"/>
      </w:pPr>
      <w:r>
        <w:t xml:space="preserve">Itkonen, S., Häikiö, T., Vainio, S., &amp; Lehtonen, M. (2024).</w:t>
      </w:r>
      <w:r>
        <w:t xml:space="preserve"> </w:t>
      </w:r>
      <w:r>
        <w:t xml:space="preserve">LASTU</w:t>
      </w:r>
      <w:r>
        <w:t xml:space="preserve">: A psycholinguistic search tool for</w:t>
      </w:r>
      <w:r>
        <w:t xml:space="preserve"> </w:t>
      </w:r>
      <w:r>
        <w:t xml:space="preserve">Finnish</w:t>
      </w:r>
      <w:r>
        <w:t xml:space="preserve"> </w:t>
      </w:r>
      <w:r>
        <w:t xml:space="preserve">lexical stimuli.</w:t>
      </w:r>
      <w:r>
        <w:t xml:space="preserve"> </w:t>
      </w:r>
      <w:r>
        <w:rPr>
          <w:i/>
          <w:iCs/>
        </w:rPr>
        <w:t xml:space="preserve">Behavior Research Methods</w:t>
      </w:r>
      <w:r>
        <w:t xml:space="preserve">,</w:t>
      </w:r>
      <w:r>
        <w:t xml:space="preserve"> </w:t>
      </w:r>
      <w:r>
        <w:rPr>
          <w:i/>
          <w:iCs/>
        </w:rPr>
        <w:t xml:space="preserve">56</w:t>
      </w:r>
      <w:r>
        <w:t xml:space="preserve">(6), 6165–6178.</w:t>
      </w:r>
      <w:r>
        <w:t xml:space="preserve"> </w:t>
      </w:r>
      <w:hyperlink r:id="rId60">
        <w:r>
          <w:rPr>
            <w:rStyle w:val="Hyperlink"/>
          </w:rPr>
          <w:t xml:space="preserve">https://doi.org/10.3758/s13428-024-02347-x</w:t>
        </w:r>
      </w:hyperlink>
    </w:p>
    <w:bookmarkEnd w:id="61"/>
    <w:bookmarkStart w:id="63" w:name="ref-keuleers2010wuggy"/>
    <w:p>
      <w:pPr>
        <w:pStyle w:val="Bibliography"/>
      </w:pPr>
      <w:r>
        <w:t xml:space="preserve">Keuleers, E., &amp; Brysbaert, M. (2010). Wuggy:</w:t>
      </w:r>
      <w:r>
        <w:t xml:space="preserve"> </w:t>
      </w:r>
      <w:r>
        <w:t xml:space="preserve">A</w:t>
      </w:r>
      <w:r>
        <w:t xml:space="preserve"> </w:t>
      </w:r>
      <w:r>
        <w:t xml:space="preserve">multilingual pseudoword generator.</w:t>
      </w:r>
      <w:r>
        <w:t xml:space="preserve"> </w:t>
      </w:r>
      <w:r>
        <w:rPr>
          <w:i/>
          <w:iCs/>
        </w:rPr>
        <w:t xml:space="preserve">Behavior Research Methods</w:t>
      </w:r>
      <w:r>
        <w:t xml:space="preserve">,</w:t>
      </w:r>
      <w:r>
        <w:t xml:space="preserve"> </w:t>
      </w:r>
      <w:r>
        <w:rPr>
          <w:i/>
          <w:iCs/>
        </w:rPr>
        <w:t xml:space="preserve">42</w:t>
      </w:r>
      <w:r>
        <w:t xml:space="preserve">(3), 627–633.</w:t>
      </w:r>
      <w:r>
        <w:t xml:space="preserve"> </w:t>
      </w:r>
      <w:hyperlink r:id="rId62">
        <w:r>
          <w:rPr>
            <w:rStyle w:val="Hyperlink"/>
          </w:rPr>
          <w:t xml:space="preserve">https://doi.org/10.3758/BRM.42.3.627</w:t>
        </w:r>
      </w:hyperlink>
    </w:p>
    <w:bookmarkEnd w:id="63"/>
    <w:bookmarkStart w:id="65" w:name="ref-kuperman2015virtual"/>
    <w:p>
      <w:pPr>
        <w:pStyle w:val="Bibliography"/>
      </w:pPr>
      <w:r>
        <w:t xml:space="preserve">Kuperman, V. (2015). Virtual experiments in megastudies: A case study of language and emotion.</w:t>
      </w:r>
      <w:r>
        <w:t xml:space="preserve"> </w:t>
      </w:r>
      <w:r>
        <w:rPr>
          <w:i/>
          <w:iCs/>
        </w:rPr>
        <w:t xml:space="preserve">Quarterly Journal of Experimental Psychology</w:t>
      </w:r>
      <w:r>
        <w:t xml:space="preserve">,</w:t>
      </w:r>
      <w:r>
        <w:t xml:space="preserve"> </w:t>
      </w:r>
      <w:r>
        <w:rPr>
          <w:i/>
          <w:iCs/>
        </w:rPr>
        <w:t xml:space="preserve">68</w:t>
      </w:r>
      <w:r>
        <w:t xml:space="preserve">(8), 1693–1710.</w:t>
      </w:r>
      <w:r>
        <w:t xml:space="preserve"> </w:t>
      </w:r>
      <w:hyperlink r:id="rId64">
        <w:r>
          <w:rPr>
            <w:rStyle w:val="Hyperlink"/>
          </w:rPr>
          <w:t xml:space="preserve">https://doi.org/10.1080/17470218.2014.989865</w:t>
        </w:r>
      </w:hyperlink>
    </w:p>
    <w:bookmarkEnd w:id="65"/>
    <w:bookmarkStart w:id="67" w:name="ref-lakens2017equivalence"/>
    <w:p>
      <w:pPr>
        <w:pStyle w:val="Bibliography"/>
      </w:pPr>
      <w:r>
        <w:t xml:space="preserve">Lakens, D. (2017). Equivalence tests: A practical primer for</w:t>
      </w:r>
      <w:r>
        <w:t xml:space="preserve"> </w:t>
      </w:r>
      <w:r>
        <w:t xml:space="preserve">t</w:t>
      </w:r>
      <w:r>
        <w:t xml:space="preserve"> </w:t>
      </w:r>
      <w:r>
        <w:t xml:space="preserve">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66">
        <w:r>
          <w:rPr>
            <w:rStyle w:val="Hyperlink"/>
          </w:rPr>
          <w:t xml:space="preserve">https://doi.org/10.1177/1948550617697177</w:t>
        </w:r>
      </w:hyperlink>
    </w:p>
    <w:bookmarkEnd w:id="67"/>
    <w:bookmarkStart w:id="69" w:name="ref-libennowell2019danger"/>
    <w:p>
      <w:pPr>
        <w:pStyle w:val="Bibliography"/>
      </w:pPr>
      <w:r>
        <w:t xml:space="preserve">Liben-Nowell, D., Strand, J., Sharp, A., Wexler, T., &amp; Woods, K. (2019). The danger of testing by selecting controlled subsets, with applications to spoken-word recognition.</w:t>
      </w:r>
      <w:r>
        <w:t xml:space="preserve"> </w:t>
      </w:r>
      <w:r>
        <w:rPr>
          <w:i/>
          <w:iCs/>
        </w:rPr>
        <w:t xml:space="preserve">Journal of Cognition</w:t>
      </w:r>
      <w:r>
        <w:t xml:space="preserve">,</w:t>
      </w:r>
      <w:r>
        <w:t xml:space="preserve"> </w:t>
      </w:r>
      <w:r>
        <w:rPr>
          <w:i/>
          <w:iCs/>
        </w:rPr>
        <w:t xml:space="preserve">2</w:t>
      </w:r>
      <w:r>
        <w:t xml:space="preserve">(1), 2.</w:t>
      </w:r>
      <w:r>
        <w:t xml:space="preserve"> </w:t>
      </w:r>
      <w:hyperlink r:id="rId68">
        <w:r>
          <w:rPr>
            <w:rStyle w:val="Hyperlink"/>
          </w:rPr>
          <w:t xml:space="preserve">https://doi.org/10.5334/joc.51</w:t>
        </w:r>
      </w:hyperlink>
    </w:p>
    <w:bookmarkEnd w:id="69"/>
    <w:bookmarkStart w:id="71" w:name="ref-lintz2021libra"/>
    <w:p>
      <w:pPr>
        <w:pStyle w:val="Bibliography"/>
      </w:pPr>
      <w:r>
        <w:t xml:space="preserve">Lintz, E. N., Lim, P. C., &amp; Johnson, M. R. (2021). A new tool for equating lexical stimuli across experimental conditions.</w:t>
      </w:r>
      <w:r>
        <w:t xml:space="preserve"> </w:t>
      </w:r>
      <w:r>
        <w:rPr>
          <w:i/>
          <w:iCs/>
        </w:rPr>
        <w:t xml:space="preserve">MethodsX</w:t>
      </w:r>
      <w:r>
        <w:t xml:space="preserve">,</w:t>
      </w:r>
      <w:r>
        <w:t xml:space="preserve"> </w:t>
      </w:r>
      <w:r>
        <w:rPr>
          <w:i/>
          <w:iCs/>
        </w:rPr>
        <w:t xml:space="preserve">8</w:t>
      </w:r>
      <w:r>
        <w:t xml:space="preserve">, 101545.</w:t>
      </w:r>
      <w:r>
        <w:t xml:space="preserve"> </w:t>
      </w:r>
      <w:hyperlink r:id="rId70">
        <w:r>
          <w:rPr>
            <w:rStyle w:val="Hyperlink"/>
          </w:rPr>
          <w:t xml:space="preserve">https://doi.org/10.1016/j.mex.2021.101545</w:t>
        </w:r>
      </w:hyperlink>
    </w:p>
    <w:bookmarkEnd w:id="71"/>
    <w:bookmarkStart w:id="73" w:name="ref-mathot2012opensesame"/>
    <w:p>
      <w:pPr>
        <w:pStyle w:val="Bibliography"/>
      </w:pPr>
      <w:r>
        <w:t xml:space="preserve">Mathôt, S., Schreij, D., &amp; Theeuwes, J. (2012).</w:t>
      </w:r>
      <w:r>
        <w:t xml:space="preserve"> </w:t>
      </w:r>
      <w:r>
        <w:t xml:space="preserve">OpenSesame</w:t>
      </w:r>
      <w:r>
        <w:t xml:space="preserve">: An open-source, graphical experiment builder for the social sciences.</w:t>
      </w:r>
      <w:r>
        <w:t xml:space="preserve"> </w:t>
      </w:r>
      <w:r>
        <w:rPr>
          <w:i/>
          <w:iCs/>
        </w:rPr>
        <w:t xml:space="preserve">Behavior Research Methods</w:t>
      </w:r>
      <w:r>
        <w:t xml:space="preserve">,</w:t>
      </w:r>
      <w:r>
        <w:t xml:space="preserve"> </w:t>
      </w:r>
      <w:r>
        <w:rPr>
          <w:i/>
          <w:iCs/>
        </w:rPr>
        <w:t xml:space="preserve">44</w:t>
      </w:r>
      <w:r>
        <w:t xml:space="preserve">(2), 314–324.</w:t>
      </w:r>
      <w:r>
        <w:t xml:space="preserve"> </w:t>
      </w:r>
      <w:hyperlink r:id="rId72">
        <w:r>
          <w:rPr>
            <w:rStyle w:val="Hyperlink"/>
          </w:rPr>
          <w:t xml:space="preserve">https://doi.org/10.3758/s13428-011-0168-7</w:t>
        </w:r>
      </w:hyperlink>
    </w:p>
    <w:bookmarkEnd w:id="73"/>
    <w:bookmarkStart w:id="75" w:name="ref-peirce2019psychopy2"/>
    <w:p>
      <w:pPr>
        <w:pStyle w:val="Bibliography"/>
      </w:pPr>
      <w:r>
        <w:t xml:space="preserve">Peirce, J., Gray, J. R., Simpson, S., MacAskill, M., Höchenberger, R., Sogo, H., Kastman, E., &amp; Lindeløv, J. K. (2019).</w:t>
      </w:r>
      <w:r>
        <w:t xml:space="preserve"> </w:t>
      </w:r>
      <w:r>
        <w:t xml:space="preserve">PsychoPy2</w:t>
      </w:r>
      <w:r>
        <w:t xml:space="preserve">: Experiments in behavior made easy.</w:t>
      </w:r>
      <w:r>
        <w:t xml:space="preserve"> </w:t>
      </w:r>
      <w:r>
        <w:rPr>
          <w:i/>
          <w:iCs/>
        </w:rPr>
        <w:t xml:space="preserve">Behavior Research Methods</w:t>
      </w:r>
      <w:r>
        <w:t xml:space="preserve">,</w:t>
      </w:r>
      <w:r>
        <w:t xml:space="preserve"> </w:t>
      </w:r>
      <w:r>
        <w:rPr>
          <w:i/>
          <w:iCs/>
        </w:rPr>
        <w:t xml:space="preserve">51</w:t>
      </w:r>
      <w:r>
        <w:t xml:space="preserve">(1), 195–203.</w:t>
      </w:r>
      <w:r>
        <w:t xml:space="preserve"> </w:t>
      </w:r>
      <w:hyperlink r:id="rId74">
        <w:r>
          <w:rPr>
            <w:rStyle w:val="Hyperlink"/>
          </w:rPr>
          <w:t xml:space="preserve">https://doi.org/10.3758/s13428-018-01193-y</w:t>
        </w:r>
      </w:hyperlink>
    </w:p>
    <w:bookmarkEnd w:id="75"/>
    <w:bookmarkStart w:id="77" w:name="ref-rastle2004broth"/>
    <w:p>
      <w:pPr>
        <w:pStyle w:val="Bibliography"/>
      </w:pPr>
      <w:r>
        <w:t xml:space="preserve">Rastle, K., Davis, M. H., &amp; New, B. (2004). The broth in my brother’s brothel: Morpho-orthographic segmentation in visual word recognition.</w:t>
      </w:r>
      <w:r>
        <w:t xml:space="preserve"> </w:t>
      </w:r>
      <w:r>
        <w:rPr>
          <w:i/>
          <w:iCs/>
        </w:rPr>
        <w:t xml:space="preserve">Psychonomic Bulletin &amp; Review</w:t>
      </w:r>
      <w:r>
        <w:t xml:space="preserve">,</w:t>
      </w:r>
      <w:r>
        <w:t xml:space="preserve"> </w:t>
      </w:r>
      <w:r>
        <w:rPr>
          <w:i/>
          <w:iCs/>
        </w:rPr>
        <w:t xml:space="preserve">11</w:t>
      </w:r>
      <w:r>
        <w:t xml:space="preserve">(6), 1090–1098.</w:t>
      </w:r>
      <w:r>
        <w:t xml:space="preserve"> </w:t>
      </w:r>
      <w:hyperlink r:id="rId76">
        <w:r>
          <w:rPr>
            <w:rStyle w:val="Hyperlink"/>
          </w:rPr>
          <w:t xml:space="preserve">https://doi.org/10.3758/BF03196742</w:t>
        </w:r>
      </w:hyperlink>
    </w:p>
    <w:bookmarkEnd w:id="77"/>
    <w:bookmarkStart w:id="79" w:name="ref-roettger2019degrees"/>
    <w:p>
      <w:pPr>
        <w:pStyle w:val="Bibliography"/>
      </w:pPr>
      <w:r>
        <w:t xml:space="preserve">Roettger, T. B. (2019). Researcher degrees of freedom in phonetic research.</w:t>
      </w:r>
      <w:r>
        <w:t xml:space="preserve"> </w:t>
      </w:r>
      <w:r>
        <w:rPr>
          <w:i/>
          <w:iCs/>
        </w:rPr>
        <w:t xml:space="preserve">Laboratory Phonology</w:t>
      </w:r>
      <w:r>
        <w:t xml:space="preserve">,</w:t>
      </w:r>
      <w:r>
        <w:t xml:space="preserve"> </w:t>
      </w:r>
      <w:r>
        <w:rPr>
          <w:i/>
          <w:iCs/>
        </w:rPr>
        <w:t xml:space="preserve">10</w:t>
      </w:r>
      <w:r>
        <w:t xml:space="preserve">(1).</w:t>
      </w:r>
      <w:r>
        <w:t xml:space="preserve"> </w:t>
      </w:r>
      <w:hyperlink r:id="rId78">
        <w:r>
          <w:rPr>
            <w:rStyle w:val="Hyperlink"/>
          </w:rPr>
          <w:t xml:space="preserve">https://doi.org/10.5334/labphon.147</w:t>
        </w:r>
      </w:hyperlink>
    </w:p>
    <w:bookmarkEnd w:id="79"/>
    <w:bookmarkStart w:id="81" w:name="ref-roettger2019emergent"/>
    <w:p>
      <w:pPr>
        <w:pStyle w:val="Bibliography"/>
      </w:pPr>
      <w:r>
        <w:t xml:space="preserve">Roettger, T. B., Winter, B., &amp; Baayen, H. (2019). Emergent data analysis in phonetic sciences:</w:t>
      </w:r>
      <w:r>
        <w:t xml:space="preserve"> </w:t>
      </w:r>
      <w:r>
        <w:t xml:space="preserve">Towards</w:t>
      </w:r>
      <w:r>
        <w:t xml:space="preserve"> </w:t>
      </w:r>
      <w:r>
        <w:t xml:space="preserve">pluralism and reproducibility.</w:t>
      </w:r>
      <w:r>
        <w:t xml:space="preserve"> </w:t>
      </w:r>
      <w:r>
        <w:rPr>
          <w:i/>
          <w:iCs/>
        </w:rPr>
        <w:t xml:space="preserve">Journal of Phonetics</w:t>
      </w:r>
      <w:r>
        <w:t xml:space="preserve">,</w:t>
      </w:r>
      <w:r>
        <w:t xml:space="preserve"> </w:t>
      </w:r>
      <w:r>
        <w:rPr>
          <w:i/>
          <w:iCs/>
        </w:rPr>
        <w:t xml:space="preserve">73</w:t>
      </w:r>
      <w:r>
        <w:t xml:space="preserve">, 1–7.</w:t>
      </w:r>
      <w:r>
        <w:t xml:space="preserve"> </w:t>
      </w:r>
      <w:hyperlink r:id="rId80">
        <w:r>
          <w:rPr>
            <w:rStyle w:val="Hyperlink"/>
          </w:rPr>
          <w:t xml:space="preserve">https://doi.org/10.1016/j.wocn.2018.12.001</w:t>
        </w:r>
      </w:hyperlink>
    </w:p>
    <w:bookmarkEnd w:id="81"/>
    <w:bookmarkStart w:id="83" w:name="ref-rubin1980bias"/>
    <w:p>
      <w:pPr>
        <w:pStyle w:val="Bibliography"/>
      </w:pPr>
      <w:r>
        <w:t xml:space="preserve">Rubin, D. B. (1980). Bias reduction using</w:t>
      </w:r>
      <w:r>
        <w:t xml:space="preserve"> </w:t>
      </w:r>
      <w:r>
        <w:t xml:space="preserve">Mahalanobis</w:t>
      </w:r>
      <w:r>
        <w:t xml:space="preserve">-metric matching.</w:t>
      </w:r>
      <w:r>
        <w:t xml:space="preserve"> </w:t>
      </w:r>
      <w:r>
        <w:rPr>
          <w:i/>
          <w:iCs/>
        </w:rPr>
        <w:t xml:space="preserve">Biometrics</w:t>
      </w:r>
      <w:r>
        <w:t xml:space="preserve">,</w:t>
      </w:r>
      <w:r>
        <w:t xml:space="preserve"> </w:t>
      </w:r>
      <w:r>
        <w:rPr>
          <w:i/>
          <w:iCs/>
        </w:rPr>
        <w:t xml:space="preserve">36</w:t>
      </w:r>
      <w:r>
        <w:t xml:space="preserve">(2), 293–298.</w:t>
      </w:r>
      <w:r>
        <w:t xml:space="preserve"> </w:t>
      </w:r>
      <w:hyperlink r:id="rId82">
        <w:r>
          <w:rPr>
            <w:rStyle w:val="Hyperlink"/>
          </w:rPr>
          <w:t xml:space="preserve">https://doi.org/10.2307/2529981</w:t>
        </w:r>
      </w:hyperlink>
    </w:p>
    <w:bookmarkEnd w:id="83"/>
    <w:bookmarkStart w:id="85" w:name="ref-sassenhagen2016nuisance"/>
    <w:p>
      <w:pPr>
        <w:pStyle w:val="Bibliography"/>
      </w:pPr>
      <w:r>
        <w:t xml:space="preserve">Sassenhagen, J., &amp; Alday, P. M. (2016). A common misapplication of statistical inference:</w:t>
      </w:r>
      <w:r>
        <w:t xml:space="preserve"> </w:t>
      </w:r>
      <w:r>
        <w:t xml:space="preserve">Nuisance</w:t>
      </w:r>
      <w:r>
        <w:t xml:space="preserve"> </w:t>
      </w:r>
      <w:r>
        <w:t xml:space="preserve">control with null-hypothesis significance tests.</w:t>
      </w:r>
      <w:r>
        <w:t xml:space="preserve"> </w:t>
      </w:r>
      <w:r>
        <w:rPr>
          <w:i/>
          <w:iCs/>
        </w:rPr>
        <w:t xml:space="preserve">Brain and Language</w:t>
      </w:r>
      <w:r>
        <w:t xml:space="preserve">,</w:t>
      </w:r>
      <w:r>
        <w:t xml:space="preserve"> </w:t>
      </w:r>
      <w:r>
        <w:rPr>
          <w:i/>
          <w:iCs/>
        </w:rPr>
        <w:t xml:space="preserve">162</w:t>
      </w:r>
      <w:r>
        <w:t xml:space="preserve">, 42–45.</w:t>
      </w:r>
      <w:r>
        <w:t xml:space="preserve"> </w:t>
      </w:r>
      <w:hyperlink r:id="rId84">
        <w:r>
          <w:rPr>
            <w:rStyle w:val="Hyperlink"/>
          </w:rPr>
          <w:t xml:space="preserve">https://doi.org/10.1016/j.bandl.2016.08.001</w:t>
        </w:r>
      </w:hyperlink>
    </w:p>
    <w:bookmarkEnd w:id="85"/>
    <w:bookmarkStart w:id="87" w:name="ref-speer2022wordfreq"/>
    <w:p>
      <w:pPr>
        <w:pStyle w:val="Bibliography"/>
      </w:pPr>
      <w:r>
        <w:t xml:space="preserve">Speer, R. (2022).</w:t>
      </w:r>
      <w:r>
        <w:t xml:space="preserve"> </w:t>
      </w:r>
      <w:r>
        <w:rPr>
          <w:i/>
          <w:iCs/>
        </w:rPr>
        <w:t xml:space="preserve">rspeer/wordfreq</w:t>
      </w:r>
      <w:r>
        <w:rPr>
          <w:i/>
          <w:iCs/>
        </w:rPr>
        <w:t xml:space="preserve">: v3.0</w:t>
      </w:r>
      <w:r>
        <w:t xml:space="preserve">. Zenodo.</w:t>
      </w:r>
      <w:r>
        <w:t xml:space="preserve"> </w:t>
      </w:r>
      <w:hyperlink r:id="rId86">
        <w:r>
          <w:rPr>
            <w:rStyle w:val="Hyperlink"/>
          </w:rPr>
          <w:t xml:space="preserve">https://doi.org/10.5281/zenodo.7199437</w:t>
        </w:r>
      </w:hyperlink>
    </w:p>
    <w:bookmarkEnd w:id="87"/>
    <w:bookmarkStart w:id="89" w:name="ref-stuart2010matching"/>
    <w:p>
      <w:pPr>
        <w:pStyle w:val="Bibliography"/>
      </w:pPr>
      <w:r>
        <w:t xml:space="preserve">Stuart, E. A. (2010). Matching methods for causal inference: A review and a look forward.</w:t>
      </w:r>
      <w:r>
        <w:t xml:space="preserve"> </w:t>
      </w:r>
      <w:r>
        <w:rPr>
          <w:i/>
          <w:iCs/>
        </w:rPr>
        <w:t xml:space="preserve">Statistical Science</w:t>
      </w:r>
      <w:r>
        <w:t xml:space="preserve">,</w:t>
      </w:r>
      <w:r>
        <w:t xml:space="preserve"> </w:t>
      </w:r>
      <w:r>
        <w:rPr>
          <w:i/>
          <w:iCs/>
        </w:rPr>
        <w:t xml:space="preserve">25</w:t>
      </w:r>
      <w:r>
        <w:t xml:space="preserve">(1), 1–21.</w:t>
      </w:r>
      <w:r>
        <w:t xml:space="preserve"> </w:t>
      </w:r>
      <w:hyperlink r:id="rId88">
        <w:r>
          <w:rPr>
            <w:rStyle w:val="Hyperlink"/>
          </w:rPr>
          <w:t xml:space="preserve">https://doi.org/10.1214/09-STS313</w:t>
        </w:r>
      </w:hyperlink>
    </w:p>
    <w:bookmarkEnd w:id="89"/>
    <w:bookmarkStart w:id="91" w:name="ref-taylor2020lexops"/>
    <w:p>
      <w:pPr>
        <w:pStyle w:val="Bibliography"/>
      </w:pPr>
      <w:r>
        <w:t xml:space="preserve">Taylor, J. E., Beith, A., &amp; Sereno, S. C. (2020).</w:t>
      </w:r>
      <w:r>
        <w:t xml:space="preserve"> </w:t>
      </w:r>
      <w:r>
        <w:t xml:space="preserve">LexOPS</w:t>
      </w:r>
      <w:r>
        <w:t xml:space="preserve">: An</w:t>
      </w:r>
      <w:r>
        <w:t xml:space="preserve"> </w:t>
      </w:r>
      <w:r>
        <w:t xml:space="preserve">R</w:t>
      </w:r>
      <w:r>
        <w:t xml:space="preserve"> </w:t>
      </w:r>
      <w:r>
        <w:t xml:space="preserve">package and user interface for the controlled generation of word stimuli.</w:t>
      </w:r>
      <w:r>
        <w:t xml:space="preserve"> </w:t>
      </w:r>
      <w:r>
        <w:rPr>
          <w:i/>
          <w:iCs/>
        </w:rPr>
        <w:t xml:space="preserve">Behavior Research Methods</w:t>
      </w:r>
      <w:r>
        <w:t xml:space="preserve">,</w:t>
      </w:r>
      <w:r>
        <w:t xml:space="preserve"> </w:t>
      </w:r>
      <w:r>
        <w:rPr>
          <w:i/>
          <w:iCs/>
        </w:rPr>
        <w:t xml:space="preserve">52</w:t>
      </w:r>
      <w:r>
        <w:t xml:space="preserve">(6), 2372–2382.</w:t>
      </w:r>
      <w:r>
        <w:t xml:space="preserve"> </w:t>
      </w:r>
      <w:hyperlink r:id="rId90">
        <w:r>
          <w:rPr>
            <w:rStyle w:val="Hyperlink"/>
          </w:rPr>
          <w:t xml:space="preserve">https://doi.org/10.3758/s13428-020-01389-1</w:t>
        </w:r>
      </w:hyperlink>
    </w:p>
    <w:bookmarkEnd w:id="91"/>
    <w:bookmarkStart w:id="93" w:name="ref-wilkinson2016fair"/>
    <w:p>
      <w:pPr>
        <w:pStyle w:val="Bibliography"/>
      </w:pPr>
      <w:r>
        <w:t xml:space="preserve">Wilkinson, M. D., Dumontier, M., Aalbersberg, Ij. J., et al.</w:t>
      </w:r>
      <w:r>
        <w:t xml:space="preserve"> (2016). The</w:t>
      </w:r>
      <w:r>
        <w:t xml:space="preserve"> </w:t>
      </w:r>
      <w:r>
        <w:t xml:space="preserve">FAIR</w:t>
      </w:r>
      <w:r>
        <w:t xml:space="preserve"> </w:t>
      </w:r>
      <w:r>
        <w:t xml:space="preserve">guiding principles for scientific data management and stewardship.</w:t>
      </w:r>
      <w:r>
        <w:t xml:space="preserve"> </w:t>
      </w:r>
      <w:r>
        <w:rPr>
          <w:i/>
          <w:iCs/>
        </w:rPr>
        <w:t xml:space="preserve">Scientific Data</w:t>
      </w:r>
      <w:r>
        <w:t xml:space="preserve">,</w:t>
      </w:r>
      <w:r>
        <w:t xml:space="preserve"> </w:t>
      </w:r>
      <w:r>
        <w:rPr>
          <w:i/>
          <w:iCs/>
        </w:rPr>
        <w:t xml:space="preserve">3</w:t>
      </w:r>
      <w:r>
        <w:t xml:space="preserve">, 160018.</w:t>
      </w:r>
      <w:r>
        <w:t xml:space="preserve"> </w:t>
      </w:r>
      <w:hyperlink r:id="rId92">
        <w:r>
          <w:rPr>
            <w:rStyle w:val="Hyperlink"/>
          </w:rPr>
          <w:t xml:space="preserve">https://doi.org/10.1038/sdata.2016.18</w:t>
        </w:r>
      </w:hyperlink>
    </w:p>
    <w:bookmarkEnd w:id="93"/>
    <w:bookmarkStart w:id="95" w:name="ref-yarkoni2020generalizability"/>
    <w:p>
      <w:pPr>
        <w:pStyle w:val="Bibliography"/>
      </w:pPr>
      <w:r>
        <w:t xml:space="preserve">Yarkoni, T. (2022). The generalizability crisis.</w:t>
      </w:r>
      <w:r>
        <w:t xml:space="preserve"> </w:t>
      </w:r>
      <w:r>
        <w:rPr>
          <w:i/>
          <w:iCs/>
        </w:rPr>
        <w:t xml:space="preserve">Behavioral and Brain Sciences</w:t>
      </w:r>
      <w:r>
        <w:t xml:space="preserve">,</w:t>
      </w:r>
      <w:r>
        <w:t xml:space="preserve"> </w:t>
      </w:r>
      <w:r>
        <w:rPr>
          <w:i/>
          <w:iCs/>
        </w:rPr>
        <w:t xml:space="preserve">45</w:t>
      </w:r>
      <w:r>
        <w:t xml:space="preserve">, e1.</w:t>
      </w:r>
      <w:r>
        <w:t xml:space="preserve"> </w:t>
      </w:r>
      <w:hyperlink r:id="rId94">
        <w:r>
          <w:rPr>
            <w:rStyle w:val="Hyperlink"/>
          </w:rPr>
          <w:t xml:space="preserve">https://doi.org/10.1017/S0140525X20001685</w:t>
        </w:r>
      </w:hyperlink>
    </w:p>
    <w:bookmarkEnd w:id="95"/>
    <w:bookmarkStart w:id="97" w:name="ref-yarkoni2008old20"/>
    <w:p>
      <w:pPr>
        <w:pStyle w:val="Bibliography"/>
      </w:pPr>
      <w:r>
        <w:t xml:space="preserve">Yarkoni, T., Balota, D., &amp; Yap, M. (2008). Moving beyond</w:t>
      </w:r>
      <w:r>
        <w:t xml:space="preserve"> </w:t>
      </w:r>
      <w:r>
        <w:t xml:space="preserve">Coltheart’s</w:t>
      </w:r>
      <w:r>
        <w:t xml:space="preserve"> </w:t>
      </w:r>
      <w:r>
        <w:t xml:space="preserve">N</w:t>
      </w:r>
      <w:r>
        <w:t xml:space="preserve">: A new measure of orthographic similarity.</w:t>
      </w:r>
      <w:r>
        <w:t xml:space="preserve"> </w:t>
      </w:r>
      <w:r>
        <w:rPr>
          <w:i/>
          <w:iCs/>
        </w:rPr>
        <w:t xml:space="preserve">Psychonomic Bulletin &amp; Review</w:t>
      </w:r>
      <w:r>
        <w:t xml:space="preserve">,</w:t>
      </w:r>
      <w:r>
        <w:t xml:space="preserve"> </w:t>
      </w:r>
      <w:r>
        <w:rPr>
          <w:i/>
          <w:iCs/>
        </w:rPr>
        <w:t xml:space="preserve">15</w:t>
      </w:r>
      <w:r>
        <w:t xml:space="preserve">(5), 971–979.</w:t>
      </w:r>
      <w:r>
        <w:t xml:space="preserve"> </w:t>
      </w:r>
      <w:hyperlink r:id="rId96">
        <w:r>
          <w:rPr>
            <w:rStyle w:val="Hyperlink"/>
          </w:rPr>
          <w:t xml:space="preserve">https://doi.org/10.3758/pbr.15.5.971</w:t>
        </w:r>
      </w:hyperlink>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doi.org/10.1016/S0022-5371(73)80014-3" TargetMode="External" /><Relationship Type="http://schemas.openxmlformats.org/officeDocument/2006/relationships/hyperlink" Id="rId84" Target="https://doi.org/10.1016/j.bandl.2016.08.001" TargetMode="External" /><Relationship Type="http://schemas.openxmlformats.org/officeDocument/2006/relationships/hyperlink" Id="rId70" Target="https://doi.org/10.1016/j.mex.2021.101545" TargetMode="External" /><Relationship Type="http://schemas.openxmlformats.org/officeDocument/2006/relationships/hyperlink" Id="rId80" Target="https://doi.org/10.1016/j.wocn.2018.12.001" TargetMode="External" /><Relationship Type="http://schemas.openxmlformats.org/officeDocument/2006/relationships/hyperlink" Id="rId94" Target="https://doi.org/10.1017/S0140525X20001685" TargetMode="External" /><Relationship Type="http://schemas.openxmlformats.org/officeDocument/2006/relationships/hyperlink" Id="rId36" Target="https://doi.org/10.1037/0278-7393.15.5.802" TargetMode="External" /><Relationship Type="http://schemas.openxmlformats.org/officeDocument/2006/relationships/hyperlink" Id="rId92" Target="https://doi.org/10.1038/sdata.2016.18" TargetMode="External" /><Relationship Type="http://schemas.openxmlformats.org/officeDocument/2006/relationships/hyperlink" Id="rId54" Target="https://doi.org/10.1080/10618600.1993.10474623" TargetMode="External" /><Relationship Type="http://schemas.openxmlformats.org/officeDocument/2006/relationships/hyperlink" Id="rId52" Target="https://doi.org/10.1080/14790718.2024.2415993" TargetMode="External" /><Relationship Type="http://schemas.openxmlformats.org/officeDocument/2006/relationships/hyperlink" Id="rId58" Target="https://doi.org/10.1080/17470218.2013.850521" TargetMode="External" /><Relationship Type="http://schemas.openxmlformats.org/officeDocument/2006/relationships/hyperlink" Id="rId64" Target="https://doi.org/10.1080/17470218.2014.989865" TargetMode="External" /><Relationship Type="http://schemas.openxmlformats.org/officeDocument/2006/relationships/hyperlink" Id="rId66" Target="https://doi.org/10.1177/1948550617697177" TargetMode="External" /><Relationship Type="http://schemas.openxmlformats.org/officeDocument/2006/relationships/hyperlink" Id="rId47" Target="https://doi.org/10.1177/25152459231162567" TargetMode="External" /><Relationship Type="http://schemas.openxmlformats.org/officeDocument/2006/relationships/hyperlink" Id="rId56" Target="https://doi.org/10.1198/106186006X137047" TargetMode="External" /><Relationship Type="http://schemas.openxmlformats.org/officeDocument/2006/relationships/hyperlink" Id="rId88" Target="https://doi.org/10.1214/09-STS313" TargetMode="External" /><Relationship Type="http://schemas.openxmlformats.org/officeDocument/2006/relationships/hyperlink" Id="rId42" Target="https://doi.org/10.1371/journal.pone.0010729" TargetMode="External" /><Relationship Type="http://schemas.openxmlformats.org/officeDocument/2006/relationships/hyperlink" Id="rId82" Target="https://doi.org/10.2307/2529981" TargetMode="External" /><Relationship Type="http://schemas.openxmlformats.org/officeDocument/2006/relationships/hyperlink" Id="rId76" Target="https://doi.org/10.3758/BF03196742" TargetMode="External" /><Relationship Type="http://schemas.openxmlformats.org/officeDocument/2006/relationships/hyperlink" Id="rId40" Target="https://doi.org/10.3758/BRM.41.4.977" TargetMode="External" /><Relationship Type="http://schemas.openxmlformats.org/officeDocument/2006/relationships/hyperlink" Id="rId62" Target="https://doi.org/10.3758/BRM.42.3.627" TargetMode="External" /><Relationship Type="http://schemas.openxmlformats.org/officeDocument/2006/relationships/hyperlink" Id="rId96" Target="https://doi.org/10.3758/pbr.15.5.971" TargetMode="External" /><Relationship Type="http://schemas.openxmlformats.org/officeDocument/2006/relationships/hyperlink" Id="rId72" Target="https://doi.org/10.3758/s13428-011-0168-7" TargetMode="External" /><Relationship Type="http://schemas.openxmlformats.org/officeDocument/2006/relationships/hyperlink" Id="rId50" Target="https://doi.org/10.3758/s13428-013-0326-1" TargetMode="External" /><Relationship Type="http://schemas.openxmlformats.org/officeDocument/2006/relationships/hyperlink" Id="rId74" Target="https://doi.org/10.3758/s13428-018-01193-y" TargetMode="External" /><Relationship Type="http://schemas.openxmlformats.org/officeDocument/2006/relationships/hyperlink" Id="rId90" Target="https://doi.org/10.3758/s13428-020-01389-1" TargetMode="External" /><Relationship Type="http://schemas.openxmlformats.org/officeDocument/2006/relationships/hyperlink" Id="rId60" Target="https://doi.org/10.3758/s13428-024-02347-x" TargetMode="External" /><Relationship Type="http://schemas.openxmlformats.org/officeDocument/2006/relationships/hyperlink" Id="rId38" Target="https://doi.org/10.5070/G6011239" TargetMode="External" /><Relationship Type="http://schemas.openxmlformats.org/officeDocument/2006/relationships/hyperlink" Id="rId86" Target="https://doi.org/10.5281/zenodo.7199437" TargetMode="External" /><Relationship Type="http://schemas.openxmlformats.org/officeDocument/2006/relationships/hyperlink" Id="rId68" Target="https://doi.org/10.5334/joc.51" TargetMode="External" /><Relationship Type="http://schemas.openxmlformats.org/officeDocument/2006/relationships/hyperlink" Id="rId78" Target="https://doi.org/10.5334/labphon.147"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16/S0022-5371(73)80014-3" TargetMode="External" /><Relationship Type="http://schemas.openxmlformats.org/officeDocument/2006/relationships/hyperlink" Id="rId84" Target="https://doi.org/10.1016/j.bandl.2016.08.001" TargetMode="External" /><Relationship Type="http://schemas.openxmlformats.org/officeDocument/2006/relationships/hyperlink" Id="rId70" Target="https://doi.org/10.1016/j.mex.2021.101545" TargetMode="External" /><Relationship Type="http://schemas.openxmlformats.org/officeDocument/2006/relationships/hyperlink" Id="rId80" Target="https://doi.org/10.1016/j.wocn.2018.12.001" TargetMode="External" /><Relationship Type="http://schemas.openxmlformats.org/officeDocument/2006/relationships/hyperlink" Id="rId94" Target="https://doi.org/10.1017/S0140525X20001685" TargetMode="External" /><Relationship Type="http://schemas.openxmlformats.org/officeDocument/2006/relationships/hyperlink" Id="rId36" Target="https://doi.org/10.1037/0278-7393.15.5.802" TargetMode="External" /><Relationship Type="http://schemas.openxmlformats.org/officeDocument/2006/relationships/hyperlink" Id="rId92" Target="https://doi.org/10.1038/sdata.2016.18" TargetMode="External" /><Relationship Type="http://schemas.openxmlformats.org/officeDocument/2006/relationships/hyperlink" Id="rId54" Target="https://doi.org/10.1080/10618600.1993.10474623" TargetMode="External" /><Relationship Type="http://schemas.openxmlformats.org/officeDocument/2006/relationships/hyperlink" Id="rId52" Target="https://doi.org/10.1080/14790718.2024.2415993" TargetMode="External" /><Relationship Type="http://schemas.openxmlformats.org/officeDocument/2006/relationships/hyperlink" Id="rId58" Target="https://doi.org/10.1080/17470218.2013.850521" TargetMode="External" /><Relationship Type="http://schemas.openxmlformats.org/officeDocument/2006/relationships/hyperlink" Id="rId64" Target="https://doi.org/10.1080/17470218.2014.989865" TargetMode="External" /><Relationship Type="http://schemas.openxmlformats.org/officeDocument/2006/relationships/hyperlink" Id="rId66" Target="https://doi.org/10.1177/1948550617697177" TargetMode="External" /><Relationship Type="http://schemas.openxmlformats.org/officeDocument/2006/relationships/hyperlink" Id="rId47" Target="https://doi.org/10.1177/25152459231162567" TargetMode="External" /><Relationship Type="http://schemas.openxmlformats.org/officeDocument/2006/relationships/hyperlink" Id="rId56" Target="https://doi.org/10.1198/106186006X137047" TargetMode="External" /><Relationship Type="http://schemas.openxmlformats.org/officeDocument/2006/relationships/hyperlink" Id="rId88" Target="https://doi.org/10.1214/09-STS313" TargetMode="External" /><Relationship Type="http://schemas.openxmlformats.org/officeDocument/2006/relationships/hyperlink" Id="rId42" Target="https://doi.org/10.1371/journal.pone.0010729" TargetMode="External" /><Relationship Type="http://schemas.openxmlformats.org/officeDocument/2006/relationships/hyperlink" Id="rId82" Target="https://doi.org/10.2307/2529981" TargetMode="External" /><Relationship Type="http://schemas.openxmlformats.org/officeDocument/2006/relationships/hyperlink" Id="rId76" Target="https://doi.org/10.3758/BF03196742" TargetMode="External" /><Relationship Type="http://schemas.openxmlformats.org/officeDocument/2006/relationships/hyperlink" Id="rId40" Target="https://doi.org/10.3758/BRM.41.4.977" TargetMode="External" /><Relationship Type="http://schemas.openxmlformats.org/officeDocument/2006/relationships/hyperlink" Id="rId62" Target="https://doi.org/10.3758/BRM.42.3.627" TargetMode="External" /><Relationship Type="http://schemas.openxmlformats.org/officeDocument/2006/relationships/hyperlink" Id="rId96" Target="https://doi.org/10.3758/pbr.15.5.971" TargetMode="External" /><Relationship Type="http://schemas.openxmlformats.org/officeDocument/2006/relationships/hyperlink" Id="rId72" Target="https://doi.org/10.3758/s13428-011-0168-7" TargetMode="External" /><Relationship Type="http://schemas.openxmlformats.org/officeDocument/2006/relationships/hyperlink" Id="rId50" Target="https://doi.org/10.3758/s13428-013-0326-1" TargetMode="External" /><Relationship Type="http://schemas.openxmlformats.org/officeDocument/2006/relationships/hyperlink" Id="rId74" Target="https://doi.org/10.3758/s13428-018-01193-y" TargetMode="External" /><Relationship Type="http://schemas.openxmlformats.org/officeDocument/2006/relationships/hyperlink" Id="rId90" Target="https://doi.org/10.3758/s13428-020-01389-1" TargetMode="External" /><Relationship Type="http://schemas.openxmlformats.org/officeDocument/2006/relationships/hyperlink" Id="rId60" Target="https://doi.org/10.3758/s13428-024-02347-x" TargetMode="External" /><Relationship Type="http://schemas.openxmlformats.org/officeDocument/2006/relationships/hyperlink" Id="rId38" Target="https://doi.org/10.5070/G6011239" TargetMode="External" /><Relationship Type="http://schemas.openxmlformats.org/officeDocument/2006/relationships/hyperlink" Id="rId86" Target="https://doi.org/10.5281/zenodo.7199437" TargetMode="External" /><Relationship Type="http://schemas.openxmlformats.org/officeDocument/2006/relationships/hyperlink" Id="rId68" Target="https://doi.org/10.5334/joc.51" TargetMode="External" /><Relationship Type="http://schemas.openxmlformats.org/officeDocument/2006/relationships/hyperlink" Id="rId78" Target="https://doi.org/10.5334/labphon.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lexsync: A cross-platform pipeline for multidimensional lexical optimisation and hardware-timed experiment generation</dc:title>
  <dc:creator>Pablo Bernabeu</dc:creator>
  <cp:keywords/>
  <dcterms:created xsi:type="dcterms:W3CDTF">2026-07-15T08:16:59Z</dcterms:created>
  <dcterms:modified xsi:type="dcterms:W3CDTF">2026-07-15T08:16:59Z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Psycholinguistic stimulus preparation is fragmented across tools that match words, tools that present them and the separate R and Python ecosystems in which those tools live. We present ‘lexsync’, a research-grade toolkit, released as a ‘CRAN’-ready R package and a structurally identical ‘PyPI’-ready Python package, that unifies the whole path from corpus to laboratory. From a word-frequency corpus in any of dozens of languages ‘lexsync’ selects stimuli that are matched in parallel across several lexical dimensions (length, frequency, orthographic neighbourhood density and OLD20), counterbalances them, reports the realised match quality and then generates ready-to-run ‘PsychoPy’, ‘OpenSesame’ and browser-based ‘jsPsych’ experiments. The two laboratory targets time-lock their electroencephalography triggers to stimulus onset. The trial is described declaratively as a sequence of events, so the same engine builds factorial word studies, lexical decision with generated pseudowords, priming and self-paced reading from configuration rather than code. The default matching methods and the pseudoword generation are deterministic, so the two engines select the same stimuli. We demonstrate this on twelve worked examples in English, Spanish and Mandarin Chinese (across word, pseudoword, paired and sentence stimuli), one of which shows that the workflow extends to a logographic writing system, while three reproduce published designs from the literature. The generation step requires no presentation software and no hardware, which keeps the whole workflow reproducible. ‘lexsync’ is general-purpose and treats the stimulus set as a reproducible artefact, distributed under open licences with a machine-readable corpus registry.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2026-07-15</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