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2026-06-10</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 </w:t>
      </w:r>
      <w:r>
        <w:t xml:space="preserve">and</w:t>
      </w:r>
      <w:r>
        <w:t xml:space="preserve"> </w:t>
      </w:r>
      <w:r>
        <w:t xml:space="preserve">‘OpenSesame’</w:t>
      </w:r>
      <w:r>
        <w:t xml:space="preserve"> </w:t>
      </w:r>
      <w:r>
        <w:t xml:space="preserve">experiment scripts whose hardware</w:t>
      </w:r>
      <w:r>
        <w:t xml:space="preserve"> </w:t>
      </w:r>
      <w:r>
        <w:t xml:space="preserve">triggers for electroencephalography are time-locked to stimulus onset in both</w:t>
      </w:r>
      <w:r>
        <w:t xml:space="preserve"> </w:t>
      </w:r>
      <w:r>
        <w:t xml:space="preserve">targets. The matching is deterministic, so the two engines select identical</w:t>
      </w:r>
      <w:r>
        <w:t xml:space="preserve"> </w:t>
      </w:r>
      <w:r>
        <w:t xml:space="preserve">matched stimuli; we</w:t>
      </w:r>
      <w:r>
        <w:t xml:space="preserve"> </w:t>
      </w:r>
      <w:r>
        <w:t xml:space="preserve">demonstrate</w:t>
      </w:r>
      <w:r>
        <w:t xml:space="preserve"> </w:t>
      </w:r>
      <w:r>
        <w:t xml:space="preserve">this on five worked examples in English, Spanish and Mandarin Chinese, the last</w:t>
      </w:r>
      <w:r>
        <w:t xml:space="preserve"> </w:t>
      </w:r>
      <w:r>
        <w:t xml:space="preserve">of which shows that the workflow extends to a logographic writing system. The</w:t>
      </w:r>
      <w:r>
        <w:t xml:space="preserve"> </w:t>
      </w:r>
      <w:r>
        <w:t xml:space="preserve">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generalises the FAIR artificial-grammar</w:t>
      </w:r>
      <w:r>
        <w:t xml:space="preserve"> </w:t>
      </w:r>
      <w:r>
        <w:t xml:space="preserve">workflow of an existing longitudinal study and is distributed under open</w:t>
      </w:r>
      <w:r>
        <w:t xml:space="preserve"> </w:t>
      </w:r>
      <w:r>
        <w:t xml:space="preserve">licences with a 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 that research objects be findable, accessible,</w:t>
      </w:r>
      <w:r>
        <w:t xml:space="preserve"> </w:t>
      </w:r>
      <w:r>
        <w:t xml:space="preserve">interoperable and reusable —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resampling 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not a missing capability but a missing integration.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the artificial-grammar workflow that motivated this work</w:t>
      </w:r>
      <w:r>
        <w:t xml:space="preserve"> </w:t>
      </w:r>
      <w:r>
        <w:t xml:space="preserve">(González Alonso et al., 2025)</w:t>
      </w:r>
      <w:r>
        <w:t xml:space="preserve">, EEG markers were sent from an experiment item that</w:t>
      </w:r>
      <w:r>
        <w:t xml:space="preserve"> </w:t>
      </w:r>
      <w:r>
        <w:t xml:space="preserve">followed the word, so that only the first marker was even approximately aligned</w:t>
      </w:r>
      <w:r>
        <w:t xml:space="preserve"> </w:t>
      </w:r>
      <w:r>
        <w:t xml:space="preserve">with stimulus onset; the others were sequence-ordered. This is a common pattern</w:t>
      </w:r>
      <w:r>
        <w:t xml:space="preserve"> </w:t>
      </w:r>
      <w:r>
        <w:t xml:space="preserve">and an avoidable source of jitter.</w:t>
      </w:r>
    </w:p>
    <w:p>
      <w:pPr>
        <w:pStyle w:val="BodyText"/>
      </w:pPr>
      <w:r>
        <w:t xml:space="preserve">We present</w:t>
      </w:r>
      <w:r>
        <w:t xml:space="preserve"> </w:t>
      </w:r>
      <w:r>
        <w:t xml:space="preserve">‘lexsync’</w:t>
      </w:r>
      <w:r>
        <w:t xml:space="preserve">, a toolkit that fills these gaps; both presentation targets time-lock the marker to stimulus onset (see below). It is released as two</w:t>
      </w:r>
      <w:r>
        <w:t xml:space="preserve"> </w:t>
      </w:r>
      <w:r>
        <w:t xml:space="preserve">independent but structurally identical packages — a</w:t>
      </w:r>
      <w:r>
        <w:t xml:space="preserve"> </w:t>
      </w:r>
      <w:r>
        <w:t xml:space="preserve">‘CRAN’</w:t>
      </w:r>
      <w:r>
        <w:t xml:space="preserve">-ready R package and a</w:t>
      </w:r>
      <w:r>
        <w:t xml:space="preserve"> </w:t>
      </w:r>
      <w:r>
        <w:t xml:space="preserve">‘PyPI’</w:t>
      </w:r>
      <w:r>
        <w:t xml:space="preserve">-ready Python package —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then writes a</w:t>
      </w:r>
      <w:r>
        <w:t xml:space="preserve"> </w:t>
      </w:r>
      <w:r>
        <w:t xml:space="preserve">‘PsychoPy’</w:t>
      </w:r>
      <w:r>
        <w:t xml:space="preserve"> </w:t>
      </w:r>
      <w:r>
        <w:t xml:space="preserve">script in which each onset trigger is</w:t>
      </w:r>
      <w:r>
        <w:t xml:space="preserve"> </w:t>
      </w:r>
      <w:r>
        <w:t xml:space="preserve">bound to the exact screen flip on which the word appears, using</w:t>
      </w:r>
      <w:r>
        <w:t xml:space="preserve"> </w:t>
      </w:r>
      <w:r>
        <w:rPr>
          <w:rStyle w:val="VerbatimChar"/>
        </w:rPr>
        <w:t xml:space="preserve">win.callOnFlip</w:t>
      </w:r>
      <w:r>
        <w:t xml:space="preserve">,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select identical matched stimuli.</w:t>
      </w:r>
      <w:r>
        <w:t xml:space="preserve"> </w:t>
      </w:r>
      <w:r>
        <w:t xml:space="preserve">‘lexsync’</w:t>
      </w:r>
      <w:r>
        <w:t xml:space="preserve"> </w:t>
      </w:r>
      <w:r>
        <w:t xml:space="preserve">generalises the materials workflow of</w:t>
      </w:r>
      <w:r>
        <w:t xml:space="preserve"> </w:t>
      </w:r>
      <w:r>
        <w:t xml:space="preserve">González Alonso et al. (2025)</w:t>
      </w:r>
      <w:r>
        <w:t xml:space="preserve"> </w:t>
      </w:r>
      <w:r>
        <w:t xml:space="preserve">into a</w:t>
      </w:r>
      <w:r>
        <w:t xml:space="preserve"> </w:t>
      </w:r>
      <w:r>
        <w:t xml:space="preserve">reusable, FAIR-compliant tool.</w:t>
      </w:r>
    </w:p>
    <w:bookmarkEnd w:id="9"/>
    <w:bookmarkStart w:id="16"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and</w:t>
      </w:r>
      <w:r>
        <w:t xml:space="preserve"> </w:t>
      </w:r>
      <w:r>
        <w:t xml:space="preserve">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w:t>
      </w:r>
      <w:r>
        <w:t xml:space="preserve"> </w:t>
      </w:r>
      <w:r>
        <w:t xml:space="preserve">orchestrator,</w:t>
      </w:r>
      <w:r>
        <w:t xml:space="preserve"> </w:t>
      </w:r>
      <w:r>
        <w:rPr>
          <w:rStyle w:val="VerbatimChar"/>
        </w:rPr>
        <w:t xml:space="preserve">run_pipeline</w:t>
      </w:r>
      <w:r>
        <w:t xml:space="preserve">, drives them in an explicit loop over designs and</w:t>
      </w:r>
      <w:r>
        <w:t xml:space="preserve"> </w:t>
      </w:r>
      <w:r>
        <w:t xml:space="preserve">languages, so that adding a language or a design is a matter of supplying a</w:t>
      </w:r>
      <w:r>
        <w:t xml:space="preserve"> </w:t>
      </w:r>
      <w:r>
        <w:t xml:space="preserve">configuration file and a lexicon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 </w:t>
      </w:r>
      <w:r>
        <w:t xml:space="preserve">and</w:t>
      </w:r>
      <w:r>
        <w:t xml:space="preserve"> </w:t>
      </w:r>
      <w:r>
        <w:t xml:space="preserve">‘jsonlite’</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Stimuli are only as good as the corpus behind them.</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Spanish and Mandarin Chinese lexica with</w:t>
      </w:r>
      <w:r>
        <w:t xml:space="preserve"> </w:t>
      </w:r>
      <w:r>
        <w:t xml:space="preserve">‘wordfreq’</w:t>
      </w:r>
      <w:r>
        <w:t xml:space="preserve">, which aggregates</w:t>
      </w:r>
      <w:r>
        <w:t xml:space="preserve"> </w:t>
      </w:r>
      <w:r>
        <w:t xml:space="preserve">subtitle and web corpora including the SUBTLEX lists; the registry documents the</w:t>
      </w:r>
      <w:r>
        <w:t xml:space="preserve"> </w:t>
      </w:r>
      <w:r>
        <w:t xml:space="preserve">curated corpora — among them SUBTLEX-CH for Chinese</w:t>
      </w:r>
      <w:r>
        <w:t xml:space="preserve"> </w:t>
      </w:r>
      <w:r>
        <w:t xml:space="preserve">(Cai &amp; Brysbaert, 2010)</w:t>
      </w:r>
      <w:r>
        <w:t xml:space="preserve"> </w:t>
      </w:r>
      <w:r>
        <w:t xml:space="preserve">—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w:t>
      </w:r>
    </w:p>
    <w:p>
      <w:pPr>
        <w:pStyle w:val="BodyText"/>
      </w:pPr>
      <w:r>
        <w:t xml:space="preserve">Matching proceeds in two deterministic stages. First, a tolerance pre-filter</w:t>
      </w:r>
      <w:r>
        <w:t xml:space="preserve"> </w:t>
      </w:r>
      <w:r>
        <w:t xml:space="preserve">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an identical matched selection</w:t>
      </w:r>
      <w:r>
        <w:t xml:space="preserve"> </w:t>
      </w:r>
      <w:r>
        <w:t xml:space="preserve">from identical input — a parity we verify below.</w:t>
      </w:r>
    </w:p>
    <w:p>
      <w:pPr>
        <w:pStyle w:val="BodyText"/>
      </w:pPr>
      <w:r>
        <w:t xml:space="preserve">The per-anchor procedure fixes one condition and matches the others to it, which</w:t>
      </w:r>
      <w:r>
        <w:t xml:space="preserve"> </w:t>
      </w:r>
      <w:r>
        <w:t xml:space="preserve">is ideal when the manipulated dimension is statistically independent of the</w:t>
      </w:r>
      <w:r>
        <w:t xml:space="preserve"> </w:t>
      </w:r>
      <w:r>
        <w:t xml:space="preserve">controls. When the manipulation is intrinsically correlated with a control</w:t>
      </w:r>
      <w:r>
        <w:t xml:space="preserve"> </w:t>
      </w:r>
      <w:r>
        <w:t xml:space="preserve">dimension — as orthographic neighbourhood density is with word length and</w:t>
      </w:r>
      <w:r>
        <w:t xml:space="preserve"> </w:t>
      </w:r>
      <w:r>
        <w:t xml:space="preserve">frequency — fixing one condition first can leave a residual difference on the</w:t>
      </w:r>
      <w:r>
        <w:t xml:space="preserve"> </w:t>
      </w:r>
      <w:r>
        <w:t xml:space="preserve">control, because the anchor items need not have close counterparts in the other</w:t>
      </w:r>
      <w:r>
        <w:t xml:space="preserve"> </w:t>
      </w:r>
      <w:r>
        <w:t xml:space="preserve">condition. For such designs</w:t>
      </w:r>
      <w:r>
        <w:t xml:space="preserve"> </w:t>
      </w:r>
      <w:r>
        <w:t xml:space="preserve">‘lexsync’</w:t>
      </w:r>
      <w:r>
        <w:t xml:space="preserve"> </w:t>
      </w:r>
      <w:r>
        <w:t xml:space="preserve">offers a</w:t>
      </w:r>
      <w:r>
        <w:t xml:space="preserve"> </w:t>
      </w:r>
      <w:r>
        <w:rPr>
          <w:rStyle w:val="VerbatimChar"/>
        </w:rPr>
        <w:t xml:space="preserve">joint</w:t>
      </w:r>
      <w:r>
        <w:t xml:space="preserve"> </w:t>
      </w:r>
      <w:r>
        <w:t xml:space="preserve">matching method, selected</w:t>
      </w:r>
      <w:r>
        <w:t xml:space="preserve"> </w:t>
      </w:r>
      <w:r>
        <w:t xml:space="preserve">with a single line in the design configuration. Rather than privileging one</w:t>
      </w:r>
      <w:r>
        <w:t xml:space="preserve"> </w:t>
      </w:r>
      <w:r>
        <w:t xml:space="preserve">condition, it scores every cross-condition pair on the standardised control</w:t>
      </w:r>
      <w:r>
        <w:t xml:space="preserve"> </w:t>
      </w:r>
      <w:r>
        <w:t xml:space="preserve">dimensions and greedily retains the</w:t>
      </w:r>
      <w:r>
        <w:t xml:space="preserve"> </w:t>
      </w:r>
      <w:r>
        <w:rPr>
          <w:i/>
          <w:iCs/>
        </w:rPr>
        <w:t xml:space="preserve">n</w:t>
      </w:r>
      <w:r>
        <w:t xml:space="preserve"> </w:t>
      </w:r>
      <w:r>
        <w:t xml:space="preserve">cheapest disjoint pairs, so only items</w:t>
      </w:r>
      <w:r>
        <w:t xml:space="preserve"> </w:t>
      </w:r>
      <w:r>
        <w:t xml:space="preserve">that have a close counterpart in the opposite condition are kept. The two</w:t>
      </w:r>
      <w:r>
        <w:t xml:space="preserve"> </w:t>
      </w:r>
      <w:r>
        <w:t xml:space="preserve">conditions are thereby equated on the controls even when the manipulation is</w:t>
      </w:r>
      <w:r>
        <w:t xml:space="preserve"> </w:t>
      </w:r>
      <w:r>
        <w:t xml:space="preserve">confounded with them, at the cost of drawing from a slightly larger candidate</w:t>
      </w:r>
      <w:r>
        <w:t xml:space="preserve"> </w:t>
      </w:r>
      <w:r>
        <w:t xml:space="preserve">pool. The method is as deterministic and cross-engine identical as the per-anchor</w:t>
      </w:r>
      <w:r>
        <w:t xml:space="preserve"> </w:t>
      </w:r>
      <w:r>
        <w:t xml:space="preserve">one (costs are rounded before the byte-order tie-break), and it is the method used</w:t>
      </w:r>
      <w:r>
        <w:t xml:space="preserve"> </w:t>
      </w:r>
      <w:r>
        <w:t xml:space="preserve">for the neighbourhood-density demonstrations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w:t>
      </w:r>
      <w:r>
        <w:t xml:space="preserve"> </w:t>
      </w:r>
      <w:r>
        <w:t xml:space="preserve">‘lexsync’</w:t>
      </w:r>
      <w:r>
        <w:t xml:space="preserve"> </w:t>
      </w:r>
      <w:r>
        <w:t xml:space="preserve">then</w:t>
      </w:r>
      <w:r>
        <w:t xml:space="preserve"> </w:t>
      </w:r>
      <w:r>
        <w:t xml:space="preserve">writes a match-quality report — per-condition descriptive statistics for every</w:t>
      </w:r>
      <w:r>
        <w:t xml:space="preserve"> </w:t>
      </w:r>
      <w:r>
        <w:t xml:space="preserve">dimension, standardised mean differences against the anchor and a two one-sided</w:t>
      </w:r>
      <w:r>
        <w:t xml:space="preserve"> </w:t>
      </w:r>
      <w:r>
        <w:t xml:space="preserve">tests (TOST) equivalence test</w:t>
      </w:r>
      <w:r>
        <w:t xml:space="preserve"> </w:t>
      </w:r>
      <w:r>
        <w:t xml:space="preserve">(Lakens, 2017)</w:t>
      </w:r>
      <w:r>
        <w:t xml:space="preserve"> </w:t>
      </w:r>
      <w:r>
        <w:t xml:space="preserve">— and an automated,</w:t>
      </w:r>
      <w:r>
        <w:t xml:space="preserve"> </w:t>
      </w:r>
      <w:r>
        <w:t xml:space="preserve">comprehensive run log recording each stage, its parameters, the seed, package and</w:t>
      </w:r>
      <w:r>
        <w:t xml:space="preserve"> </w:t>
      </w:r>
      <w:r>
        <w:t xml:space="preserve">corpus provenance and a fingerprint of every file written. The report makes the</w:t>
      </w:r>
      <w:r>
        <w:t xml:space="preserve"> </w:t>
      </w:r>
      <w:r>
        <w:t xml:space="preserve">realised control explicit, in the spirit of the original workflow’s balance</w:t>
      </w:r>
      <w:r>
        <w:t xml:space="preserve"> </w:t>
      </w:r>
      <w:r>
        <w:t xml:space="preserve">checks, and the run log makes a run auditable.</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In it the word is drawn and shown from an inline script,</w:t>
      </w:r>
      <w:r>
        <w:t xml:space="preserve"> </w:t>
      </w:r>
      <w:r>
        <w:t xml:space="preserve">and the marker is sent immediately after</w:t>
      </w:r>
      <w:r>
        <w:t xml:space="preserve"> </w:t>
      </w:r>
      <w:r>
        <w:rPr>
          <w:rStyle w:val="VerbatimChar"/>
        </w:rPr>
        <w:t xml:space="preserve">show()</w:t>
      </w:r>
      <w:r>
        <w:t xml:space="preserve"> </w:t>
      </w:r>
      <w:r>
        <w:t xml:space="preserve">returns, supporting both a</w:t>
      </w:r>
      <w:r>
        <w:t xml:space="preserve"> </w:t>
      </w:r>
      <w:r>
        <w:t xml:space="preserve">parallel-port and a serial backend with a test-mode fallback. Because</w:t>
      </w:r>
      <w:r>
        <w:t xml:space="preserve"> </w:t>
      </w:r>
      <w:r>
        <w:rPr>
          <w:rStyle w:val="VerbatimChar"/>
        </w:rPr>
        <w:t xml:space="preserve">show()</w:t>
      </w:r>
      <w:r>
        <w:t xml:space="preserve"> </w:t>
      </w:r>
      <w:r>
        <w:t xml:space="preserve">blocks until the display refresh, the marker is written right after the verified</w:t>
      </w:r>
      <w:r>
        <w:t xml:space="preserve"> </w:t>
      </w:r>
      <w:r>
        <w:t xml:space="preserve">flip, so both targets are time-locked to stimulus onset:</w:t>
      </w:r>
      <w:r>
        <w:t xml:space="preserve"> </w:t>
      </w:r>
      <w:r>
        <w:t xml:space="preserve">‘PsychoPy’</w:t>
      </w:r>
      <w:r>
        <w:t xml:space="preserve"> </w:t>
      </w:r>
      <w:r>
        <w:t xml:space="preserve">binds the</w:t>
      </w:r>
      <w:r>
        <w:t xml:space="preserve"> </w:t>
      </w:r>
      <w:r>
        <w:t xml:space="preserve">marker to the flip with</w:t>
      </w:r>
      <w:r>
        <w:t xml:space="preserve"> </w:t>
      </w:r>
      <w:r>
        <w:rPr>
          <w:rStyle w:val="VerbatimChar"/>
        </w:rPr>
        <w:t xml:space="preserve">win.callOnFlip</w:t>
      </w:r>
      <w:r>
        <w:t xml:space="preserve">, and</w:t>
      </w:r>
      <w:r>
        <w:t xml:space="preserve"> </w:t>
      </w:r>
      <w:r>
        <w:t xml:space="preserve">‘OpenSesame’</w:t>
      </w:r>
      <w:r>
        <w:t xml:space="preserve"> </w:t>
      </w:r>
      <w:r>
        <w:t xml:space="preserve">writes it immediately</w:t>
      </w:r>
      <w:r>
        <w:t xml:space="preserve"> </w:t>
      </w:r>
      <w:r>
        <w:t xml:space="preserve">after the refresh-blocking</w:t>
      </w:r>
      <w:r>
        <w:t xml:space="preserve"> </w:t>
      </w:r>
      <w:r>
        <w:rPr>
          <w:rStyle w:val="VerbatimChar"/>
        </w:rPr>
        <w:t xml:space="preserve">show()</w:t>
      </w:r>
      <w:r>
        <w:t xml:space="preserve">, the platform’s recommended method. We</w:t>
      </w:r>
      <w:r>
        <w:t xml:space="preserve"> </w:t>
      </w:r>
      <w:r>
        <w:t xml:space="preserve">recommend a photodiode check in either case. Notably, neither the matching nor the script generation</w:t>
      </w:r>
      <w:r>
        <w:t xml:space="preserve"> </w:t>
      </w:r>
      <w:r>
        <w:t xml:space="preserve">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5"/>
    <w:bookmarkEnd w:id="16"/>
    <w:bookmarkStart w:id="28"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five demonstrations. Four are alphabetic: a high-</w:t>
      </w:r>
      <w:r>
        <w:t xml:space="preserve"> </w:t>
      </w:r>
      <w:r>
        <w:t xml:space="preserve">versus low-frequency contrast and a dense- versus sparse-neighbourhood contrast,</w:t>
      </w:r>
      <w:r>
        <w:t xml:space="preserve"> </w:t>
      </w:r>
      <w:r>
        <w:t xml:space="preserve">each in English and in Spanish, drawn from thirty-thousand-word lexica. The</w:t>
      </w:r>
      <w:r>
        <w:t xml:space="preserve"> </w:t>
      </w:r>
      <w:r>
        <w:t xml:space="preserve">frequency contrast matches items on length, neighbourhood density and OLD20; the</w:t>
      </w:r>
      <w:r>
        <w:t xml:space="preserve"> </w:t>
      </w:r>
      <w:r>
        <w:t xml:space="preserve">neighbourhood contrast matches on length and frequency. The fifth is a</w:t>
      </w:r>
      <w:r>
        <w:t xml:space="preserve"> </w:t>
      </w:r>
      <w:r>
        <w:t xml:space="preserve">high- versus low-frequency contrast in Mandarin Chinese, included to show that the</w:t>
      </w:r>
      <w:r>
        <w:t xml:space="preserve"> </w:t>
      </w:r>
      <w:r>
        <w:t xml:space="preserve">pipeline generalises to a logographic writing system (see</w:t>
      </w:r>
      <w:r>
        <w:t xml:space="preserve"> </w:t>
      </w:r>
      <w:r>
        <w:rPr>
          <w:i/>
          <w:iCs/>
        </w:rPr>
        <w:t xml:space="preserve">Generalisation to a</w:t>
      </w:r>
      <w:r>
        <w:rPr>
          <w:i/>
          <w:iCs/>
        </w:rPr>
        <w:t xml:space="preserve"> </w:t>
      </w:r>
      <w:r>
        <w:rPr>
          <w:i/>
          <w:iCs/>
        </w:rPr>
        <w:t xml:space="preserve">logographic script</w:t>
      </w:r>
      <w:r>
        <w:t xml:space="preserve">, below). Each demonstration was produced by both the R and the</w:t>
      </w:r>
      <w:r>
        <w:t xml:space="preserve"> </w:t>
      </w:r>
      <w:r>
        <w:t xml:space="preserve">Python engine. All tables and figures in this section are computed at render time</w:t>
      </w:r>
      <w:r>
        <w:t xml:space="preserve"> </w:t>
      </w:r>
      <w:r>
        <w:t xml:space="preserve">from the generated output.</w:t>
      </w:r>
    </w:p>
    <w:tbl>
      <w:tblPr>
        <w:tblStyle w:val="Table"/>
        <w:tblW w:type="pct" w:w="5000"/>
        <w:tblLayout w:type="fixed"/>
        <w:tblLook w:firstRow="0" w:lastRow="0" w:firstColumn="0" w:lastColumn="0" w:noHBand="0" w:noVBand="0" w:val="0000"/>
      </w:tblPr>
      <w:tblGrid>
        <w:gridCol w:w="7920"/>
      </w:tblGrid>
      <w:tr>
        <w:tc>
          <w:tcPr/>
          <w:bookmarkStart w:id="17"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5.27</w:t>
                  </w:r>
                </w:p>
              </w:tc>
              <w:tc>
                <w:tcPr/>
                <w:p>
                  <w:pPr>
                    <w:pStyle w:val="Compact"/>
                    <w:jc w:val="right"/>
                    <w:jc w:val="center"/>
                  </w:pPr>
                  <w:r>
                    <w:t xml:space="preserve">0.04</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3.11</w:t>
                  </w:r>
                </w:p>
              </w:tc>
              <w:tc>
                <w:tcPr/>
                <w:p>
                  <w:pPr>
                    <w:pStyle w:val="Compact"/>
                    <w:jc w:val="right"/>
                    <w:jc w:val="center"/>
                  </w:pPr>
                  <w:r>
                    <w:t xml:space="preserve">0.00</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5.55</w:t>
                  </w:r>
                </w:p>
              </w:tc>
              <w:tc>
                <w:tcPr/>
                <w:p>
                  <w:pPr>
                    <w:pStyle w:val="Compact"/>
                    <w:jc w:val="right"/>
                    <w:jc w:val="center"/>
                  </w:pPr>
                  <w:r>
                    <w:t xml:space="preserve">0.08</w:t>
                  </w:r>
                </w:p>
              </w:tc>
            </w:tr>
            <w:tr>
              <w:tc>
                <w:tcPr/>
                <w:p>
                  <w:pPr>
                    <w:pStyle w:val="Compact"/>
                    <w:jc w:val="left"/>
                    <w:jc w:val="center"/>
                  </w:pPr>
                  <w:r>
                    <w:t xml:space="preserve">Spanish: neighbourhood contrast</w:t>
                  </w:r>
                </w:p>
              </w:tc>
              <w:tc>
                <w:tcPr/>
                <w:p>
                  <w:pPr>
                    <w:pStyle w:val="Compact"/>
                    <w:jc w:val="left"/>
                    <w:jc w:val="center"/>
                  </w:pPr>
                  <w:r>
                    <w:t xml:space="preserve">OLD20</w:t>
                  </w:r>
                </w:p>
              </w:tc>
              <w:tc>
                <w:tcPr/>
                <w:p>
                  <w:pPr>
                    <w:pStyle w:val="Compact"/>
                    <w:jc w:val="right"/>
                    <w:jc w:val="center"/>
                  </w:pPr>
                  <w:r>
                    <w:t xml:space="preserve">2.42</w:t>
                  </w:r>
                </w:p>
              </w:tc>
              <w:tc>
                <w:tcPr/>
                <w:p>
                  <w:pPr>
                    <w:pStyle w:val="Compact"/>
                    <w:jc w:val="right"/>
                    <w:jc w:val="center"/>
                  </w:pPr>
                  <w:r>
                    <w:t xml:space="preserve">0.00</w:t>
                  </w:r>
                </w:p>
              </w:tc>
            </w:tr>
            <w:tr>
              <w:tc>
                <w:tcPr/>
                <w:p>
                  <w:pPr>
                    <w:pStyle w:val="Compact"/>
                    <w:jc w:val="left"/>
                    <w:jc w:val="center"/>
                  </w:pPr>
                  <w:r>
                    <w:t xml:space="preserve">Chinese: frequency contrast</w:t>
                  </w:r>
                </w:p>
              </w:tc>
              <w:tc>
                <w:tcPr/>
                <w:p>
                  <w:pPr>
                    <w:pStyle w:val="Compact"/>
                    <w:jc w:val="left"/>
                    <w:jc w:val="center"/>
                  </w:pPr>
                  <w:r>
                    <w:t xml:space="preserve">Frequency (Zipf)</w:t>
                  </w:r>
                </w:p>
              </w:tc>
              <w:tc>
                <w:tcPr/>
                <w:p>
                  <w:pPr>
                    <w:pStyle w:val="Compact"/>
                    <w:jc w:val="right"/>
                    <w:jc w:val="center"/>
                  </w:pPr>
                  <w:r>
                    <w:t xml:space="preserve">6.00</w:t>
                  </w:r>
                </w:p>
              </w:tc>
              <w:tc>
                <w:tcPr/>
                <w:p>
                  <w:pPr>
                    <w:pStyle w:val="Compact"/>
                    <w:jc w:val="right"/>
                    <w:jc w:val="center"/>
                  </w:pPr>
                  <w:r>
                    <w:t xml:space="preserve">0.11</w:t>
                  </w:r>
                </w:p>
              </w:tc>
            </w:tr>
          </w:tbl>
          <w:bookmarkEnd w:id="17"/>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show standardised mean</w:t>
      </w:r>
      <w:r>
        <w:t xml:space="preserve"> </w:t>
      </w:r>
      <w:r>
        <w:t xml:space="preserve">differences well below the 0.5-standard-deviation bound.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reference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1" w:name="fig-balance"/>
          <w:p>
            <w:pPr>
              <w:pStyle w:val="Compact"/>
              <w:jc w:val="center"/>
            </w:pPr>
            <w:r>
              <w:drawing>
                <wp:inline>
                  <wp:extent cx="5334000" cy="3259666"/>
                  <wp:effectExtent b="0" l="0" r="0" t="0"/>
                  <wp:docPr descr="" title="" id="19" name="Picture"/>
                  <a:graphic>
                    <a:graphicData uri="http://schemas.openxmlformats.org/drawingml/2006/picture">
                      <pic:pic>
                        <pic:nvPicPr>
                          <pic:cNvPr descr="manuscript_files/figure-docx/fig-balance-1.png" id="20" name="Picture"/>
                          <pic:cNvPicPr>
                            <a:picLocks noChangeArrowheads="1" noChangeAspect="1"/>
                          </pic:cNvPicPr>
                        </pic:nvPicPr>
                        <pic:blipFill>
                          <a:blip r:embed="rId18"/>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1"/>
        </w:tc>
      </w:tr>
    </w:tbl>
    <w:p>
      <w:pPr>
        <w:pStyle w:val="BodyText"/>
      </w:pPr>
      <w:r>
        <w:t xml:space="preserve">The two one-sided tests (TOST) procedure that</w:t>
      </w:r>
      <w:r>
        <w:t xml:space="preserve"> </w:t>
      </w:r>
      <w:r>
        <w:t xml:space="preserve">‘lexsync’</w:t>
      </w:r>
      <w:r>
        <w:t xml:space="preserve"> </w:t>
      </w:r>
      <w:r>
        <w:t xml:space="preserve">reports gives a more</w:t>
      </w:r>
      <w:r>
        <w:t xml:space="preserve"> </w:t>
      </w:r>
      <w:r>
        <w:t xml:space="preserve">conservative reading of the same control.</w:t>
      </w:r>
      <w:r>
        <w:t xml:space="preserve"> </w:t>
      </w:r>
      <w:hyperlink w:anchor="tbl-tost">
        <w:r>
          <w:rPr>
            <w:rStyle w:val="Hyperlink"/>
          </w:rPr>
          <w:t xml:space="preserve">Table 2</w:t>
        </w:r>
      </w:hyperlink>
      <w:r>
        <w:t xml:space="preserve"> </w:t>
      </w:r>
      <w:r>
        <w:t xml:space="preserve">lists, for the controlled</w:t>
      </w:r>
      <w:r>
        <w:t xml:space="preserve"> </w:t>
      </w:r>
      <w:r>
        <w:t xml:space="preserve">dimensions of each demonstration, the standardised mean difference, the</w:t>
      </w:r>
      <w:r>
        <w:t xml:space="preserve"> </w:t>
      </w:r>
      <w:r>
        <w:t xml:space="preserve">equivalence-test</w:t>
      </w:r>
      <w:r>
        <w:t xml:space="preserve"> </w:t>
      </w:r>
      <w:r>
        <w:rPr>
          <w:i/>
          <w:iCs/>
        </w:rPr>
        <w:t xml:space="preserve">p</w:t>
      </w:r>
      <w:r>
        <w:t xml:space="preserve"> </w:t>
      </w:r>
      <w:r>
        <w:t xml:space="preserve">value and the verdict 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2" w:name="tbl-tost"/>
          <w:p>
            <w:pPr>
              <w:jc w:val="center"/>
            </w:pPr>
            <w:pPr>
              <w:jc w:val="left"/>
              <w:spacing w:before="200"/>
              <w:pStyle w:val="ImageCaption"/>
            </w:pPr>
            <w:r>
              <w:t xml:space="preserve">Table 2:</w:t>
            </w:r>
            <w:r>
              <w:t xml:space="preserve"> </w:t>
            </w:r>
            <w:r>
              <w:rPr>
                <w:i/>
                <w:iCs/>
              </w:rPr>
              <w:t xml:space="preserve">Equivalence (TOST) Results for the Controlled Dimensions.</w:t>
            </w:r>
            <w:r>
              <w:t xml:space="preserve"> </w:t>
            </w:r>
            <w:r>
              <w:rPr>
                <w:i/>
                <w:iCs/>
              </w:rPr>
              <w:t xml:space="preserve">Note.</w:t>
            </w:r>
            <w:r>
              <w:t xml:space="preserve"> </w:t>
            </w:r>
            <w:r>
              <w:t xml:space="preserve">For each demonstration’s controlled (matched) dimensions: the absolute standardised mean difference against the anchor, the equivalence-test</w:t>
            </w:r>
            <w:r>
              <w:t xml:space="preserve"> </w:t>
            </w:r>
            <w:r>
              <w:rPr>
                <w:i/>
                <w:iCs/>
              </w:rPr>
              <w:t xml:space="preserve">p</w:t>
            </w:r>
            <w:r>
              <w:t xml:space="preserve"> </w:t>
            </w:r>
            <w:r>
              <w:t xml:space="preserve">value at the 0.5-</w:t>
            </w:r>
            <w:r>
              <w:rPr>
                <w:i/>
                <w:iCs/>
              </w:rPr>
              <w:t xml:space="preserve">SD</w:t>
            </w:r>
            <w:r>
              <w:t xml:space="preserve"> </w:t>
            </w:r>
            <w:r>
              <w:t xml:space="preserve">bound and the verdict at the .05 level. R engine.</w:t>
            </w:r>
          </w:p>
          <w:tbl>
            <w:tblPr>
              <w:tblStyle w:val="Table"/>
              <w:tblW w:type="pct" w:w="5000"/>
              <w:tblLayout w:type="fixed"/>
              <w:tblLook w:firstRow="1" w:lastRow="0" w:firstColumn="0" w:lastColumn="0" w:noHBand="0" w:noVBand="0" w:val="0020"/>
            </w:tblPr>
            <w:tblGrid>
              <w:gridCol w:w="3128"/>
              <w:gridCol w:w="1662"/>
              <w:gridCol w:w="1368"/>
              <w:gridCol w:w="684"/>
              <w:gridCol w:w="1075"/>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|d|</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Chinese: frequency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Neighbourhood N</w:t>
                  </w:r>
                </w:p>
              </w:tc>
              <w:tc>
                <w:tcPr/>
                <w:p>
                  <w:pPr>
                    <w:pStyle w:val="Compact"/>
                    <w:jc w:val="right"/>
                    <w:jc w:val="center"/>
                  </w:pPr>
                  <w:r>
                    <w:t xml:space="preserve">0.071</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OLD20</w:t>
                  </w:r>
                </w:p>
              </w:tc>
              <w:tc>
                <w:tcPr/>
                <w:p>
                  <w:pPr>
                    <w:pStyle w:val="Compact"/>
                    <w:jc w:val="right"/>
                    <w:jc w:val="center"/>
                  </w:pPr>
                  <w:r>
                    <w:t xml:space="preserve">0.106</w:t>
                  </w:r>
                </w:p>
              </w:tc>
              <w:tc>
                <w:tcPr/>
                <w:p>
                  <w:pPr>
                    <w:pStyle w:val="Compact"/>
                    <w:jc w:val="right"/>
                    <w:jc w:val="center"/>
                  </w:pPr>
                  <w:r>
                    <w:t xml:space="preserve">0.007</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Length</w:t>
                  </w:r>
                </w:p>
              </w:tc>
              <w:tc>
                <w:tcPr/>
                <w:p>
                  <w:pPr>
                    <w:pStyle w:val="Compact"/>
                    <w:jc w:val="right"/>
                    <w:jc w:val="center"/>
                  </w:pPr>
                  <w:r>
                    <w:t xml:space="preserve">0.027</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Length</w:t>
                  </w:r>
                </w:p>
              </w:tc>
              <w:tc>
                <w:tcPr/>
                <w:p>
                  <w:pPr>
                    <w:pStyle w:val="Compact"/>
                    <w:jc w:val="right"/>
                    <w:jc w:val="center"/>
                  </w:pPr>
                  <w:r>
                    <w:t xml:space="preserve">0.049</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0.077</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right"/>
                    <w:jc w:val="center"/>
                  </w:pPr>
                  <w:r>
                    <w:t xml:space="preserve">0.001</w:t>
                  </w:r>
                </w:p>
              </w:tc>
              <w:tc>
                <w:tcPr/>
                <w:p>
                  <w:pPr>
                    <w:pStyle w:val="Compact"/>
                    <w:jc w:val="left"/>
                    <w:jc w:val="center"/>
                  </w:pPr>
                  <w:r>
                    <w:t xml:space="preserve">TRUE</w:t>
                  </w:r>
                </w:p>
              </w:tc>
            </w:tr>
          </w:tbl>
          <w:bookmarkEnd w:id="22"/>
          <w:p/>
        </w:tc>
      </w:tr>
    </w:tbl>
    <w:p>
      <w:pPr>
        <w:pStyle w:val="BodyText"/>
      </w:pPr>
      <w:r>
        <w:t xml:space="preserve">In every demonstration each controlled dimension is declared equivalent at the</w:t>
      </w:r>
      <w:r>
        <w:t xml:space="preserve"> </w:t>
      </w:r>
      <w:r>
        <w:t xml:space="preserve">0.5-</w:t>
      </w:r>
      <w:r>
        <w:rPr>
          <w:i/>
          <w:iCs/>
        </w:rPr>
        <w:t xml:space="preserve">SD</w:t>
      </w:r>
      <w:r>
        <w:t xml:space="preserve"> </w:t>
      </w:r>
      <w:r>
        <w:t xml:space="preserve">bound (</w:t>
      </w:r>
      <w:r>
        <w:rPr>
          <w:i/>
          <w:iCs/>
        </w:rPr>
        <w:t xml:space="preserve">n</w:t>
      </w:r>
      <w:r>
        <w:t xml:space="preserve"> </w:t>
      </w:r>
      <w:r>
        <w:t xml:space="preserve">= 80 per condition). The neighbourhood contrasts are the</w:t>
      </w:r>
      <w:r>
        <w:t xml:space="preserve"> </w:t>
      </w:r>
      <w:r>
        <w:t xml:space="preserve">demanding case: neighbourhood density is intrinsically correlated with word</w:t>
      </w:r>
      <w:r>
        <w:t xml:space="preserve"> </w:t>
      </w:r>
      <w:r>
        <w:t xml:space="preserve">length and frequency, so a per-anchor match leaves a residual on length (Cohen’s</w:t>
      </w:r>
      <w:r>
        <w:t xml:space="preserve"> </w:t>
      </w:r>
      <w:r>
        <w:rPr>
          <w:i/>
          <w:iCs/>
        </w:rPr>
        <w:t xml:space="preserve">d</w:t>
      </w:r>
      <w:r>
        <w:t xml:space="preserve"> </w:t>
      </w:r>
      <w:r>
        <w:t xml:space="preserve">≈ 0.25, just outside the bound). The</w:t>
      </w:r>
      <w:r>
        <w:t xml:space="preserve"> </w:t>
      </w:r>
      <w:r>
        <w:rPr>
          <w:rStyle w:val="VerbatimChar"/>
        </w:rPr>
        <w:t xml:space="preserve">joint</w:t>
      </w:r>
      <w:r>
        <w:t xml:space="preserve"> </w:t>
      </w:r>
      <w:r>
        <w:t xml:space="preserve">matching method removes it. By</w:t>
      </w:r>
      <w:r>
        <w:t xml:space="preserve"> </w:t>
      </w:r>
      <w:r>
        <w:t xml:space="preserve">selecting the best-matched dense–sparse pairs jointly it equates length and</w:t>
      </w:r>
      <w:r>
        <w:t xml:space="preserve"> </w:t>
      </w:r>
      <w:r>
        <w:t xml:space="preserve">frequency almost exactly (Cohen’s</w:t>
      </w:r>
      <w:r>
        <w:t xml:space="preserve"> </w:t>
      </w:r>
      <w:r>
        <w:rPr>
          <w:i/>
          <w:iCs/>
        </w:rPr>
        <w:t xml:space="preserve">d</w:t>
      </w:r>
      <w:r>
        <w:t xml:space="preserve"> </w:t>
      </w:r>
      <w:r>
        <w:t xml:space="preserve">≈ 0.00 on both, well inside the bound)</w:t>
      </w:r>
      <w:r>
        <w:t xml:space="preserve"> </w:t>
      </w:r>
      <w:r>
        <w:t xml:space="preserve">while the density contrast remains an order of magnitude larger (</w:t>
      </w:r>
      <w:r>
        <w:rPr>
          <w:i/>
          <w:iCs/>
        </w:rPr>
        <w:t xml:space="preserve">d</w:t>
      </w:r>
      <w:r>
        <w:t xml:space="preserve"> </w:t>
      </w:r>
      <w:r>
        <w:t xml:space="preserve">&gt; 2). The</w:t>
      </w:r>
      <w:r>
        <w:t xml:space="preserve"> </w:t>
      </w:r>
      <w:r>
        <w:t xml:space="preserve">confound is thus a solved engineering problem rather than an inherent limit on</w:t>
      </w:r>
      <w:r>
        <w:t xml:space="preserve"> </w:t>
      </w:r>
      <w:r>
        <w:t xml:space="preserve">the design, and</w:t>
      </w:r>
      <w:r>
        <w:t xml:space="preserve"> </w:t>
      </w:r>
      <w:r>
        <w:t xml:space="preserve">‘lexsync’</w:t>
      </w:r>
      <w:r>
        <w:t xml:space="preserve"> </w:t>
      </w:r>
      <w:r>
        <w:t xml:space="preserve">reports the realised equivalence transparently. We read</w:t>
      </w:r>
      <w:r>
        <w:t xml:space="preserve"> </w:t>
      </w:r>
      <w:r>
        <w:t xml:space="preserve">the TOST as a conservative complement to the standardised mean difference</w:t>
      </w:r>
      <w:r>
        <w:t xml:space="preserve"> </w:t>
      </w:r>
      <w:r>
        <w:t xml:space="preserve">(Lakens, 2017)</w:t>
      </w:r>
      <w:r>
        <w:t xml:space="preserve">.</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3"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27"/>
              <w:gridCol w:w="2071"/>
              <w:gridCol w:w="365"/>
              <w:gridCol w:w="731"/>
              <w:gridCol w:w="731"/>
              <w:gridCol w:w="609"/>
              <w:gridCol w:w="852"/>
              <w:gridCol w:w="731"/>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4.700</w:t>
                  </w:r>
                </w:p>
              </w:tc>
              <w:tc>
                <w:tcPr/>
                <w:p>
                  <w:pPr>
                    <w:pStyle w:val="Compact"/>
                    <w:jc w:val="right"/>
                    <w:jc w:val="center"/>
                  </w:pPr>
                  <w:r>
                    <w:t xml:space="preserve">1.427</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8.00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5.578</w:t>
                  </w:r>
                </w:p>
              </w:tc>
              <w:tc>
                <w:tcPr/>
                <w:p>
                  <w:pPr>
                    <w:pStyle w:val="Compact"/>
                    <w:jc w:val="right"/>
                    <w:jc w:val="center"/>
                  </w:pPr>
                  <w:r>
                    <w:t xml:space="preserve">0.369</w:t>
                  </w:r>
                </w:p>
              </w:tc>
              <w:tc>
                <w:tcPr/>
                <w:p>
                  <w:pPr>
                    <w:pStyle w:val="Compact"/>
                    <w:jc w:val="right"/>
                    <w:jc w:val="center"/>
                  </w:pPr>
                  <w:r>
                    <w:t xml:space="preserve">5.20</w:t>
                  </w:r>
                </w:p>
              </w:tc>
              <w:tc>
                <w:tcPr/>
                <w:p>
                  <w:pPr>
                    <w:pStyle w:val="Compact"/>
                    <w:jc w:val="right"/>
                    <w:jc w:val="center"/>
                  </w:pPr>
                  <w:r>
                    <w:t xml:space="preserve">5.455</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7.812</w:t>
                  </w:r>
                </w:p>
              </w:tc>
              <w:tc>
                <w:tcPr/>
                <w:p>
                  <w:pPr>
                    <w:pStyle w:val="Compact"/>
                    <w:jc w:val="right"/>
                    <w:jc w:val="center"/>
                  </w:pPr>
                  <w:r>
                    <w:t xml:space="preserve">8.344</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34.00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1.629</w:t>
                  </w:r>
                </w:p>
              </w:tc>
              <w:tc>
                <w:tcPr/>
                <w:p>
                  <w:pPr>
                    <w:pStyle w:val="Compact"/>
                    <w:jc w:val="right"/>
                    <w:jc w:val="center"/>
                  </w:pPr>
                  <w:r>
                    <w:t xml:space="preserve">0.541</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3.10</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4.662</w:t>
                  </w:r>
                </w:p>
              </w:tc>
              <w:tc>
                <w:tcPr/>
                <w:p>
                  <w:pPr>
                    <w:pStyle w:val="Compact"/>
                    <w:jc w:val="right"/>
                    <w:jc w:val="center"/>
                  </w:pPr>
                  <w:r>
                    <w:t xml:space="preserve">1.350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4.064</w:t>
                  </w:r>
                </w:p>
              </w:tc>
              <w:tc>
                <w:tcPr/>
                <w:p>
                  <w:pPr>
                    <w:pStyle w:val="Compact"/>
                    <w:jc w:val="right"/>
                    <w:jc w:val="center"/>
                  </w:pPr>
                  <w:r>
                    <w:t xml:space="preserve">0.170</w:t>
                  </w:r>
                </w:p>
              </w:tc>
              <w:tc>
                <w:tcPr/>
                <w:p>
                  <w:pPr>
                    <w:pStyle w:val="Compact"/>
                    <w:jc w:val="right"/>
                    <w:jc w:val="center"/>
                  </w:pPr>
                  <w:r>
                    <w:t xml:space="preserve">3.82</w:t>
                  </w:r>
                </w:p>
              </w:tc>
              <w:tc>
                <w:tcPr/>
                <w:p>
                  <w:pPr>
                    <w:pStyle w:val="Compact"/>
                    <w:jc w:val="right"/>
                    <w:jc w:val="center"/>
                  </w:pPr>
                  <w:r>
                    <w:t xml:space="preserve">4.035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7.513</w:t>
                  </w:r>
                </w:p>
              </w:tc>
              <w:tc>
                <w:tcPr/>
                <w:p>
                  <w:pPr>
                    <w:pStyle w:val="Compact"/>
                    <w:jc w:val="right"/>
                    <w:jc w:val="center"/>
                  </w:pPr>
                  <w:r>
                    <w:t xml:space="preserve">7.480</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24.00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1.624</w:t>
                  </w:r>
                </w:p>
              </w:tc>
              <w:tc>
                <w:tcPr/>
                <w:p>
                  <w:pPr>
                    <w:pStyle w:val="Compact"/>
                    <w:jc w:val="right"/>
                    <w:jc w:val="center"/>
                  </w:pPr>
                  <w:r>
                    <w:t xml:space="preserve">0.518</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2.70</w:t>
                  </w:r>
                </w:p>
              </w:tc>
            </w:tr>
          </w:tbl>
          <w:bookmarkEnd w:id="2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8.363</w:t>
                  </w:r>
                </w:p>
              </w:tc>
              <w:tc>
                <w:tcPr/>
                <w:p>
                  <w:pPr>
                    <w:pStyle w:val="Compact"/>
                    <w:jc w:val="right"/>
                    <w:jc w:val="center"/>
                  </w:pPr>
                  <w:r>
                    <w:t xml:space="preserve">3.530</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20.00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1.448</w:t>
                  </w:r>
                </w:p>
              </w:tc>
              <w:tc>
                <w:tcPr/>
                <w:p>
                  <w:pPr>
                    <w:pStyle w:val="Compact"/>
                    <w:jc w:val="right"/>
                    <w:jc w:val="center"/>
                  </w:pPr>
                  <w:r>
                    <w:t xml:space="preserve">0.197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0.525</w:t>
                  </w:r>
                </w:p>
              </w:tc>
              <w:tc>
                <w:tcPr/>
                <w:p>
                  <w:pPr>
                    <w:pStyle w:val="Compact"/>
                    <w:jc w:val="right"/>
                    <w:jc w:val="center"/>
                  </w:pPr>
                  <w:r>
                    <w:t xml:space="preserve">0.503</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1.970</w:t>
                  </w:r>
                </w:p>
              </w:tc>
              <w:tc>
                <w:tcPr/>
                <w:p>
                  <w:pPr>
                    <w:pStyle w:val="Compact"/>
                    <w:jc w:val="right"/>
                    <w:jc w:val="center"/>
                  </w:pPr>
                  <w:r>
                    <w:t xml:space="preserve">0.253</w:t>
                  </w:r>
                </w:p>
              </w:tc>
              <w:tc>
                <w:tcPr/>
                <w:p>
                  <w:pPr>
                    <w:pStyle w:val="Compact"/>
                    <w:jc w:val="right"/>
                    <w:jc w:val="center"/>
                  </w:pPr>
                  <w:r>
                    <w:t xml:space="preserve">1.60</w:t>
                  </w:r>
                </w:p>
              </w:tc>
              <w:tc>
                <w:tcPr/>
                <w:p>
                  <w:pPr>
                    <w:pStyle w:val="Compact"/>
                    <w:jc w:val="right"/>
                    <w:jc w:val="center"/>
                  </w:pPr>
                  <w:r>
                    <w:t xml:space="preserve">1.900</w:t>
                  </w:r>
                </w:p>
              </w:tc>
              <w:tc>
                <w:tcPr/>
                <w:p>
                  <w:pPr>
                    <w:pStyle w:val="Compact"/>
                    <w:jc w:val="right"/>
                    <w:jc w:val="center"/>
                  </w:pPr>
                  <w:r>
                    <w:t xml:space="preserve">2.95</w:t>
                  </w:r>
                </w:p>
              </w:tc>
            </w:tr>
          </w:tbl>
          <w:bookmarkEnd w:id="24"/>
          <w:p/>
        </w:tc>
      </w:tr>
    </w:tbl>
    <w:bookmarkStart w:id="27" w:name="generalisation-to-a-logographic-script"/>
    <w:p>
      <w:pPr>
        <w:pStyle w:val="Heading2"/>
      </w:pPr>
      <w:r>
        <w:t xml:space="preserve">Generalisation to a logographic script</w:t>
      </w:r>
    </w:p>
    <w:p>
      <w:pPr>
        <w:pStyle w:val="FirstParagraph"/>
      </w:pPr>
      <w:r>
        <w:t xml:space="preserve">The orthographic-neighbourhood measures operate on character strings, so the</w:t>
      </w:r>
      <w:r>
        <w:t xml:space="preserve"> </w:t>
      </w:r>
      <w:r>
        <w:t xml:space="preserve">pipeline is not tied to alphabetic writing. To show this concretely, the fifth</w:t>
      </w:r>
      <w:r>
        <w:t xml:space="preserve"> </w:t>
      </w:r>
      <w:r>
        <w:t xml:space="preserve">demonstration is a high- versus low-frequency contrast in Mandarin Chinese. Its</w:t>
      </w:r>
      <w:r>
        <w:t xml:space="preserve"> </w:t>
      </w:r>
      <w:r>
        <w:t xml:space="preserve">lexicon is derived from the same engine as the others —</w:t>
      </w:r>
      <w:r>
        <w:t xml:space="preserve"> </w:t>
      </w:r>
      <w:r>
        <w:rPr>
          <w:rStyle w:val="VerbatimChar"/>
        </w:rPr>
        <w:t xml:space="preserve">wordfreq</w:t>
      </w:r>
      <w:r>
        <w:t xml:space="preserve">‘s Chinese data</w:t>
      </w:r>
      <w:r>
        <w:t xml:space="preserve"> </w:t>
      </w:r>
      <w:r>
        <w:t xml:space="preserve">(Speer, 2022)</w:t>
      </w:r>
      <w:r>
        <w:t xml:space="preserve"> </w:t>
      </w:r>
      <w:r>
        <w:t xml:space="preserve">— and the two conditions are two-character words, the</w:t>
      </w:r>
      <w:r>
        <w:t xml:space="preserve"> </w:t>
      </w:r>
      <w:r>
        <w:t xml:space="preserve">dominant word form in Chinese. Here ’length’</w:t>
      </w:r>
      <w:r>
        <w:t xml:space="preserve"> </w:t>
      </w:r>
      <w:r>
        <w:t xml:space="preserve">is the number of characters, and</w:t>
      </w:r>
      <w:r>
        <w:t xml:space="preserve"> </w:t>
      </w:r>
      <w:r>
        <w:t xml:space="preserve">Coltheart’s N and OLD20 are computed over characters rather than letters; we refer</w:t>
      </w:r>
      <w:r>
        <w:t xml:space="preserve"> </w:t>
      </w:r>
      <w:r>
        <w:t xml:space="preserve">to them as character-level neighbourhood measures. Adding the demonstration</w:t>
      </w:r>
      <w:r>
        <w:t xml:space="preserve"> </w:t>
      </w:r>
      <w:r>
        <w:t xml:space="preserve">required no change to the matching, counterbalancing or scripting code: a design</w:t>
      </w:r>
      <w:r>
        <w:t xml:space="preserve"> </w:t>
      </w:r>
      <w:r>
        <w:t xml:space="preserve">configuration names the Chinese lexicon and a glyph-complete font, and the</w:t>
      </w:r>
      <w:r>
        <w:t xml:space="preserve"> </w:t>
      </w:r>
      <w:r>
        <w:t xml:space="preserve">existing machinery does the rest.</w:t>
      </w:r>
    </w:p>
    <w:p>
      <w:pPr>
        <w:pStyle w:val="BodyText"/>
      </w:pPr>
      <w:hyperlink w:anchor="tbl-desc-zh">
        <w:r>
          <w:rPr>
            <w:rStyle w:val="Hyperlink"/>
          </w:rPr>
          <w:t xml:space="preserve">Table 5</w:t>
        </w:r>
      </w:hyperlink>
      <w:r>
        <w:t xml:space="preserve"> </w:t>
      </w:r>
      <w:r>
        <w:t xml:space="preserve">shows the result. Frequency is separated by about one and a half Zipf</w:t>
      </w:r>
      <w:r>
        <w:t xml:space="preserve"> </w:t>
      </w:r>
      <w:r>
        <w:t xml:space="preserve">units (Cohen’s</w:t>
      </w:r>
      <w:r>
        <w:t xml:space="preserve"> </w:t>
      </w:r>
      <w:r>
        <w:rPr>
          <w:i/>
          <w:iCs/>
        </w:rPr>
        <w:t xml:space="preserve">d</w:t>
      </w:r>
      <w:r>
        <w:t xml:space="preserve"> </w:t>
      </w:r>
      <w:r>
        <w:t xml:space="preserve">≈ 6), while character-length is held constant at two and the</w:t>
      </w:r>
      <w:r>
        <w:t xml:space="preserve"> </w:t>
      </w:r>
      <w:r>
        <w:t xml:space="preserve">character-level neighbourhood measures are equated across conditions (both</w:t>
      </w:r>
      <w:r>
        <w:t xml:space="preserve"> </w:t>
      </w:r>
      <w:r>
        <w:t xml:space="preserve">TOST-equivalent at the 0.5-</w:t>
      </w:r>
      <w:r>
        <w:rPr>
          <w:i/>
          <w:iCs/>
        </w:rPr>
        <w:t xml:space="preserve">SD</w:t>
      </w:r>
      <w:r>
        <w:t xml:space="preserve"> </w:t>
      </w:r>
      <w:r>
        <w:t xml:space="preserve">bound). Chinese two-character words have dense</w:t>
      </w:r>
      <w:r>
        <w:t xml:space="preserve"> </w:t>
      </w:r>
      <w:r>
        <w:t xml:space="preserve">orthographic neighbourhoods — tens of single-character substitutions each, an</w:t>
      </w:r>
      <w:r>
        <w:t xml:space="preserve"> </w:t>
      </w:r>
      <w:r>
        <w:t xml:space="preserve">order of magnitude more than the alphabetic words above — and</w:t>
      </w:r>
      <w:r>
        <w:t xml:space="preserve"> </w:t>
      </w:r>
      <w:r>
        <w:t xml:space="preserve">‘lexsync’</w:t>
      </w:r>
      <w:r>
        <w:t xml:space="preserve"> </w:t>
      </w:r>
      <w:r>
        <w:t xml:space="preserve">equates</w:t>
      </w:r>
      <w:r>
        <w:t xml:space="preserve"> </w:t>
      </w:r>
      <w:r>
        <w:t xml:space="preserve">this dense, skewed distribution as readily as the sparse alphabetic one. The</w:t>
      </w:r>
      <w:r>
        <w:t xml:space="preserve"> </w:t>
      </w:r>
      <w:r>
        <w:t xml:space="preserve">generated</w:t>
      </w:r>
      <w:r>
        <w:t xml:space="preserve"> </w:t>
      </w:r>
      <w:r>
        <w:t xml:space="preserve">‘PsychoPy’</w:t>
      </w:r>
      <w:r>
        <w:t xml:space="preserve"> </w:t>
      </w:r>
      <w:r>
        <w:t xml:space="preserve">and</w:t>
      </w:r>
      <w:r>
        <w:t xml:space="preserve"> </w:t>
      </w:r>
      <w:r>
        <w:t xml:space="preserve">‘OpenSesame’</w:t>
      </w:r>
      <w:r>
        <w:t xml:space="preserve"> </w:t>
      </w:r>
      <w:r>
        <w:t xml:space="preserve">experiments set a CJK font, so the</w:t>
      </w:r>
      <w:r>
        <w:t xml:space="preserve"> </w:t>
      </w:r>
      <w:r>
        <w:t xml:space="preserve">characters render directly; the selection is byte-identical across the R and</w:t>
      </w:r>
      <w:r>
        <w:t xml:space="preserve"> </w:t>
      </w:r>
      <w:r>
        <w:t xml:space="preserve">Python engines, exactly as for the alphabetic demonstrations.</w:t>
      </w:r>
    </w:p>
    <w:tbl>
      <w:tblPr>
        <w:tblStyle w:val="Table"/>
        <w:tblW w:type="pct" w:w="5000"/>
        <w:tblLayout w:type="fixed"/>
        <w:tblLook w:firstRow="0" w:lastRow="0" w:firstColumn="0" w:lastColumn="0" w:noHBand="0" w:noVBand="0" w:val="0000"/>
      </w:tblPr>
      <w:tblGrid>
        <w:gridCol w:w="7920"/>
      </w:tblGrid>
      <w:tr>
        <w:tc>
          <w:tcPr/>
          <w:bookmarkStart w:id="25" w:name="tbl-desc-zh"/>
          <w:p>
            <w:pPr>
              <w:jc w:val="center"/>
            </w:pPr>
            <w:pPr>
              <w:jc w:val="left"/>
              <w:spacing w:before="200"/>
              <w:pStyle w:val="ImageCaption"/>
            </w:pPr>
            <w:r>
              <w:t xml:space="preserve">Table 5:</w:t>
            </w:r>
            <w:r>
              <w:t xml:space="preserve"> </w:t>
            </w:r>
            <w:r>
              <w:rPr>
                <w:i/>
                <w:iCs/>
              </w:rPr>
              <w:t xml:space="preserve">Descriptive Statistics per Condition: Mandarin Chinese Frequency Contrast.</w:t>
            </w:r>
            <w:r>
              <w:t xml:space="preserve"> </w:t>
            </w:r>
            <w:r>
              <w:rPr>
                <w:i/>
                <w:iCs/>
              </w:rPr>
              <w:t xml:space="preserve">Note.</w:t>
            </w:r>
            <w:r>
              <w:t xml:space="preserve"> </w:t>
            </w:r>
            <w:r>
              <w:t xml:space="preserve">Length is in characters; neighbourhood N and OLD20 are character-level measures. R engine.</w:t>
            </w:r>
          </w:p>
          <w:tbl>
            <w:tblPr>
              <w:tblStyle w:val="Table"/>
              <w:tblW w:type="pct" w:w="5000"/>
              <w:tblLayout w:type="fixed"/>
              <w:tblLook w:firstRow="1" w:lastRow="0" w:firstColumn="0" w:lastColumn="0" w:noHBand="0" w:noVBand="0" w:val="0020"/>
            </w:tblPr>
            <w:tblGrid>
              <w:gridCol w:w="1747"/>
              <w:gridCol w:w="1980"/>
              <w:gridCol w:w="349"/>
              <w:gridCol w:w="815"/>
              <w:gridCol w:w="815"/>
              <w:gridCol w:w="582"/>
              <w:gridCol w:w="815"/>
              <w:gridCol w:w="815"/>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5.324</w:t>
                  </w:r>
                </w:p>
              </w:tc>
              <w:tc>
                <w:tcPr/>
                <w:p>
                  <w:pPr>
                    <w:pStyle w:val="Compact"/>
                    <w:jc w:val="right"/>
                    <w:jc w:val="center"/>
                  </w:pPr>
                  <w:r>
                    <w:t xml:space="preserve">0.294</w:t>
                  </w:r>
                </w:p>
              </w:tc>
              <w:tc>
                <w:tcPr/>
                <w:p>
                  <w:pPr>
                    <w:pStyle w:val="Compact"/>
                    <w:jc w:val="right"/>
                    <w:jc w:val="center"/>
                  </w:pPr>
                  <w:r>
                    <w:t xml:space="preserve">5.0</w:t>
                  </w:r>
                </w:p>
              </w:tc>
              <w:tc>
                <w:tcPr/>
                <w:p>
                  <w:pPr>
                    <w:pStyle w:val="Compact"/>
                    <w:jc w:val="right"/>
                    <w:jc w:val="center"/>
                  </w:pPr>
                  <w:r>
                    <w:t xml:space="preserve">5.245</w:t>
                  </w:r>
                </w:p>
              </w:tc>
              <w:tc>
                <w:tcPr/>
                <w:p>
                  <w:pPr>
                    <w:pStyle w:val="Compact"/>
                    <w:jc w:val="right"/>
                    <w:jc w:val="center"/>
                  </w:pPr>
                  <w:r>
                    <w:t xml:space="preserve">6.56</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69.825</w:t>
                  </w:r>
                </w:p>
              </w:tc>
              <w:tc>
                <w:tcPr/>
                <w:p>
                  <w:pPr>
                    <w:pStyle w:val="Compact"/>
                    <w:jc w:val="right"/>
                    <w:jc w:val="center"/>
                  </w:pPr>
                  <w:r>
                    <w:t xml:space="preserve">64.807</w:t>
                  </w:r>
                </w:p>
              </w:tc>
              <w:tc>
                <w:tcPr/>
                <w:p>
                  <w:pPr>
                    <w:pStyle w:val="Compact"/>
                    <w:jc w:val="right"/>
                    <w:jc w:val="center"/>
                  </w:pPr>
                  <w:r>
                    <w:t xml:space="preserve">8.0</w:t>
                  </w:r>
                </w:p>
              </w:tc>
              <w:tc>
                <w:tcPr/>
                <w:p>
                  <w:pPr>
                    <w:pStyle w:val="Compact"/>
                    <w:jc w:val="right"/>
                    <w:jc w:val="center"/>
                  </w:pPr>
                  <w:r>
                    <w:t xml:space="preserve">51.500</w:t>
                  </w:r>
                </w:p>
              </w:tc>
              <w:tc>
                <w:tcPr/>
                <w:p>
                  <w:pPr>
                    <w:pStyle w:val="Compact"/>
                    <w:jc w:val="right"/>
                    <w:jc w:val="center"/>
                  </w:pPr>
                  <w:r>
                    <w:t xml:space="preserve">307.00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1.038</w:t>
                  </w:r>
                </w:p>
              </w:tc>
              <w:tc>
                <w:tcPr/>
                <w:p>
                  <w:pPr>
                    <w:pStyle w:val="Compact"/>
                    <w:jc w:val="right"/>
                    <w:jc w:val="center"/>
                  </w:pPr>
                  <w:r>
                    <w:t xml:space="preserve">0.111</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1.55</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3.810</w:t>
                  </w:r>
                </w:p>
              </w:tc>
              <w:tc>
                <w:tcPr/>
                <w:p>
                  <w:pPr>
                    <w:pStyle w:val="Compact"/>
                    <w:jc w:val="right"/>
                    <w:jc w:val="center"/>
                  </w:pPr>
                  <w:r>
                    <w:t xml:space="preserve">0.201</w:t>
                  </w:r>
                </w:p>
              </w:tc>
              <w:tc>
                <w:tcPr/>
                <w:p>
                  <w:pPr>
                    <w:pStyle w:val="Compact"/>
                    <w:jc w:val="right"/>
                    <w:jc w:val="center"/>
                  </w:pPr>
                  <w:r>
                    <w:t xml:space="preserve">3.5</w:t>
                  </w:r>
                </w:p>
              </w:tc>
              <w:tc>
                <w:tcPr/>
                <w:p>
                  <w:pPr>
                    <w:pStyle w:val="Compact"/>
                    <w:jc w:val="right"/>
                    <w:jc w:val="center"/>
                  </w:pPr>
                  <w:r>
                    <w:t xml:space="preserve">3.810</w:t>
                  </w:r>
                </w:p>
              </w:tc>
              <w:tc>
                <w:tcPr/>
                <w:p>
                  <w:pPr>
                    <w:pStyle w:val="Compact"/>
                    <w:jc w:val="right"/>
                    <w:jc w:val="center"/>
                  </w:pPr>
                  <w:r>
                    <w:t xml:space="preserve">4.20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65.662</w:t>
                  </w:r>
                </w:p>
              </w:tc>
              <w:tc>
                <w:tcPr/>
                <w:p>
                  <w:pPr>
                    <w:pStyle w:val="Compact"/>
                    <w:jc w:val="right"/>
                    <w:jc w:val="center"/>
                  </w:pPr>
                  <w:r>
                    <w:t xml:space="preserve">52.159</w:t>
                  </w:r>
                </w:p>
              </w:tc>
              <w:tc>
                <w:tcPr/>
                <w:p>
                  <w:pPr>
                    <w:pStyle w:val="Compact"/>
                    <w:jc w:val="right"/>
                    <w:jc w:val="center"/>
                  </w:pPr>
                  <w:r>
                    <w:t xml:space="preserve">14.0</w:t>
                  </w:r>
                </w:p>
              </w:tc>
              <w:tc>
                <w:tcPr/>
                <w:p>
                  <w:pPr>
                    <w:pStyle w:val="Compact"/>
                    <w:jc w:val="right"/>
                    <w:jc w:val="center"/>
                  </w:pPr>
                  <w:r>
                    <w:t xml:space="preserve">51.500</w:t>
                  </w:r>
                </w:p>
              </w:tc>
              <w:tc>
                <w:tcPr/>
                <w:p>
                  <w:pPr>
                    <w:pStyle w:val="Compact"/>
                    <w:jc w:val="right"/>
                    <w:jc w:val="center"/>
                  </w:pPr>
                  <w:r>
                    <w:t xml:space="preserve">199.00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1.028</w:t>
                  </w:r>
                </w:p>
              </w:tc>
              <w:tc>
                <w:tcPr/>
                <w:p>
                  <w:pPr>
                    <w:pStyle w:val="Compact"/>
                    <w:jc w:val="right"/>
                    <w:jc w:val="center"/>
                  </w:pPr>
                  <w:r>
                    <w:t xml:space="preserve">0.074</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1.25</w:t>
                  </w:r>
                </w:p>
              </w:tc>
            </w:tr>
          </w:tbl>
          <w:bookmarkEnd w:id="25"/>
          <w:p/>
        </w:tc>
      </w:tr>
    </w:tbl>
    <w:p>
      <w:pPr>
        <w:pStyle w:val="BodyText"/>
      </w:pPr>
      <w:r>
        <w:t xml:space="preserve">Finally, because the matcher is deterministic the two engines select the same</w:t>
      </w:r>
      <w:r>
        <w:t xml:space="preserve"> </w:t>
      </w:r>
      <w:r>
        <w:t xml:space="preserve">matched (word, condition) pairs rather than merely similar ones (the seeded trial</w:t>
      </w:r>
      <w:r>
        <w:t xml:space="preserve"> </w:t>
      </w:r>
      <w:r>
        <w:t xml:space="preserve">order differs, as the R and Python random-number generators do). Across the five</w:t>
      </w:r>
      <w:r>
        <w:t xml:space="preserve"> </w:t>
      </w:r>
      <w:r>
        <w:t xml:space="preserve">demonstrations</w:t>
      </w:r>
      <w:r>
        <w:t xml:space="preserve"> </w:t>
      </w:r>
      <w:r>
        <w:t xml:space="preserve">all 800 of the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6</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6" w:name="tbl-parity"/>
          <w:p>
            <w:pPr>
              <w:jc w:val="center"/>
            </w:pPr>
            <w:pPr>
              <w:jc w:val="left"/>
              <w:spacing w:before="200"/>
              <w:pStyle w:val="ImageCaption"/>
            </w:pPr>
            <w:r>
              <w:t xml:space="preserve">Table 6:</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w:t>
                  </w:r>
                </w:p>
              </w:tc>
              <w:tc>
                <w:tcPr/>
                <w:p>
                  <w:pPr>
                    <w:pStyle w:val="Compact"/>
                    <w:jc w:val="right"/>
                    <w:jc w:val="center"/>
                  </w:pPr>
                  <w:r>
                    <w:t xml:space="preserve">0.027</w:t>
                  </w:r>
                </w:p>
              </w:tc>
              <w:tc>
                <w:tcPr/>
                <w:p>
                  <w:pPr>
                    <w:pStyle w:val="Compact"/>
                    <w:jc w:val="right"/>
                    <w:jc w:val="center"/>
                  </w:pPr>
                  <w:r>
                    <w:t xml:space="preserve">0.027</w:t>
                  </w:r>
                </w:p>
              </w:tc>
            </w:tr>
            <w:tr>
              <w:tc>
                <w:tcPr/>
                <w:p>
                  <w:pPr>
                    <w:pStyle w:val="Compact"/>
                    <w:jc w:val="left"/>
                    <w:jc w:val="center"/>
                  </w:pPr>
                  <w:r>
                    <w:t xml:space="preserve">Frequency (Zipf)</w:t>
                  </w:r>
                </w:p>
              </w:tc>
              <w:tc>
                <w:tcPr/>
                <w:p>
                  <w:pPr>
                    <w:pStyle w:val="Compact"/>
                    <w:jc w:val="right"/>
                    <w:jc w:val="center"/>
                  </w:pPr>
                  <w:r>
                    <w:t xml:space="preserve">5.272</w:t>
                  </w:r>
                </w:p>
              </w:tc>
              <w:tc>
                <w:tcPr/>
                <w:p>
                  <w:pPr>
                    <w:pStyle w:val="Compact"/>
                    <w:jc w:val="right"/>
                    <w:jc w:val="center"/>
                  </w:pPr>
                  <w:r>
                    <w:t xml:space="preserve">5.272</w:t>
                  </w:r>
                </w:p>
              </w:tc>
            </w:tr>
            <w:tr>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0.038</w:t>
                  </w:r>
                </w:p>
              </w:tc>
            </w:tr>
            <w:tr>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0.009</w:t>
                  </w:r>
                </w:p>
              </w:tc>
            </w:tr>
          </w:tbl>
          <w:bookmarkEnd w:id="26"/>
          <w:p/>
        </w:tc>
      </w:tr>
    </w:tbl>
    <w:bookmarkEnd w:id="27"/>
    <w:bookmarkEnd w:id="28"/>
    <w:bookmarkStart w:id="29"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contribution is integration rather than a single new capability:</w:t>
      </w:r>
      <w:r>
        <w:t xml:space="preserve"> </w:t>
      </w:r>
      <w:r>
        <w:t xml:space="preserve">multidimensional matching exists in</w:t>
      </w:r>
      <w:r>
        <w:t xml:space="preserve"> </w:t>
      </w:r>
      <w:r>
        <w:t xml:space="preserve">‘LexOPS’</w:t>
      </w:r>
      <w:r>
        <w:t xml:space="preserve"> </w:t>
      </w:r>
      <w:r>
        <w:t xml:space="preserve">and</w:t>
      </w:r>
      <w:r>
        <w:t xml:space="preserve"> </w:t>
      </w:r>
      <w:r>
        <w:t xml:space="preserve">‘LIBRA’</w:t>
      </w:r>
      <w:r>
        <w:t xml:space="preserve">, and precise</w:t>
      </w:r>
      <w:r>
        <w:t xml:space="preserve"> </w:t>
      </w:r>
      <w:r>
        <w:t xml:space="preserve">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selects identical matched</w:t>
      </w:r>
      <w:r>
        <w:t xml:space="preserve"> </w:t>
      </w:r>
      <w:r>
        <w:t xml:space="preserve">(word, condition) sets in the R and Python engines, with the reported match</w:t>
      </w:r>
      <w:r>
        <w:t xml:space="preserve"> </w:t>
      </w:r>
      <w:r>
        <w:t xml:space="preserve">statistics agreeing to the precision shown; only the seeded trial order, which</w:t>
      </w:r>
      <w:r>
        <w:t xml:space="preserve"> </w:t>
      </w:r>
      <w:r>
        <w:t xml:space="preserve">depends on each language’s random-number generator, differs. A laboratory can</w:t>
      </w:r>
      <w:r>
        <w:t xml:space="preserve"> </w:t>
      </w:r>
      <w:r>
        <w:t xml:space="preserve">therefore adopt</w:t>
      </w:r>
      <w:r>
        <w:t xml:space="preserve"> </w:t>
      </w:r>
      <w:r>
        <w:t xml:space="preserve">‘lexsync’</w:t>
      </w:r>
      <w:r>
        <w:t xml:space="preserve"> </w:t>
      </w:r>
      <w:r>
        <w:t xml:space="preserve">in whichever ecosystem it prefers without fear of</w:t>
      </w:r>
      <w:r>
        <w:t xml:space="preserve"> </w:t>
      </w:r>
      <w:r>
        <w:t xml:space="preserve">divergent stimulus selection. Second, both</w:t>
      </w:r>
      <w:r>
        <w:t xml:space="preserve"> </w:t>
      </w:r>
      <w:r>
        <w:t xml:space="preserve">presentation targets upgrade the sequence-ordered triggers of the original</w:t>
      </w:r>
      <w:r>
        <w:t xml:space="preserve"> </w:t>
      </w:r>
      <w:r>
        <w:t xml:space="preserve">workflow to onset-aligned markers — flip-locked in</w:t>
      </w:r>
      <w:r>
        <w:t xml:space="preserve"> </w:t>
      </w:r>
      <w:r>
        <w:t xml:space="preserve">‘PsychoPy’</w:t>
      </w:r>
      <w:r>
        <w:t xml:space="preserve">, and written</w:t>
      </w:r>
      <w:r>
        <w:t xml:space="preserve"> </w:t>
      </w:r>
      <w:r>
        <w:t xml:space="preserve">immediately after the refresh-blocking</w:t>
      </w:r>
      <w:r>
        <w:t xml:space="preserve"> </w:t>
      </w:r>
      <w:r>
        <w:rPr>
          <w:rStyle w:val="VerbatimChar"/>
        </w:rPr>
        <w:t xml:space="preserve">show()</w:t>
      </w:r>
      <w:r>
        <w:t xml:space="preserve"> </w:t>
      </w:r>
      <w:r>
        <w:t xml:space="preserve">in</w:t>
      </w:r>
      <w:r>
        <w:t xml:space="preserve"> </w:t>
      </w:r>
      <w:r>
        <w:t xml:space="preserve">‘OpenSesame’</w:t>
      </w:r>
      <w:r>
        <w:t xml:space="preserve"> </w:t>
      </w:r>
      <w:r>
        <w:t xml:space="preserve">— a concrete</w:t>
      </w:r>
      <w:r>
        <w:t xml:space="preserve"> </w:t>
      </w:r>
      <w:r>
        <w:t xml:space="preserve">methodological improvement for ERP research.</w:t>
      </w:r>
    </w:p>
    <w:p>
      <w:pPr>
        <w:pStyle w:val="BodyText"/>
      </w:pPr>
      <w:r>
        <w:t xml:space="preserve">Some limitations remain. The Chinese demonstration shows that the pipeline</w:t>
      </w:r>
      <w:r>
        <w:t xml:space="preserve"> </w:t>
      </w:r>
      <w:r>
        <w:t xml:space="preserve">generalises to a logographic script — corpus access, dimension derivation,</w:t>
      </w:r>
      <w:r>
        <w:t xml:space="preserve"> </w:t>
      </w:r>
      <w:r>
        <w:t xml:space="preserve">matching, counterbalancing and CJK-font script generation all work unchanged —</w:t>
      </w:r>
      <w:r>
        <w:t xml:space="preserve"> </w:t>
      </w:r>
      <w:r>
        <w:t xml:space="preserve">but the neighbourhood measures it equates there (Coltheart’s N and OLD20) are</w:t>
      </w:r>
      <w:r>
        <w:t xml:space="preserve"> </w:t>
      </w:r>
      <w:r>
        <w:t xml:space="preserve">computed at the character level. They do not capture the sub-character structure</w:t>
      </w:r>
      <w:r>
        <w:t xml:space="preserve"> </w:t>
      </w:r>
      <w:r>
        <w:t xml:space="preserve">that also shapes Chinese reading, such as radical, stroke-count and</w:t>
      </w:r>
      <w:r>
        <w:t xml:space="preserve"> </w:t>
      </w:r>
      <w:r>
        <w:t xml:space="preserve">phonetic-radical information. Such measures are not intrinsic to the method; they</w:t>
      </w:r>
      <w:r>
        <w:t xml:space="preserve"> </w:t>
      </w:r>
      <w:r>
        <w:t xml:space="preserve">enter as additional script-specific dimensions through the same extensible</w:t>
      </w:r>
      <w:r>
        <w:t xml:space="preserve"> </w:t>
      </w:r>
      <w:r>
        <w:t xml:space="preserve">dimension system, and supplying them is left to future work. A photodiode check</w:t>
      </w:r>
      <w:r>
        <w:t xml:space="preserve"> </w:t>
      </w:r>
      <w:r>
        <w:t xml:space="preserve">remains advisable for any onset-critical study, as for any software trigger.</w:t>
      </w:r>
      <w:r>
        <w:t xml:space="preserve"> </w:t>
      </w:r>
      <w:r>
        <w:t xml:space="preserve">Future work includes</w:t>
      </w:r>
      <w:r>
        <w:t xml:space="preserve"> </w:t>
      </w:r>
      <w:r>
        <w:t xml:space="preserve">additional presentation targets, a graphical interface and richer lexical</w:t>
      </w:r>
      <w:r>
        <w:t xml:space="preserve"> </w:t>
      </w:r>
      <w:r>
        <w:t xml:space="preserve">dimensions such as concreteness and age of acquisition, each of which slots into</w:t>
      </w:r>
      <w:r>
        <w:t xml:space="preserve"> </w:t>
      </w:r>
      <w:r>
        <w:t xml:space="preserve">the existing module structure.</w:t>
      </w:r>
    </w:p>
    <w:bookmarkEnd w:id="29"/>
    <w:bookmarkStart w:id="31"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30"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 lexical dimension, edit</w:t>
      </w:r>
      <w:r>
        <w:t xml:space="preserve"> </w:t>
      </w:r>
      <w:r>
        <w:rPr>
          <w:rStyle w:val="VerbatimChar"/>
        </w:rPr>
        <w:t xml:space="preserve">compute</w:t>
      </w:r>
      <w:r>
        <w:t xml:space="preserve">-style functions in</w:t>
      </w:r>
      <w:r>
        <w:t xml:space="preserve"> </w:t>
      </w:r>
      <w:r>
        <w:rPr>
          <w:rStyle w:val="VerbatimChar"/>
        </w:rPr>
        <w:t xml:space="preserve">querying</w:t>
      </w:r>
      <w:r>
        <w:t xml:space="preserve"> </w:t>
      </w:r>
      <w:r>
        <w:t xml:space="preserve">(</w:t>
      </w:r>
      <w:r>
        <w:rPr>
          <w:rStyle w:val="VerbatimChar"/>
        </w:rPr>
        <w:t xml:space="preserve">add_neighbourhood</w:t>
      </w:r>
      <w:r>
        <w:t xml:space="preserve"> </w:t>
      </w:r>
      <w:r>
        <w:t xml:space="preserve">and the dimension table in</w:t>
      </w:r>
      <w:r>
        <w:t xml:space="preserve"> </w:t>
      </w:r>
      <w:r>
        <w:rPr>
          <w:rStyle w:val="VerbatimChar"/>
        </w:rPr>
        <w:t xml:space="preserve">config/schema.yaml</w:t>
      </w:r>
      <w:r>
        <w:t xml:space="preserve">) in both packages. To add a</w:t>
      </w:r>
      <w:r>
        <w:t xml:space="preserve"> </w:t>
      </w:r>
      <w:r>
        <w:t xml:space="preserve">presentation target, 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To add a</w:t>
      </w:r>
      <w:r>
        <w:t xml:space="preserve"> </w:t>
      </w:r>
      <w:r>
        <w:t xml:space="preserve">corpus or a language, add an entry to</w:t>
      </w:r>
      <w:r>
        <w:t xml:space="preserve"> </w:t>
      </w:r>
      <w:r>
        <w:rPr>
          <w:rStyle w:val="VerbatimChar"/>
        </w:rPr>
        <w:t xml:space="preserve">corpora/registry.yaml</w:t>
      </w:r>
      <w:r>
        <w:t xml:space="preserve">; no code change is</w:t>
      </w:r>
      <w:r>
        <w:t xml:space="preserve"> </w:t>
      </w:r>
      <w:r>
        <w:t xml:space="preserve">required for SUBTLEX-family or</w:t>
      </w:r>
      <w:r>
        <w:t xml:space="preserve"> </w:t>
      </w:r>
      <w:r>
        <w:t xml:space="preserve">‘wordfreq’</w:t>
      </w:r>
      <w:r>
        <w:t xml:space="preserve"> </w:t>
      </w:r>
      <w:r>
        <w:t xml:space="preserve">sources.</w:t>
      </w:r>
    </w:p>
    <w:p>
      <w:r>
        <w:br w:type="page"/>
      </w:r>
    </w:p>
    <w:bookmarkEnd w:id="30"/>
    <w:bookmarkEnd w:id="31"/>
    <w:bookmarkStart w:id="61" w:name="references"/>
    <w:p>
      <w:pPr>
        <w:pStyle w:val="Heading1"/>
      </w:pPr>
      <w:r>
        <w:t xml:space="preserve">References</w:t>
      </w:r>
    </w:p>
    <w:bookmarkStart w:id="60" w:name="refs"/>
    <w:bookmarkStart w:id="33"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32">
        <w:r>
          <w:rPr>
            <w:rStyle w:val="Hyperlink"/>
          </w:rPr>
          <w:t xml:space="preserve">https://doi.org/10.3758/BRM.41.4.977</w:t>
        </w:r>
      </w:hyperlink>
    </w:p>
    <w:bookmarkEnd w:id="33"/>
    <w:bookmarkStart w:id="35" w:name="ref-cai2010subtlexch"/>
    <w:p>
      <w:pPr>
        <w:pStyle w:val="Bibliography"/>
      </w:pPr>
      <w:r>
        <w:t xml:space="preserve">Cai, Q., &amp; Brysbaert, M. (2010).</w:t>
      </w:r>
      <w:r>
        <w:t xml:space="preserve"> </w:t>
      </w:r>
      <w:r>
        <w:t xml:space="preserve">SUBTLEX-CH</w:t>
      </w:r>
      <w:r>
        <w:t xml:space="preserve">:</w:t>
      </w:r>
      <w:r>
        <w:t xml:space="preserve"> </w:t>
      </w:r>
      <w:r>
        <w:t xml:space="preserve">Chinese</w:t>
      </w:r>
      <w:r>
        <w:t xml:space="preserve"> </w:t>
      </w:r>
      <w:r>
        <w:t xml:space="preserve">word and character frequencies based on film subtitles.</w:t>
      </w:r>
      <w:r>
        <w:t xml:space="preserve"> </w:t>
      </w:r>
      <w:r>
        <w:rPr>
          <w:i/>
          <w:iCs/>
        </w:rPr>
        <w:t xml:space="preserve">PLoS ONE</w:t>
      </w:r>
      <w:r>
        <w:t xml:space="preserve">,</w:t>
      </w:r>
      <w:r>
        <w:t xml:space="preserve"> </w:t>
      </w:r>
      <w:r>
        <w:rPr>
          <w:i/>
          <w:iCs/>
        </w:rPr>
        <w:t xml:space="preserve">5</w:t>
      </w:r>
      <w:r>
        <w:t xml:space="preserve">(6), e10729.</w:t>
      </w:r>
      <w:r>
        <w:t xml:space="preserve"> </w:t>
      </w:r>
      <w:hyperlink r:id="rId34">
        <w:r>
          <w:rPr>
            <w:rStyle w:val="Hyperlink"/>
          </w:rPr>
          <w:t xml:space="preserve">https://doi.org/10.1371/journal.pone.0010729</w:t>
        </w:r>
      </w:hyperlink>
    </w:p>
    <w:bookmarkEnd w:id="35"/>
    <w:bookmarkStart w:id="36"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36"/>
    <w:bookmarkStart w:id="37"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37"/>
    <w:bookmarkStart w:id="39"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38">
        <w:r>
          <w:rPr>
            <w:rStyle w:val="Hyperlink"/>
          </w:rPr>
          <w:t xml:space="preserve">https://doi.org/10.1080/14790718.2024.2415993</w:t>
        </w:r>
      </w:hyperlink>
    </w:p>
    <w:bookmarkEnd w:id="39"/>
    <w:bookmarkStart w:id="41"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40">
        <w:r>
          <w:rPr>
            <w:rStyle w:val="Hyperlink"/>
          </w:rPr>
          <w:t xml:space="preserve">https://doi.org/10.1080/17470218.2013.850521</w:t>
        </w:r>
      </w:hyperlink>
    </w:p>
    <w:bookmarkEnd w:id="41"/>
    <w:bookmarkStart w:id="43"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42">
        <w:r>
          <w:rPr>
            <w:rStyle w:val="Hyperlink"/>
          </w:rPr>
          <w:t xml:space="preserve">https://doi.org/10.3758/s13428-024-02347-x</w:t>
        </w:r>
      </w:hyperlink>
    </w:p>
    <w:bookmarkEnd w:id="43"/>
    <w:bookmarkStart w:id="45"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44">
        <w:r>
          <w:rPr>
            <w:rStyle w:val="Hyperlink"/>
          </w:rPr>
          <w:t xml:space="preserve">https://doi.org/10.1177/1948550617697177</w:t>
        </w:r>
      </w:hyperlink>
    </w:p>
    <w:bookmarkEnd w:id="45"/>
    <w:bookmarkStart w:id="47"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46">
        <w:r>
          <w:rPr>
            <w:rStyle w:val="Hyperlink"/>
          </w:rPr>
          <w:t xml:space="preserve">https://doi.org/10.1016/j.mex.2021.101545</w:t>
        </w:r>
      </w:hyperlink>
    </w:p>
    <w:bookmarkEnd w:id="47"/>
    <w:bookmarkStart w:id="49"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48">
        <w:r>
          <w:rPr>
            <w:rStyle w:val="Hyperlink"/>
          </w:rPr>
          <w:t xml:space="preserve">https://doi.org/10.3758/s13428-011-0168-7</w:t>
        </w:r>
      </w:hyperlink>
    </w:p>
    <w:bookmarkEnd w:id="49"/>
    <w:bookmarkStart w:id="51"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50">
        <w:r>
          <w:rPr>
            <w:rStyle w:val="Hyperlink"/>
          </w:rPr>
          <w:t xml:space="preserve">https://doi.org/10.3758/s13428-018-01193-y</w:t>
        </w:r>
      </w:hyperlink>
    </w:p>
    <w:bookmarkEnd w:id="51"/>
    <w:bookmarkStart w:id="53"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52">
        <w:r>
          <w:rPr>
            <w:rStyle w:val="Hyperlink"/>
          </w:rPr>
          <w:t xml:space="preserve">https://doi.org/10.5281/zenodo.7199437</w:t>
        </w:r>
      </w:hyperlink>
    </w:p>
    <w:bookmarkEnd w:id="53"/>
    <w:bookmarkStart w:id="55"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54">
        <w:r>
          <w:rPr>
            <w:rStyle w:val="Hyperlink"/>
          </w:rPr>
          <w:t xml:space="preserve">https://doi.org/10.3758/s13428-020-01389-1</w:t>
        </w:r>
      </w:hyperlink>
    </w:p>
    <w:bookmarkEnd w:id="55"/>
    <w:bookmarkStart w:id="57"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56">
        <w:r>
          <w:rPr>
            <w:rStyle w:val="Hyperlink"/>
          </w:rPr>
          <w:t xml:space="preserve">https://doi.org/10.1038/sdata.2016.18</w:t>
        </w:r>
      </w:hyperlink>
    </w:p>
    <w:bookmarkEnd w:id="57"/>
    <w:bookmarkStart w:id="59"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58">
        <w:r>
          <w:rPr>
            <w:rStyle w:val="Hyperlink"/>
          </w:rPr>
          <w:t xml:space="preserve">https://doi.org/10.3758/pbr.15.5.971</w:t>
        </w:r>
      </w:hyperlink>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46" Target="https://doi.org/10.1016/j.mex.2021.101545" TargetMode="External" /><Relationship Type="http://schemas.openxmlformats.org/officeDocument/2006/relationships/hyperlink" Id="rId56" Target="https://doi.org/10.1038/sdata.2016.18" TargetMode="External" /><Relationship Type="http://schemas.openxmlformats.org/officeDocument/2006/relationships/hyperlink" Id="rId38" Target="https://doi.org/10.1080/14790718.2024.2415993" TargetMode="External" /><Relationship Type="http://schemas.openxmlformats.org/officeDocument/2006/relationships/hyperlink" Id="rId40" Target="https://doi.org/10.1080/17470218.2013.850521" TargetMode="External" /><Relationship Type="http://schemas.openxmlformats.org/officeDocument/2006/relationships/hyperlink" Id="rId44" Target="https://doi.org/10.1177/1948550617697177" TargetMode="External" /><Relationship Type="http://schemas.openxmlformats.org/officeDocument/2006/relationships/hyperlink" Id="rId34" Target="https://doi.org/10.1371/journal.pone.0010729" TargetMode="External" /><Relationship Type="http://schemas.openxmlformats.org/officeDocument/2006/relationships/hyperlink" Id="rId32" Target="https://doi.org/10.3758/BRM.41.4.977" TargetMode="External" /><Relationship Type="http://schemas.openxmlformats.org/officeDocument/2006/relationships/hyperlink" Id="rId58" Target="https://doi.org/10.3758/pbr.15.5.971" TargetMode="External" /><Relationship Type="http://schemas.openxmlformats.org/officeDocument/2006/relationships/hyperlink" Id="rId48" Target="https://doi.org/10.3758/s13428-011-0168-7" TargetMode="External" /><Relationship Type="http://schemas.openxmlformats.org/officeDocument/2006/relationships/hyperlink" Id="rId50" Target="https://doi.org/10.3758/s13428-018-01193-y" TargetMode="External" /><Relationship Type="http://schemas.openxmlformats.org/officeDocument/2006/relationships/hyperlink" Id="rId54" Target="https://doi.org/10.3758/s13428-020-01389-1" TargetMode="External" /><Relationship Type="http://schemas.openxmlformats.org/officeDocument/2006/relationships/hyperlink" Id="rId42" Target="https://doi.org/10.3758/s13428-024-02347-x" TargetMode="External" /><Relationship Type="http://schemas.openxmlformats.org/officeDocument/2006/relationships/hyperlink" Id="rId52" Target="https://doi.org/10.5281/zenodo.7199437"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16/j.mex.2021.101545" TargetMode="External" /><Relationship Type="http://schemas.openxmlformats.org/officeDocument/2006/relationships/hyperlink" Id="rId56" Target="https://doi.org/10.1038/sdata.2016.18" TargetMode="External" /><Relationship Type="http://schemas.openxmlformats.org/officeDocument/2006/relationships/hyperlink" Id="rId38" Target="https://doi.org/10.1080/14790718.2024.2415993" TargetMode="External" /><Relationship Type="http://schemas.openxmlformats.org/officeDocument/2006/relationships/hyperlink" Id="rId40" Target="https://doi.org/10.1080/17470218.2013.850521" TargetMode="External" /><Relationship Type="http://schemas.openxmlformats.org/officeDocument/2006/relationships/hyperlink" Id="rId44" Target="https://doi.org/10.1177/1948550617697177" TargetMode="External" /><Relationship Type="http://schemas.openxmlformats.org/officeDocument/2006/relationships/hyperlink" Id="rId34" Target="https://doi.org/10.1371/journal.pone.0010729" TargetMode="External" /><Relationship Type="http://schemas.openxmlformats.org/officeDocument/2006/relationships/hyperlink" Id="rId32" Target="https://doi.org/10.3758/BRM.41.4.977" TargetMode="External" /><Relationship Type="http://schemas.openxmlformats.org/officeDocument/2006/relationships/hyperlink" Id="rId58" Target="https://doi.org/10.3758/pbr.15.5.971" TargetMode="External" /><Relationship Type="http://schemas.openxmlformats.org/officeDocument/2006/relationships/hyperlink" Id="rId48" Target="https://doi.org/10.3758/s13428-011-0168-7" TargetMode="External" /><Relationship Type="http://schemas.openxmlformats.org/officeDocument/2006/relationships/hyperlink" Id="rId50" Target="https://doi.org/10.3758/s13428-018-01193-y" TargetMode="External" /><Relationship Type="http://schemas.openxmlformats.org/officeDocument/2006/relationships/hyperlink" Id="rId54" Target="https://doi.org/10.3758/s13428-020-01389-1" TargetMode="External" /><Relationship Type="http://schemas.openxmlformats.org/officeDocument/2006/relationships/hyperlink" Id="rId42" Target="https://doi.org/10.3758/s13428-024-02347-x" TargetMode="External" /><Relationship Type="http://schemas.openxmlformats.org/officeDocument/2006/relationships/hyperlink" Id="rId52" Target="https://doi.org/10.5281/zenodo.71994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2026-06-10T08:54:11Z</dcterms:created>
  <dcterms:modified xsi:type="dcterms:W3CDTF">2026-06-10T08:54:11Z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and ‘OpenSesame’ experiment scripts whose hardware triggers for electroencephalography are time-locked to stimulus onset in both targets. The matching is deterministic, so the two engines select identical matched stimuli; we demonstrate this on five worked examples in English, Spanish and Mandarin Chinese, the last of which shows that the workflow extends to a logographic writing system. The generation step requires no presentation software and no hardware, which keeps the whole workflow reproducible. ‘lexsync’ generalises the FAIR artificial-grammar workflow of an existing longitudinal study and is distributed under open licences with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2026-06-10</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