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2026-07-03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 set</w:t>
      </w:r>
      <w:r>
        <w:t xml:space="preserve"> </w:t>
      </w:r>
      <w:r>
        <w:t xml:space="preserve">as a reproducible artefact, distributed under open licences with a</w:t>
      </w:r>
      <w:r>
        <w:t xml:space="preserve"> </w:t>
      </w:r>
      <w:r>
        <w:t xml:space="preserve">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artificial-grammar EEG study, for</w:t>
      </w:r>
      <w:r>
        <w:t xml:space="preserve"> </w:t>
      </w:r>
      <w:r>
        <w:t xml:space="preserve">instance</w:t>
      </w:r>
      <w:r>
        <w:t xml:space="preserve"> </w:t>
      </w:r>
      <w:r>
        <w:t xml:space="preserve">(González Alonso et al., 2025)</w:t>
      </w:r>
      <w:r>
        <w:t xml:space="preserve">, EEG markers were sent from an experiment item</w:t>
      </w:r>
      <w:r>
        <w:t xml:space="preserve"> </w:t>
      </w:r>
      <w:r>
        <w:t xml:space="preserve">that followed the word, so that only the first marker was even approximately</w:t>
      </w:r>
      <w:r>
        <w:t xml:space="preserve"> </w:t>
      </w:r>
      <w:r>
        <w:t xml:space="preserve">aligned with stimulus onset; the others were sequence-ordered. This is a common</w:t>
      </w:r>
      <w:r>
        <w:t xml:space="preserve"> </w:t>
      </w:r>
      <w:r>
        <w:t xml:space="preserve">pattern 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is thus a reusable, FAIR-compliant tool for many</w:t>
      </w:r>
      <w:r>
        <w:t xml:space="preserve"> </w:t>
      </w:r>
      <w:r>
        <w:t xml:space="preserve">psycholinguistic paradigms and languages, not a single study’s script; the</w:t>
      </w:r>
      <w:r>
        <w:t xml:space="preserve"> </w:t>
      </w:r>
      <w:r>
        <w:t xml:space="preserve">longitudinal study above is one of twelve worked examples it reproduces.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Two further matching methods can be selected when a design needs them. A</w:t>
      </w:r>
      <w:r>
        <w:t xml:space="preserve"> </w:t>
      </w:r>
      <w:r>
        <w:t xml:space="preserve">covariance-aware (Mahalanobis) distance replaces the standardised Euclidean metric</w:t>
      </w:r>
      <w:r>
        <w:t xml:space="preserve"> </w:t>
      </w:r>
      <w:r>
        <w:t xml:space="preserve">with one weighted by the inverse of the control dimensions’ correlation matrix, so</w:t>
      </w:r>
      <w:r>
        <w:t xml:space="preserve"> </w:t>
      </w:r>
      <w:r>
        <w:t xml:space="preserve">it down-weights dimensions that are correlated, such as length and orthographic</w:t>
      </w:r>
      <w:r>
        <w:t xml:space="preserve"> </w:t>
      </w:r>
      <w:r>
        <w:t xml:space="preserve">neighbourhood, rather than counting their shared variance more than once. A</w:t>
      </w:r>
      <w:r>
        <w:t xml:space="preserve"> </w:t>
      </w:r>
      <w:r>
        <w:t xml:space="preserve">globally optimal assignment, for a two-condition design, minimises the total</w:t>
      </w:r>
      <w:r>
        <w:t xml:space="preserve"> </w:t>
      </w:r>
      <w:r>
        <w:t xml:space="preserve">distance over the whole pairing instead of taking the locally cheapest pair at each</w:t>
      </w:r>
      <w:r>
        <w:t xml:space="preserve"> </w:t>
      </w:r>
      <w:r>
        <w:t xml:space="preserve">step. Both rely on a linear-algebra routine, a matrix inverse and an assignment</w:t>
      </w:r>
      <w:r>
        <w:t xml:space="preserve"> </w:t>
      </w:r>
      <w:r>
        <w:t xml:space="preserve">solver respectively, whose last bits differ between the R and Python backends, so</w:t>
      </w:r>
      <w:r>
        <w:t xml:space="preserve"> </w:t>
      </w:r>
      <w:r>
        <w:t xml:space="preserve">on these two methods the engines select equivalent but not byte-identical</w:t>
      </w:r>
      <w:r>
        <w:t xml:space="preserve"> </w:t>
      </w:r>
      <w:r>
        <w:t xml:space="preserve">materials; each datasheet records which case applies.</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and their intervals, a variance-ratio check on the spread, and the</w:t>
      </w:r>
      <w:r>
        <w:t xml:space="preserve"> </w:t>
      </w:r>
      <w:r>
        <w:t xml:space="preserve">equivalence verdicts),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2026-07-03T09:45:30Z</dcterms:created>
  <dcterms:modified xsi:type="dcterms:W3CDTF">2026-07-03T09:45:30Z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2026-07-03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