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with hardware</w:t>
      </w:r>
      <w:r>
        <w:t xml:space="preserve"> </w:t>
      </w:r>
      <w:r>
        <w:t xml:space="preserve">triggers for electroencephalography — flip-locked to stimulus onset in the</w:t>
      </w:r>
      <w:r>
        <w:t xml:space="preserve"> </w:t>
      </w:r>
      <w:r>
        <w:t xml:space="preserve">‘PsychoPy’</w:t>
      </w:r>
      <w:r>
        <w:t xml:space="preserve"> </w:t>
      </w:r>
      <w:r>
        <w:t xml:space="preserve">target and sequence-ordered in the</w:t>
      </w:r>
      <w:r>
        <w:t xml:space="preserve"> </w:t>
      </w:r>
      <w:r>
        <w:t xml:space="preserve">‘OpenSesame’</w:t>
      </w:r>
      <w:r>
        <w:t xml:space="preserve"> </w:t>
      </w:r>
      <w:r>
        <w:t xml:space="preserve">target. The matching</w:t>
      </w:r>
      <w:r>
        <w:t xml:space="preserve"> </w:t>
      </w:r>
      <w:r>
        <w:t xml:space="preserve">is deterministic, so the two engines select identical matched stimuli; we</w:t>
      </w:r>
      <w:r>
        <w:t xml:space="preserve"> </w:t>
      </w:r>
      <w:r>
        <w:t xml:space="preserve">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addresses these gaps; the onset-jitter gap is closed for the</w:t>
      </w:r>
      <w:r>
        <w:t xml:space="preserve"> </w:t>
      </w:r>
      <w:r>
        <w:t xml:space="preserve">‘PsychoPy’</w:t>
      </w:r>
      <w:r>
        <w:t xml:space="preserve"> </w:t>
      </w:r>
      <w:r>
        <w:t xml:space="preserve">target, which is flip-locked, while the</w:t>
      </w:r>
      <w:r>
        <w:t xml:space="preserve"> </w:t>
      </w:r>
      <w:r>
        <w:t xml:space="preserve">‘OpenSesame’</w:t>
      </w:r>
      <w:r>
        <w:t xml:space="preserve"> </w:t>
      </w:r>
      <w:r>
        <w:t xml:space="preserve">target remains sequence-ordered by the platform’s design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matched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it sends the marker from an inline script placed</w:t>
      </w:r>
      <w:r>
        <w:t xml:space="preserve"> </w:t>
      </w:r>
      <w:r>
        <w:t xml:space="preserve">immediately after the word, supporting both a parallel-port and a serial backend</w:t>
      </w:r>
      <w:r>
        <w:t xml:space="preserve"> </w:t>
      </w:r>
      <w:r>
        <w:t xml:space="preserve">with a test-mode fallback. The two backends differ in an instructive way: the</w:t>
      </w:r>
      <w:r>
        <w:t xml:space="preserve"> </w:t>
      </w:r>
      <w:r>
        <w:t xml:space="preserve">‘PsychoPy’</w:t>
      </w:r>
      <w:r>
        <w:t xml:space="preserve"> </w:t>
      </w:r>
      <w:r>
        <w:t xml:space="preserve">path is genuinely flip-locked, whereas</w:t>
      </w:r>
      <w:r>
        <w:t xml:space="preserve"> </w:t>
      </w:r>
      <w:r>
        <w:t xml:space="preserve">‘OpenSesame’</w:t>
      </w:r>
      <w:r>
        <w:t xml:space="preserve"> </w:t>
      </w:r>
      <w:r>
        <w:t xml:space="preserve">sends the marker</w:t>
      </w:r>
      <w:r>
        <w:t xml:space="preserve"> </w:t>
      </w:r>
      <w:r>
        <w:t xml:space="preserve">from the following item and is therefore sequence-ordered. We recommend a</w:t>
      </w:r>
      <w:r>
        <w:t xml:space="preserve"> </w:t>
      </w:r>
      <w:r>
        <w:t xml:space="preserve">photodiode check in either case, but the</w:t>
      </w:r>
      <w:r>
        <w:t xml:space="preserve"> </w:t>
      </w:r>
      <w:r>
        <w:t xml:space="preserve">‘PsychoPy’</w:t>
      </w:r>
      <w:r>
        <w:t xml:space="preserve"> </w:t>
      </w:r>
      <w:r>
        <w:t xml:space="preserve">path removes the dominant</w:t>
      </w:r>
      <w:r>
        <w:t xml:space="preserve"> </w:t>
      </w:r>
      <w:r>
        <w:t xml:space="preserve">source of onset jitter.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6"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ten-thousand-word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4.67</w:t>
                  </w:r>
                </w:p>
              </w:tc>
              <w:tc>
                <w:tcPr/>
                <w:p>
                  <w:pPr>
                    <w:pStyle w:val="Compact"/>
                    <w:jc w:val="right"/>
                    <w:jc w:val="center"/>
                  </w:pPr>
                  <w:r>
                    <w:t xml:space="preserve">0.06</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2.71</w:t>
                  </w:r>
                </w:p>
              </w:tc>
              <w:tc>
                <w:tcPr/>
                <w:p>
                  <w:pPr>
                    <w:pStyle w:val="Compact"/>
                    <w:jc w:val="right"/>
                    <w:jc w:val="center"/>
                  </w:pPr>
                  <w:r>
                    <w:t xml:space="preserve">0.23</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4.93</w:t>
                  </w:r>
                </w:p>
              </w:tc>
              <w:tc>
                <w:tcPr/>
                <w:p>
                  <w:pPr>
                    <w:pStyle w:val="Compact"/>
                    <w:jc w:val="right"/>
                    <w:jc w:val="center"/>
                  </w:pPr>
                  <w:r>
                    <w:t xml:space="preserve">0.09</w:t>
                  </w:r>
                </w:p>
              </w:tc>
            </w:tr>
            <w:tr>
              <w:tc>
                <w:tcPr/>
                <w:p>
                  <w:pPr>
                    <w:pStyle w:val="Compact"/>
                    <w:jc w:val="left"/>
                    <w:jc w:val="center"/>
                  </w:pPr>
                  <w:r>
                    <w:t xml:space="preserve">Spanish: neighbourhood contrast</w:t>
                  </w:r>
                </w:p>
              </w:tc>
              <w:tc>
                <w:tcPr/>
                <w:p>
                  <w:pPr>
                    <w:pStyle w:val="Compact"/>
                    <w:jc w:val="left"/>
                    <w:jc w:val="center"/>
                  </w:pPr>
                  <w:r>
                    <w:t xml:space="preserve">Neighbourhood N</w:t>
                  </w:r>
                </w:p>
              </w:tc>
              <w:tc>
                <w:tcPr/>
                <w:p>
                  <w:pPr>
                    <w:pStyle w:val="Compact"/>
                    <w:jc w:val="right"/>
                    <w:jc w:val="center"/>
                  </w:pPr>
                  <w:r>
                    <w:t xml:space="preserve">3.31</w:t>
                  </w:r>
                </w:p>
              </w:tc>
              <w:tc>
                <w:tcPr/>
                <w:p>
                  <w:pPr>
                    <w:pStyle w:val="Compact"/>
                    <w:jc w:val="right"/>
                    <w:jc w:val="center"/>
                  </w:pPr>
                  <w:r>
                    <w:t xml:space="preserve">0.12</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two one-sided tests (TOST) procedure that</w:t>
      </w:r>
      <w:r>
        <w:t xml:space="preserve"> </w:t>
      </w:r>
      <w:r>
        <w:t xml:space="preserve">‘lexsync’</w:t>
      </w:r>
      <w:r>
        <w:t xml:space="preserve"> </w:t>
      </w:r>
      <w:r>
        <w:t xml:space="preserve">reports gives a more</w:t>
      </w:r>
      <w:r>
        <w:t xml:space="preserve"> </w:t>
      </w:r>
      <w:r>
        <w:t xml:space="preserve">conservative reading of the same control.</w:t>
      </w:r>
      <w:r>
        <w:t xml:space="preserve"> </w:t>
      </w:r>
      <w:hyperlink w:anchor="tbl-tost">
        <w:r>
          <w:rPr>
            <w:rStyle w:val="Hyperlink"/>
          </w:rPr>
          <w:t xml:space="preserve">Table 2</w:t>
        </w:r>
      </w:hyperlink>
      <w:r>
        <w:t xml:space="preserve"> </w:t>
      </w:r>
      <w:r>
        <w:t xml:space="preserve">lists, for the controlled</w:t>
      </w:r>
      <w:r>
        <w:t xml:space="preserve"> </w:t>
      </w:r>
      <w:r>
        <w:t xml:space="preserve">dimensions of each demonstration, the standardised mean difference, the</w:t>
      </w:r>
      <w:r>
        <w:t xml:space="preserve"> </w:t>
      </w:r>
      <w:r>
        <w:t xml:space="preserve">equivalence-test</w:t>
      </w:r>
      <w:r>
        <w:t xml:space="preserve"> </w:t>
      </w:r>
      <w:r>
        <w:rPr>
          <w:i/>
          <w:iCs/>
        </w:rPr>
        <w:t xml:space="preserve">p</w:t>
      </w:r>
      <w:r>
        <w:t xml:space="preserve"> </w:t>
      </w:r>
      <w:r>
        <w:t xml:space="preserve">value and the verdict 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2" w:name="tbl-tost"/>
          <w:p>
            <w:pPr>
              <w:jc w:val="center"/>
            </w:pPr>
            <w:pPr>
              <w:jc w:val="left"/>
              <w:spacing w:before="200"/>
              <w:pStyle w:val="ImageCaption"/>
            </w:pPr>
            <w:r>
              <w:t xml:space="preserve">Table 2:</w:t>
            </w:r>
            <w:r>
              <w:t xml:space="preserve"> </w:t>
            </w:r>
            <w:r>
              <w:rPr>
                <w:i/>
                <w:iCs/>
              </w:rPr>
              <w:t xml:space="preserve">Equivalence (TOST) Results for the Controlled Dimensions.</w:t>
            </w:r>
            <w:r>
              <w:t xml:space="preserve"> </w:t>
            </w:r>
            <w:r>
              <w:rPr>
                <w:i/>
                <w:iCs/>
              </w:rPr>
              <w:t xml:space="preserve">Note.</w:t>
            </w:r>
            <w:r>
              <w:t xml:space="preserve"> </w:t>
            </w:r>
            <w:r>
              <w:t xml:space="preserve">For each demonstration’s controlled (matched) dimensions: the absolute standardised mean difference against the anchor, the equivalence-test</w:t>
            </w:r>
            <w:r>
              <w:t xml:space="preserve"> </w:t>
            </w:r>
            <w:r>
              <w:rPr>
                <w:i/>
                <w:iCs/>
              </w:rPr>
              <w:t xml:space="preserve">p</w:t>
            </w:r>
            <w:r>
              <w:t xml:space="preserve"> </w:t>
            </w:r>
            <w:r>
              <w:t xml:space="preserve">value at the 0.5-</w:t>
            </w:r>
            <w:r>
              <w:rPr>
                <w:i/>
                <w:iCs/>
              </w:rPr>
              <w:t xml:space="preserve">SD</w:t>
            </w:r>
            <w:r>
              <w:t xml:space="preserve"> </w:t>
            </w:r>
            <w:r>
              <w:t xml:space="preserve">bound and the verdict at the .05 level. R engine.</w:t>
            </w:r>
          </w:p>
          <w:tbl>
            <w:tblPr>
              <w:tblStyle w:val="Table"/>
              <w:tblW w:type="pct" w:w="5000"/>
              <w:tblLayout w:type="fixed"/>
              <w:tblLook w:firstRow="1" w:lastRow="0" w:firstColumn="0" w:lastColumn="0" w:noHBand="0" w:noVBand="0" w:val="0020"/>
            </w:tblPr>
            <w:tblGrid>
              <w:gridCol w:w="3128"/>
              <w:gridCol w:w="1662"/>
              <w:gridCol w:w="1368"/>
              <w:gridCol w:w="684"/>
              <w:gridCol w:w="1075"/>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|d|</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English: frequency contrast</w:t>
                  </w:r>
                </w:p>
              </w:tc>
              <w:tc>
                <w:tcPr/>
                <w:p>
                  <w:pPr>
                    <w:pStyle w:val="Compact"/>
                    <w:jc w:val="left"/>
                    <w:jc w:val="center"/>
                  </w:pPr>
                  <w:r>
                    <w:t xml:space="preserve">Length (letters)</w:t>
                  </w:r>
                </w:p>
              </w:tc>
              <w:tc>
                <w:tcPr/>
                <w:p>
                  <w:pPr>
                    <w:pStyle w:val="Compact"/>
                    <w:jc w:val="right"/>
                    <w:jc w:val="center"/>
                  </w:pPr>
                  <w:r>
                    <w:t xml:space="preserve">0.000</w:t>
                  </w:r>
                </w:p>
              </w:tc>
              <w:tc>
                <w:tcPr/>
                <w:p>
                  <w:pPr>
                    <w:pStyle w:val="Compact"/>
                    <w:jc w:val="right"/>
                    <w:jc w:val="center"/>
                  </w:pPr>
                  <w:r>
                    <w:t xml:space="preserve">0.029</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0.058</w:t>
                  </w:r>
                </w:p>
              </w:tc>
              <w:tc>
                <w:tcPr/>
                <w:p>
                  <w:pPr>
                    <w:pStyle w:val="Compact"/>
                    <w:jc w:val="right"/>
                    <w:jc w:val="center"/>
                  </w:pPr>
                  <w:r>
                    <w:t xml:space="preserve">0.046</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0.007</w:t>
                  </w:r>
                </w:p>
              </w:tc>
              <w:tc>
                <w:tcPr/>
                <w:p>
                  <w:pPr>
                    <w:pStyle w:val="Compact"/>
                    <w:jc w:val="right"/>
                    <w:jc w:val="center"/>
                  </w:pPr>
                  <w:r>
                    <w:t xml:space="preserve">0.030</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 (letters)</w:t>
                  </w:r>
                </w:p>
              </w:tc>
              <w:tc>
                <w:tcPr/>
                <w:p>
                  <w:pPr>
                    <w:pStyle w:val="Compact"/>
                    <w:jc w:val="right"/>
                    <w:jc w:val="center"/>
                  </w:pPr>
                  <w:r>
                    <w:t xml:space="preserve">0.051</w:t>
                  </w:r>
                </w:p>
              </w:tc>
              <w:tc>
                <w:tcPr/>
                <w:p>
                  <w:pPr>
                    <w:pStyle w:val="Compact"/>
                    <w:jc w:val="right"/>
                    <w:jc w:val="center"/>
                  </w:pPr>
                  <w:r>
                    <w:t xml:space="preserve">0.063</w:t>
                  </w:r>
                </w:p>
              </w:tc>
              <w:tc>
                <w:tcPr/>
                <w:p>
                  <w:pPr>
                    <w:pStyle w:val="Compact"/>
                    <w:jc w:val="left"/>
                    <w:jc w:val="center"/>
                  </w:pPr>
                  <w:r>
                    <w:t xml:space="preserve">FALSE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0.226</w:t>
                  </w:r>
                </w:p>
              </w:tc>
              <w:tc>
                <w:tcPr/>
                <w:p>
                  <w:pPr>
                    <w:pStyle w:val="Compact"/>
                    <w:jc w:val="right"/>
                    <w:jc w:val="center"/>
                  </w:pPr>
                  <w:r>
                    <w:t xml:space="preserve">0.174</w:t>
                  </w:r>
                </w:p>
              </w:tc>
              <w:tc>
                <w:tcPr/>
                <w:p>
                  <w:pPr>
                    <w:pStyle w:val="Compact"/>
                    <w:jc w:val="left"/>
                    <w:jc w:val="center"/>
                  </w:pPr>
                  <w:r>
                    <w:t xml:space="preserve">FALSE</w:t>
                  </w:r>
                </w:p>
              </w:tc>
            </w:tr>
            <w:tr>
              <w:tc>
                <w:tcPr/>
                <w:p>
                  <w:pPr>
                    <w:pStyle w:val="Compact"/>
                    <w:jc w:val="left"/>
                    <w:jc w:val="center"/>
                  </w:pPr>
                  <w:r>
                    <w:t xml:space="preserve">Spanish: frequency contrast</w:t>
                  </w:r>
                </w:p>
              </w:tc>
              <w:tc>
                <w:tcPr/>
                <w:p>
                  <w:pPr>
                    <w:pStyle w:val="Compact"/>
                    <w:jc w:val="left"/>
                    <w:jc w:val="center"/>
                  </w:pPr>
                  <w:r>
                    <w:t xml:space="preserve">Length (letters)</w:t>
                  </w:r>
                </w:p>
              </w:tc>
              <w:tc>
                <w:tcPr/>
                <w:p>
                  <w:pPr>
                    <w:pStyle w:val="Compact"/>
                    <w:jc w:val="right"/>
                    <w:jc w:val="center"/>
                  </w:pPr>
                  <w:r>
                    <w:t xml:space="preserve">0.000</w:t>
                  </w:r>
                </w:p>
              </w:tc>
              <w:tc>
                <w:tcPr/>
                <w:p>
                  <w:pPr>
                    <w:pStyle w:val="Compact"/>
                    <w:jc w:val="right"/>
                    <w:jc w:val="center"/>
                  </w:pPr>
                  <w:r>
                    <w:t xml:space="preserve">0.029</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left"/>
                    <w:jc w:val="center"/>
                  </w:pPr>
                  <w:r>
                    <w:t xml:space="preserve">FALSE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0.005</w:t>
                  </w:r>
                </w:p>
              </w:tc>
              <w:tc>
                <w:tcPr/>
                <w:p>
                  <w:pPr>
                    <w:pStyle w:val="Compact"/>
                    <w:jc w:val="right"/>
                    <w:jc w:val="center"/>
                  </w:pPr>
                  <w:r>
                    <w:t xml:space="preserve">0.030</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 (letters)</w:t>
                  </w:r>
                </w:p>
              </w:tc>
              <w:tc>
                <w:tcPr/>
                <w:p>
                  <w:pPr>
                    <w:pStyle w:val="Compact"/>
                    <w:jc w:val="right"/>
                    <w:jc w:val="center"/>
                  </w:pPr>
                  <w:r>
                    <w:t xml:space="preserve">0.063</w:t>
                  </w:r>
                </w:p>
              </w:tc>
              <w:tc>
                <w:tcPr/>
                <w:p>
                  <w:pPr>
                    <w:pStyle w:val="Compact"/>
                    <w:jc w:val="right"/>
                    <w:jc w:val="center"/>
                  </w:pPr>
                  <w:r>
                    <w:t xml:space="preserve">0.069</w:t>
                  </w:r>
                </w:p>
              </w:tc>
              <w:tc>
                <w:tcPr/>
                <w:p>
                  <w:pPr>
                    <w:pStyle w:val="Compact"/>
                    <w:jc w:val="left"/>
                    <w:jc w:val="center"/>
                  </w:pPr>
                  <w:r>
                    <w:t xml:space="preserve">FALSE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0.125</w:t>
                  </w:r>
                </w:p>
              </w:tc>
              <w:tc>
                <w:tcPr/>
                <w:p>
                  <w:pPr>
                    <w:pStyle w:val="Compact"/>
                    <w:jc w:val="right"/>
                    <w:jc w:val="center"/>
                  </w:pPr>
                  <w:r>
                    <w:t xml:space="preserve">0.100</w:t>
                  </w:r>
                </w:p>
              </w:tc>
              <w:tc>
                <w:tcPr/>
                <w:p>
                  <w:pPr>
                    <w:pStyle w:val="Compact"/>
                    <w:jc w:val="left"/>
                    <w:jc w:val="center"/>
                  </w:pPr>
                  <w:r>
                    <w:t xml:space="preserve">FALSE</w:t>
                  </w:r>
                </w:p>
              </w:tc>
            </w:tr>
          </w:tbl>
          <w:bookmarkEnd w:id="22"/>
          <w:p/>
        </w:tc>
      </w:tr>
    </w:tbl>
    <w:p>
      <w:pPr>
        <w:pStyle w:val="BodyText"/>
      </w:pPr>
      <w:r>
        <w:t xml:space="preserve">Several controlled dimensions are not declared equivalent at the 0.5-</w:t>
      </w:r>
      <w:r>
        <w:rPr>
          <w:i/>
          <w:iCs/>
        </w:rPr>
        <w:t xml:space="preserve">SD</w:t>
      </w:r>
      <w:r>
        <w:t xml:space="preserve"> </w:t>
      </w:r>
      <w:r>
        <w:t xml:space="preserve">bound.</w:t>
      </w:r>
      <w:r>
        <w:t xml:space="preserve"> </w:t>
      </w:r>
      <w:r>
        <w:t xml:space="preserve">This reflects the low power of an equivalence test at the demonstration sample</w:t>
      </w:r>
      <w:r>
        <w:t xml:space="preserve"> </w:t>
      </w:r>
      <w:r>
        <w:t xml:space="preserve">sizes (</w:t>
      </w:r>
      <w:r>
        <w:rPr>
          <w:i/>
          <w:iCs/>
        </w:rPr>
        <w:t xml:space="preserve">n</w:t>
      </w:r>
      <w:r>
        <w:t xml:space="preserve"> </w:t>
      </w:r>
      <w:r>
        <w:t xml:space="preserve">= 24–30 per condition) rather than a matching failure: the</w:t>
      </w:r>
      <w:r>
        <w:t xml:space="preserve"> </w:t>
      </w:r>
      <w:r>
        <w:t xml:space="preserve">standardised mean differences are an order of magnitude below the manipulation,</w:t>
      </w:r>
      <w:r>
        <w:t xml:space="preserve"> </w:t>
      </w:r>
      <w:r>
        <w:t xml:space="preserve">and at the same effect sizes equivalence is declared once</w:t>
      </w:r>
      <w:r>
        <w:t xml:space="preserve"> </w:t>
      </w:r>
      <w:r>
        <w:rPr>
          <w:i/>
          <w:iCs/>
        </w:rPr>
        <w:t xml:space="preserve">n</w:t>
      </w:r>
      <w:r>
        <w:t xml:space="preserve"> </w:t>
      </w:r>
      <w:r>
        <w:t xml:space="preserve">is larger</w:t>
      </w:r>
      <w:r>
        <w:t xml:space="preserve"> </w:t>
      </w:r>
      <w:r>
        <w:t xml:space="preserve">(Lakens, 2017)</w:t>
      </w:r>
      <w:r>
        <w:t xml:space="preserve">. We therefore report the standardised mean difference</w:t>
      </w:r>
      <w:r>
        <w:t xml:space="preserve"> </w:t>
      </w:r>
      <w:r>
        <w:t xml:space="preserve">and the TOST together and read the latter as a conservative check.</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3"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56"/>
              <w:gridCol w:w="2103"/>
              <w:gridCol w:w="371"/>
              <w:gridCol w:w="742"/>
              <w:gridCol w:w="742"/>
              <w:gridCol w:w="495"/>
              <w:gridCol w:w="866"/>
              <w:gridCol w:w="742"/>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5.592</w:t>
                  </w:r>
                </w:p>
              </w:tc>
              <w:tc>
                <w:tcPr/>
                <w:p>
                  <w:pPr>
                    <w:pStyle w:val="Compact"/>
                    <w:jc w:val="right"/>
                    <w:jc w:val="center"/>
                  </w:pPr>
                  <w:r>
                    <w:t xml:space="preserve">0.408</w:t>
                  </w:r>
                </w:p>
              </w:tc>
              <w:tc>
                <w:tcPr/>
                <w:p>
                  <w:pPr>
                    <w:pStyle w:val="Compact"/>
                    <w:jc w:val="right"/>
                    <w:jc w:val="center"/>
                  </w:pPr>
                  <w:r>
                    <w:t xml:space="preserve">5.2</w:t>
                  </w:r>
                </w:p>
              </w:tc>
              <w:tc>
                <w:tcPr/>
                <w:p>
                  <w:pPr>
                    <w:pStyle w:val="Compact"/>
                    <w:jc w:val="right"/>
                    <w:jc w:val="center"/>
                  </w:pPr>
                  <w:r>
                    <w:t xml:space="preserve">5.460</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3.933</w:t>
                  </w:r>
                </w:p>
              </w:tc>
              <w:tc>
                <w:tcPr/>
                <w:p>
                  <w:pPr>
                    <w:pStyle w:val="Compact"/>
                    <w:jc w:val="right"/>
                    <w:jc w:val="center"/>
                  </w:pPr>
                  <w:r>
                    <w:t xml:space="preserve">4.913</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19.00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1.873</w:t>
                  </w:r>
                </w:p>
              </w:tc>
              <w:tc>
                <w:tcPr/>
                <w:p>
                  <w:pPr>
                    <w:pStyle w:val="Compact"/>
                    <w:jc w:val="right"/>
                    <w:jc w:val="center"/>
                  </w:pPr>
                  <w:r>
                    <w:t xml:space="preserve">0.507</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2.95</w:t>
                  </w:r>
                </w:p>
              </w:tc>
            </w:tr>
            <w:tr>
              <w:tc>
                <w:tcPr/>
                <w:p>
                  <w:pPr>
                    <w:pStyle w:val="Compact"/>
                    <w:jc w:val="left"/>
                    <w:jc w:val="center"/>
                  </w:pPr>
                  <w:r>
                    <w:t xml:space="preserve">low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4.115</w:t>
                  </w:r>
                </w:p>
              </w:tc>
              <w:tc>
                <w:tcPr/>
                <w:p>
                  <w:pPr>
                    <w:pStyle w:val="Compact"/>
                    <w:jc w:val="right"/>
                    <w:jc w:val="center"/>
                  </w:pPr>
                  <w:r>
                    <w:t xml:space="preserve">0.183</w:t>
                  </w:r>
                </w:p>
              </w:tc>
              <w:tc>
                <w:tcPr/>
                <w:p>
                  <w:pPr>
                    <w:pStyle w:val="Compact"/>
                    <w:jc w:val="right"/>
                    <w:jc w:val="center"/>
                  </w:pPr>
                  <w:r>
                    <w:t xml:space="preserve">3.8</w:t>
                  </w:r>
                </w:p>
              </w:tc>
              <w:tc>
                <w:tcPr/>
                <w:p>
                  <w:pPr>
                    <w:pStyle w:val="Compact"/>
                    <w:jc w:val="right"/>
                    <w:jc w:val="center"/>
                  </w:pPr>
                  <w:r>
                    <w:t xml:space="preserve">4.125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3.667</w:t>
                  </w:r>
                </w:p>
              </w:tc>
              <w:tc>
                <w:tcPr/>
                <w:p>
                  <w:pPr>
                    <w:pStyle w:val="Compact"/>
                    <w:jc w:val="right"/>
                    <w:jc w:val="center"/>
                  </w:pPr>
                  <w:r>
                    <w:t xml:space="preserve">4.205</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13.00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1.870</w:t>
                  </w:r>
                </w:p>
              </w:tc>
              <w:tc>
                <w:tcPr/>
                <w:p>
                  <w:pPr>
                    <w:pStyle w:val="Compact"/>
                    <w:jc w:val="right"/>
                    <w:jc w:val="center"/>
                  </w:pPr>
                  <w:r>
                    <w:t xml:space="preserve">0.500</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2.85</w:t>
                  </w:r>
                </w:p>
              </w:tc>
            </w:tr>
          </w:tbl>
          <w:bookmarkEnd w:id="2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3.792</w:t>
                  </w:r>
                </w:p>
              </w:tc>
              <w:tc>
                <w:tcPr/>
                <w:p>
                  <w:pPr>
                    <w:pStyle w:val="Compact"/>
                    <w:jc w:val="right"/>
                    <w:jc w:val="center"/>
                  </w:pPr>
                  <w:r>
                    <w:t xml:space="preserve">0.884</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4.700</w:t>
                  </w:r>
                </w:p>
              </w:tc>
              <w:tc>
                <w:tcPr/>
                <w:p>
                  <w:pPr>
                    <w:pStyle w:val="Compact"/>
                    <w:jc w:val="right"/>
                    <w:jc w:val="center"/>
                  </w:pPr>
                  <w:r>
                    <w:t xml:space="preserve">0.665</w:t>
                  </w:r>
                </w:p>
              </w:tc>
              <w:tc>
                <w:tcPr/>
                <w:p>
                  <w:pPr>
                    <w:pStyle w:val="Compact"/>
                    <w:jc w:val="right"/>
                    <w:jc w:val="center"/>
                  </w:pPr>
                  <w:r>
                    <w:t xml:space="preserve">3.85</w:t>
                  </w:r>
                </w:p>
              </w:tc>
              <w:tc>
                <w:tcPr/>
                <w:p>
                  <w:pPr>
                    <w:pStyle w:val="Compact"/>
                    <w:jc w:val="right"/>
                    <w:jc w:val="center"/>
                  </w:pPr>
                  <w:r>
                    <w:t xml:space="preserve">4.580</w:t>
                  </w:r>
                </w:p>
              </w:tc>
              <w:tc>
                <w:tcPr/>
                <w:p>
                  <w:pPr>
                    <w:pStyle w:val="Compact"/>
                    <w:jc w:val="right"/>
                    <w:jc w:val="center"/>
                  </w:pPr>
                  <w:r>
                    <w:t xml:space="preserve">6.13</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8.708</w:t>
                  </w:r>
                </w:p>
              </w:tc>
              <w:tc>
                <w:tcPr/>
                <w:p>
                  <w:pPr>
                    <w:pStyle w:val="Compact"/>
                    <w:jc w:val="right"/>
                    <w:jc w:val="center"/>
                  </w:pPr>
                  <w:r>
                    <w:t xml:space="preserve">4.217</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23.00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1.438</w:t>
                  </w:r>
                </w:p>
              </w:tc>
              <w:tc>
                <w:tcPr/>
                <w:p>
                  <w:pPr>
                    <w:pStyle w:val="Compact"/>
                    <w:jc w:val="right"/>
                    <w:jc w:val="center"/>
                  </w:pPr>
                  <w:r>
                    <w:t xml:space="preserve">0.227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3.833</w:t>
                  </w:r>
                </w:p>
              </w:tc>
              <w:tc>
                <w:tcPr/>
                <w:p>
                  <w:pPr>
                    <w:pStyle w:val="Compact"/>
                    <w:jc w:val="right"/>
                    <w:jc w:val="center"/>
                  </w:pPr>
                  <w:r>
                    <w:t xml:space="preserve">0.761</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5.00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4.570</w:t>
                  </w:r>
                </w:p>
              </w:tc>
              <w:tc>
                <w:tcPr/>
                <w:p>
                  <w:pPr>
                    <w:pStyle w:val="Compact"/>
                    <w:jc w:val="right"/>
                    <w:jc w:val="center"/>
                  </w:pPr>
                  <w:r>
                    <w:t xml:space="preserve">0.467</w:t>
                  </w:r>
                </w:p>
              </w:tc>
              <w:tc>
                <w:tcPr/>
                <w:p>
                  <w:pPr>
                    <w:pStyle w:val="Compact"/>
                    <w:jc w:val="right"/>
                    <w:jc w:val="center"/>
                  </w:pPr>
                  <w:r>
                    <w:t xml:space="preserve">4.04</w:t>
                  </w:r>
                </w:p>
              </w:tc>
              <w:tc>
                <w:tcPr/>
                <w:p>
                  <w:pPr>
                    <w:pStyle w:val="Compact"/>
                    <w:jc w:val="right"/>
                    <w:jc w:val="center"/>
                  </w:pPr>
                  <w:r>
                    <w:t xml:space="preserve">4.475</w:t>
                  </w:r>
                </w:p>
              </w:tc>
              <w:tc>
                <w:tcPr/>
                <w:p>
                  <w:pPr>
                    <w:pStyle w:val="Compact"/>
                    <w:jc w:val="right"/>
                    <w:jc w:val="center"/>
                  </w:pPr>
                  <w:r>
                    <w:t xml:space="preserve">5.36</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0.583</w:t>
                  </w:r>
                </w:p>
              </w:tc>
              <w:tc>
                <w:tcPr/>
                <w:p>
                  <w:pPr>
                    <w:pStyle w:val="Compact"/>
                    <w:jc w:val="right"/>
                    <w:jc w:val="center"/>
                  </w:pPr>
                  <w:r>
                    <w:t xml:space="preserve">0.504</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1.958</w:t>
                  </w:r>
                </w:p>
              </w:tc>
              <w:tc>
                <w:tcPr/>
                <w:p>
                  <w:pPr>
                    <w:pStyle w:val="Compact"/>
                    <w:jc w:val="right"/>
                    <w:jc w:val="center"/>
                  </w:pPr>
                  <w:r>
                    <w:t xml:space="preserve">0.260</w:t>
                  </w:r>
                </w:p>
              </w:tc>
              <w:tc>
                <w:tcPr/>
                <w:p>
                  <w:pPr>
                    <w:pStyle w:val="Compact"/>
                    <w:jc w:val="right"/>
                    <w:jc w:val="center"/>
                  </w:pPr>
                  <w:r>
                    <w:t xml:space="preserve">1.40</w:t>
                  </w:r>
                </w:p>
              </w:tc>
              <w:tc>
                <w:tcPr/>
                <w:p>
                  <w:pPr>
                    <w:pStyle w:val="Compact"/>
                    <w:jc w:val="right"/>
                    <w:jc w:val="center"/>
                  </w:pPr>
                  <w:r>
                    <w:t xml:space="preserve">1.900</w:t>
                  </w:r>
                </w:p>
              </w:tc>
              <w:tc>
                <w:tcPr/>
                <w:p>
                  <w:pPr>
                    <w:pStyle w:val="Compact"/>
                    <w:jc w:val="right"/>
                    <w:jc w:val="center"/>
                  </w:pPr>
                  <w:r>
                    <w:t xml:space="preserve">2.80</w:t>
                  </w:r>
                </w:p>
              </w:tc>
            </w:tr>
          </w:tbl>
          <w:bookmarkEnd w:id="24"/>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four</w:t>
      </w:r>
      <w:r>
        <w:t xml:space="preserve"> </w:t>
      </w:r>
      <w:r>
        <w:t xml:space="preserve">demonstrations</w:t>
      </w:r>
      <w:r>
        <w:t xml:space="preserve"> </w:t>
      </w:r>
      <w:r>
        <w:t xml:space="preserve">all 216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5</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5" w:name="tbl-parity"/>
          <w:p>
            <w:pPr>
              <w:jc w:val="center"/>
            </w:pPr>
            <w:pPr>
              <w:jc w:val="left"/>
              <w:spacing w:before="200"/>
              <w:pStyle w:val="ImageCaption"/>
            </w:pPr>
            <w:r>
              <w:t xml:space="preserve">Table 5:</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 (letters)</w:t>
                  </w:r>
                </w:p>
              </w:tc>
              <w:tc>
                <w:tcPr/>
                <w:p>
                  <w:pPr>
                    <w:pStyle w:val="Compact"/>
                    <w:jc w:val="right"/>
                    <w:jc w:val="center"/>
                  </w:pPr>
                  <w:r>
                    <w:t xml:space="preserve">0.000</w:t>
                  </w:r>
                </w:p>
              </w:tc>
              <w:tc>
                <w:tcPr/>
                <w:p>
                  <w:pPr>
                    <w:pStyle w:val="Compact"/>
                    <w:jc w:val="right"/>
                    <w:jc w:val="center"/>
                  </w:pPr>
                  <w:r>
                    <w:t xml:space="preserve">0.000</w:t>
                  </w:r>
                </w:p>
              </w:tc>
            </w:tr>
            <w:tr>
              <w:tc>
                <w:tcPr/>
                <w:p>
                  <w:pPr>
                    <w:pStyle w:val="Compact"/>
                    <w:jc w:val="left"/>
                    <w:jc w:val="center"/>
                  </w:pPr>
                  <w:r>
                    <w:t xml:space="preserve">Frequency (Zipf)</w:t>
                  </w:r>
                </w:p>
              </w:tc>
              <w:tc>
                <w:tcPr/>
                <w:p>
                  <w:pPr>
                    <w:pStyle w:val="Compact"/>
                    <w:jc w:val="right"/>
                    <w:jc w:val="center"/>
                  </w:pPr>
                  <w:r>
                    <w:t xml:space="preserve">4.670</w:t>
                  </w:r>
                </w:p>
              </w:tc>
              <w:tc>
                <w:tcPr/>
                <w:p>
                  <w:pPr>
                    <w:pStyle w:val="Compact"/>
                    <w:jc w:val="right"/>
                    <w:jc w:val="center"/>
                  </w:pPr>
                  <w:r>
                    <w:t xml:space="preserve">4.670</w:t>
                  </w:r>
                </w:p>
              </w:tc>
            </w:tr>
            <w:tr>
              <w:tc>
                <w:tcPr/>
                <w:p>
                  <w:pPr>
                    <w:pStyle w:val="Compact"/>
                    <w:jc w:val="left"/>
                    <w:jc w:val="center"/>
                  </w:pPr>
                  <w:r>
                    <w:t xml:space="preserve">Neighbourhood N</w:t>
                  </w:r>
                </w:p>
              </w:tc>
              <w:tc>
                <w:tcPr/>
                <w:p>
                  <w:pPr>
                    <w:pStyle w:val="Compact"/>
                    <w:jc w:val="right"/>
                    <w:jc w:val="center"/>
                  </w:pPr>
                  <w:r>
                    <w:t xml:space="preserve">0.058</w:t>
                  </w:r>
                </w:p>
              </w:tc>
              <w:tc>
                <w:tcPr/>
                <w:p>
                  <w:pPr>
                    <w:pStyle w:val="Compact"/>
                    <w:jc w:val="right"/>
                    <w:jc w:val="center"/>
                  </w:pPr>
                  <w:r>
                    <w:t xml:space="preserve">0.058</w:t>
                  </w:r>
                </w:p>
              </w:tc>
            </w:tr>
            <w:tr>
              <w:tc>
                <w:tcPr/>
                <w:p>
                  <w:pPr>
                    <w:pStyle w:val="Compact"/>
                    <w:jc w:val="left"/>
                    <w:jc w:val="center"/>
                  </w:pPr>
                  <w:r>
                    <w:t xml:space="preserve">OLD20</w:t>
                  </w:r>
                </w:p>
              </w:tc>
              <w:tc>
                <w:tcPr/>
                <w:p>
                  <w:pPr>
                    <w:pStyle w:val="Compact"/>
                    <w:jc w:val="right"/>
                    <w:jc w:val="center"/>
                  </w:pPr>
                  <w:r>
                    <w:t xml:space="preserve">0.007</w:t>
                  </w:r>
                </w:p>
              </w:tc>
              <w:tc>
                <w:tcPr/>
                <w:p>
                  <w:pPr>
                    <w:pStyle w:val="Compact"/>
                    <w:jc w:val="right"/>
                    <w:jc w:val="center"/>
                  </w:pPr>
                  <w:r>
                    <w:t xml:space="preserve">0.007</w:t>
                  </w:r>
                </w:p>
              </w:tc>
            </w:tr>
          </w:tbl>
          <w:bookmarkEnd w:id="25"/>
          <w:p/>
        </w:tc>
      </w:tr>
    </w:tbl>
    <w:bookmarkEnd w:id="26"/>
    <w:bookmarkStart w:id="27"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the</w:t>
      </w:r>
      <w:r>
        <w:t xml:space="preserve"> </w:t>
      </w:r>
      <w:r>
        <w:t xml:space="preserve">‘PsychoPy’</w:t>
      </w:r>
      <w:r>
        <w:t xml:space="preserve"> </w:t>
      </w:r>
      <w:r>
        <w:t xml:space="preserve">export upgrades the sequence-ordered triggers of the original workflow</w:t>
      </w:r>
      <w:r>
        <w:t xml:space="preserve"> </w:t>
      </w:r>
      <w:r>
        <w:t xml:space="preserve">to genuine flip-locking, a concrete methodological improvement for ERP research.</w:t>
      </w:r>
    </w:p>
    <w:p>
      <w:pPr>
        <w:pStyle w:val="BodyText"/>
      </w:pPr>
      <w:r>
        <w:t xml:space="preserve">Several limitations should be stated plainly. The orthographic-neighbourhood</w:t>
      </w:r>
      <w:r>
        <w:t xml:space="preserve"> </w:t>
      </w:r>
      <w:r>
        <w:t xml:space="preserve">measures are defined for alphabetic scripts and require adaptation for</w:t>
      </w:r>
      <w:r>
        <w:t xml:space="preserve"> </w:t>
      </w:r>
      <w:r>
        <w:t xml:space="preserve">logographic languages. The</w:t>
      </w:r>
      <w:r>
        <w:t xml:space="preserve"> </w:t>
      </w:r>
      <w:r>
        <w:t xml:space="preserve">‘OpenSesame’</w:t>
      </w:r>
      <w:r>
        <w:t xml:space="preserve"> </w:t>
      </w:r>
      <w:r>
        <w:t xml:space="preserve">export is sequence-ordered rather than</w:t>
      </w:r>
      <w:r>
        <w:t xml:space="preserve"> </w:t>
      </w:r>
      <w:r>
        <w:t xml:space="preserve">flip-locked, reflecting the platform’s design; a photodiode check remains</w:t>
      </w:r>
      <w:r>
        <w:t xml:space="preserve"> </w:t>
      </w:r>
      <w:r>
        <w:t xml:space="preserve">advisable for any onset-critical study. The demonstrations use ten-thousand-word</w:t>
      </w:r>
      <w:r>
        <w:t xml:space="preserve"> </w:t>
      </w:r>
      <w:r>
        <w:t xml:space="preserve">lexica, which are adequate for illustration but smaller than a researcher would</w:t>
      </w:r>
      <w:r>
        <w:t xml:space="preserve"> </w:t>
      </w:r>
      <w:r>
        <w:t xml:space="preserve">use for a definitive neighbourhood calculation; larger corpora are fetched on</w:t>
      </w:r>
      <w:r>
        <w:t xml:space="preserve"> </w:t>
      </w:r>
      <w:r>
        <w:t xml:space="preserve">demand through the registry. Future work includes additional presentation targets,</w:t>
      </w:r>
      <w:r>
        <w:t xml:space="preserve"> </w:t>
      </w:r>
      <w:r>
        <w:t xml:space="preserve">a graphical interface and richer lexical dimensions such as concreteness and</w:t>
      </w:r>
      <w:r>
        <w:t xml:space="preserve"> </w:t>
      </w:r>
      <w:r>
        <w:t xml:space="preserve">age of acquisition, each of which slots into the existing module structure.</w:t>
      </w:r>
    </w:p>
    <w:bookmarkEnd w:id="27"/>
    <w:bookmarkStart w:id="29"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8"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p>
      <w:r>
        <w:br w:type="page"/>
      </w:r>
    </w:p>
    <w:bookmarkEnd w:id="28"/>
    <w:bookmarkEnd w:id="29"/>
    <w:bookmarkStart w:id="57" w:name="references"/>
    <w:p>
      <w:pPr>
        <w:pStyle w:val="Heading1"/>
      </w:pPr>
      <w:r>
        <w:t xml:space="preserve">References</w:t>
      </w:r>
    </w:p>
    <w:bookmarkStart w:id="56" w:name="refs"/>
    <w:bookmarkStart w:id="3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0">
        <w:r>
          <w:rPr>
            <w:rStyle w:val="Hyperlink"/>
          </w:rPr>
          <w:t xml:space="preserve">https://doi.org/10.3758/BRM.41.4.977</w:t>
        </w:r>
      </w:hyperlink>
    </w:p>
    <w:bookmarkEnd w:id="31"/>
    <w:bookmarkStart w:id="3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32"/>
    <w:bookmarkStart w:id="33"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33"/>
    <w:bookmarkStart w:id="35"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34">
        <w:r>
          <w:rPr>
            <w:rStyle w:val="Hyperlink"/>
          </w:rPr>
          <w:t xml:space="preserve">https://doi.org/10.1080/14790718.2024.2415993</w:t>
        </w:r>
      </w:hyperlink>
    </w:p>
    <w:bookmarkEnd w:id="35"/>
    <w:bookmarkStart w:id="37"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36">
        <w:r>
          <w:rPr>
            <w:rStyle w:val="Hyperlink"/>
          </w:rPr>
          <w:t xml:space="preserve">https://doi.org/10.1080/17470218.2013.850521</w:t>
        </w:r>
      </w:hyperlink>
    </w:p>
    <w:bookmarkEnd w:id="37"/>
    <w:bookmarkStart w:id="39"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38">
        <w:r>
          <w:rPr>
            <w:rStyle w:val="Hyperlink"/>
          </w:rPr>
          <w:t xml:space="preserve">https://doi.org/10.3758/s13428-024-02347-x</w:t>
        </w:r>
      </w:hyperlink>
    </w:p>
    <w:bookmarkEnd w:id="39"/>
    <w:bookmarkStart w:id="4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40">
        <w:r>
          <w:rPr>
            <w:rStyle w:val="Hyperlink"/>
          </w:rPr>
          <w:t xml:space="preserve">https://doi.org/10.1177/1948550617697177</w:t>
        </w:r>
      </w:hyperlink>
    </w:p>
    <w:bookmarkEnd w:id="41"/>
    <w:bookmarkStart w:id="4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42">
        <w:r>
          <w:rPr>
            <w:rStyle w:val="Hyperlink"/>
          </w:rPr>
          <w:t xml:space="preserve">https://doi.org/10.1016/j.mex.2021.101545</w:t>
        </w:r>
      </w:hyperlink>
    </w:p>
    <w:bookmarkEnd w:id="43"/>
    <w:bookmarkStart w:id="4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44">
        <w:r>
          <w:rPr>
            <w:rStyle w:val="Hyperlink"/>
          </w:rPr>
          <w:t xml:space="preserve">https://doi.org/10.3758/s13428-011-0168-7</w:t>
        </w:r>
      </w:hyperlink>
    </w:p>
    <w:bookmarkEnd w:id="45"/>
    <w:bookmarkStart w:id="4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46">
        <w:r>
          <w:rPr>
            <w:rStyle w:val="Hyperlink"/>
          </w:rPr>
          <w:t xml:space="preserve">https://doi.org/10.3758/s13428-018-01193-y</w:t>
        </w:r>
      </w:hyperlink>
    </w:p>
    <w:bookmarkEnd w:id="47"/>
    <w:bookmarkStart w:id="4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48">
        <w:r>
          <w:rPr>
            <w:rStyle w:val="Hyperlink"/>
          </w:rPr>
          <w:t xml:space="preserve">https://doi.org/10.5281/zenodo.7199437</w:t>
        </w:r>
      </w:hyperlink>
    </w:p>
    <w:bookmarkEnd w:id="49"/>
    <w:bookmarkStart w:id="5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50">
        <w:r>
          <w:rPr>
            <w:rStyle w:val="Hyperlink"/>
          </w:rPr>
          <w:t xml:space="preserve">https://doi.org/10.3758/s13428-020-01389-1</w:t>
        </w:r>
      </w:hyperlink>
    </w:p>
    <w:bookmarkEnd w:id="51"/>
    <w:bookmarkStart w:id="5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52">
        <w:r>
          <w:rPr>
            <w:rStyle w:val="Hyperlink"/>
          </w:rPr>
          <w:t xml:space="preserve">https://doi.org/10.1038/sdata.2016.18</w:t>
        </w:r>
      </w:hyperlink>
    </w:p>
    <w:bookmarkEnd w:id="53"/>
    <w:bookmarkStart w:id="5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54">
        <w:r>
          <w:rPr>
            <w:rStyle w:val="Hyperlink"/>
          </w:rPr>
          <w:t xml:space="preserve">https://doi.org/10.3758/pbr.15.5.971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2" Target="https://doi.org/10.1016/j.mex.2021.101545" TargetMode="External" /><Relationship Type="http://schemas.openxmlformats.org/officeDocument/2006/relationships/hyperlink" Id="rId52" Target="https://doi.org/10.1038/sdata.2016.18" TargetMode="External" /><Relationship Type="http://schemas.openxmlformats.org/officeDocument/2006/relationships/hyperlink" Id="rId34" Target="https://doi.org/10.1080/14790718.2024.2415993" TargetMode="External" /><Relationship Type="http://schemas.openxmlformats.org/officeDocument/2006/relationships/hyperlink" Id="rId36" Target="https://doi.org/10.1080/17470218.2013.850521" TargetMode="External" /><Relationship Type="http://schemas.openxmlformats.org/officeDocument/2006/relationships/hyperlink" Id="rId40" Target="https://doi.org/10.1177/1948550617697177" TargetMode="External" /><Relationship Type="http://schemas.openxmlformats.org/officeDocument/2006/relationships/hyperlink" Id="rId30" Target="https://doi.org/10.3758/BRM.41.4.977" TargetMode="External" /><Relationship Type="http://schemas.openxmlformats.org/officeDocument/2006/relationships/hyperlink" Id="rId54" Target="https://doi.org/10.3758/pbr.15.5.971" TargetMode="External" /><Relationship Type="http://schemas.openxmlformats.org/officeDocument/2006/relationships/hyperlink" Id="rId44" Target="https://doi.org/10.3758/s13428-011-0168-7" TargetMode="External" /><Relationship Type="http://schemas.openxmlformats.org/officeDocument/2006/relationships/hyperlink" Id="rId46" Target="https://doi.org/10.3758/s13428-018-01193-y" TargetMode="External" /><Relationship Type="http://schemas.openxmlformats.org/officeDocument/2006/relationships/hyperlink" Id="rId50" Target="https://doi.org/10.3758/s13428-020-01389-1" TargetMode="External" /><Relationship Type="http://schemas.openxmlformats.org/officeDocument/2006/relationships/hyperlink" Id="rId38" Target="https://doi.org/10.3758/s13428-024-02347-x" TargetMode="External" /><Relationship Type="http://schemas.openxmlformats.org/officeDocument/2006/relationships/hyperlink" Id="rId48"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mex.2021.101545" TargetMode="External" /><Relationship Type="http://schemas.openxmlformats.org/officeDocument/2006/relationships/hyperlink" Id="rId52" Target="https://doi.org/10.1038/sdata.2016.18" TargetMode="External" /><Relationship Type="http://schemas.openxmlformats.org/officeDocument/2006/relationships/hyperlink" Id="rId34" Target="https://doi.org/10.1080/14790718.2024.2415993" TargetMode="External" /><Relationship Type="http://schemas.openxmlformats.org/officeDocument/2006/relationships/hyperlink" Id="rId36" Target="https://doi.org/10.1080/17470218.2013.850521" TargetMode="External" /><Relationship Type="http://schemas.openxmlformats.org/officeDocument/2006/relationships/hyperlink" Id="rId40" Target="https://doi.org/10.1177/1948550617697177" TargetMode="External" /><Relationship Type="http://schemas.openxmlformats.org/officeDocument/2006/relationships/hyperlink" Id="rId30" Target="https://doi.org/10.3758/BRM.41.4.977" TargetMode="External" /><Relationship Type="http://schemas.openxmlformats.org/officeDocument/2006/relationships/hyperlink" Id="rId54" Target="https://doi.org/10.3758/pbr.15.5.971" TargetMode="External" /><Relationship Type="http://schemas.openxmlformats.org/officeDocument/2006/relationships/hyperlink" Id="rId44" Target="https://doi.org/10.3758/s13428-011-0168-7" TargetMode="External" /><Relationship Type="http://schemas.openxmlformats.org/officeDocument/2006/relationships/hyperlink" Id="rId46" Target="https://doi.org/10.3758/s13428-018-01193-y" TargetMode="External" /><Relationship Type="http://schemas.openxmlformats.org/officeDocument/2006/relationships/hyperlink" Id="rId50" Target="https://doi.org/10.3758/s13428-020-01389-1" TargetMode="External" /><Relationship Type="http://schemas.openxmlformats.org/officeDocument/2006/relationships/hyperlink" Id="rId38" Target="https://doi.org/10.3758/s13428-024-02347-x" TargetMode="External" /><Relationship Type="http://schemas.openxmlformats.org/officeDocument/2006/relationships/hyperlink" Id="rId48"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2026-06-07T22:55:37Z</dcterms:created>
  <dcterms:modified xsi:type="dcterms:W3CDTF">2026-06-07T22:55:37Z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with hardware triggers for electroencephalography — flip-locked to stimulus onset in the ‘PsychoPy’ target and sequence-ordered in the ‘OpenSesame’ target. The matching is deterministic, so the two engines select identical matched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2026-06-07</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