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2026-07-16</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w:t>
      </w:r>
      <w:r>
        <w:t xml:space="preserve"> </w:t>
      </w:r>
      <w:r>
        <w:t xml:space="preserve">‘OpenSesame’</w:t>
      </w:r>
      <w:r>
        <w:t xml:space="preserve"> </w:t>
      </w:r>
      <w:r>
        <w:t xml:space="preserve">and browser-based</w:t>
      </w:r>
      <w:r>
        <w:t xml:space="preserve"> </w:t>
      </w:r>
      <w:r>
        <w:t xml:space="preserve">‘jsPsych’</w:t>
      </w:r>
      <w:r>
        <w:t xml:space="preserve"> </w:t>
      </w:r>
      <w:r>
        <w:t xml:space="preserve">experiments.</w:t>
      </w:r>
      <w:r>
        <w:t xml:space="preserve"> </w:t>
      </w:r>
      <w:r>
        <w:t xml:space="preserve">The two laboratory targets time-lock their electroencephalography triggers to</w:t>
      </w:r>
      <w:r>
        <w:t xml:space="preserve"> </w:t>
      </w:r>
      <w:r>
        <w:t xml:space="preserve">stimulus onset. The trial is described declaratively as a sequence of events, so the</w:t>
      </w:r>
      <w:r>
        <w:t xml:space="preserve"> </w:t>
      </w:r>
      <w:r>
        <w:t xml:space="preserve">same engine builds factorial word studies, lexical decision with generated</w:t>
      </w:r>
      <w:r>
        <w:t xml:space="preserve"> </w:t>
      </w:r>
      <w:r>
        <w:t xml:space="preserve">pseudowords, priming and self-paced reading from configuration rather than code.</w:t>
      </w:r>
      <w:r>
        <w:t xml:space="preserve"> </w:t>
      </w:r>
      <w:r>
        <w:t xml:space="preserve">The default matching methods and the pseudoword generation are deterministic,</w:t>
      </w:r>
      <w:r>
        <w:t xml:space="preserve"> </w:t>
      </w:r>
      <w:r>
        <w:t xml:space="preserve">so the two engines select the same stimuli. We demonstrate this on twelve</w:t>
      </w:r>
      <w:r>
        <w:t xml:space="preserve"> </w:t>
      </w:r>
      <w:r>
        <w:t xml:space="preserve">worked examples in English, Spanish and Mandarin Chinese (across word,</w:t>
      </w:r>
      <w:r>
        <w:t xml:space="preserve"> </w:t>
      </w:r>
      <w:r>
        <w:t xml:space="preserve">pseudoword, paired and sentence stimuli), one of which shows that the workflow</w:t>
      </w:r>
      <w:r>
        <w:t xml:space="preserve"> </w:t>
      </w:r>
      <w:r>
        <w:t xml:space="preserve">extends to a logographic writing system, while three reproduce published</w:t>
      </w:r>
      <w:r>
        <w:t xml:space="preserve"> </w:t>
      </w:r>
      <w:r>
        <w:t xml:space="preserve">designs from the literature. The 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is general-purpose and treats the stimulus set</w:t>
      </w:r>
      <w:r>
        <w:t xml:space="preserve"> </w:t>
      </w:r>
      <w:r>
        <w:t xml:space="preserve">as a reproducible artefact, distributed under open licences with a</w:t>
      </w:r>
      <w:r>
        <w:t xml:space="preserve"> </w:t>
      </w:r>
      <w:r>
        <w:t xml:space="preserve">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2016)</w:t>
      </w:r>
      <w:r>
        <w:t xml:space="preserve"> </w:t>
      </w:r>
      <w:r>
        <w:t xml:space="preserve">(that research objects be findable, accessible,</w:t>
      </w:r>
      <w:r>
        <w:t xml:space="preserve"> </w:t>
      </w:r>
      <w:r>
        <w:t xml:space="preserve">interoperable and reusable)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This preparatory machinery is where a quiet reproducibility problem lives.</w:t>
      </w:r>
      <w:r>
        <w:t xml:space="preserve"> </w:t>
      </w:r>
      <w:r>
        <w:t xml:space="preserve">Surveys of open-science practice in linguistics find that experimental materials</w:t>
      </w:r>
      <w:r>
        <w:t xml:space="preserve"> </w:t>
      </w:r>
      <w:r>
        <w:t xml:space="preserve">are rarely shared: across a broad sample only about one article in six stated</w:t>
      </w:r>
      <w:r>
        <w:t xml:space="preserve"> </w:t>
      </w:r>
      <w:r>
        <w:t xml:space="preserve">that its materials were available, and the sharing of materials, data and</w:t>
      </w:r>
      <w:r>
        <w:t xml:space="preserve"> </w:t>
      </w:r>
      <w:r>
        <w:t xml:space="preserve">protocols has scarcely improved over a decade</w:t>
      </w:r>
      <w:r>
        <w:t xml:space="preserve"> </w:t>
      </w:r>
      <w:r>
        <w:t xml:space="preserve">(Bochynska et al., 2023)</w:t>
      </w:r>
      <w:r>
        <w:t xml:space="preserve">. Yet</w:t>
      </w:r>
      <w:r>
        <w:t xml:space="preserve"> </w:t>
      </w:r>
      <w:r>
        <w:t xml:space="preserve">materials are a precondition both for replicating a result and for judging how far</w:t>
      </w:r>
      <w:r>
        <w:t xml:space="preserve"> </w:t>
      </w:r>
      <w:r>
        <w:t xml:space="preserve">it generalises. The gap compounds an analytic one. Quantitative phonetic and</w:t>
      </w:r>
      <w:r>
        <w:t xml:space="preserve"> </w:t>
      </w:r>
      <w:r>
        <w:t xml:space="preserve">psycholinguistic work affords many undocumented choices (how a stimulus set is</w:t>
      </w:r>
      <w:r>
        <w:t xml:space="preserve"> </w:t>
      </w:r>
      <w:r>
        <w:t xml:space="preserve">assembled, how a measure is quantified), and exploiting this flexibility inflates</w:t>
      </w:r>
      <w:r>
        <w:t xml:space="preserve"> </w:t>
      </w:r>
      <w:r>
        <w:t xml:space="preserve">false positives</w:t>
      </w:r>
      <w:r>
        <w:t xml:space="preserve"> </w:t>
      </w:r>
      <w:r>
        <w:t xml:space="preserve">(</w:t>
      </w:r>
      <w:r>
        <w:t xml:space="preserve">Coretta et al.</w:t>
      </w:r>
      <w:r>
        <w:t xml:space="preserve">, 2023; Roettger, 2019; Roettger et al., 2019)</w:t>
      </w:r>
      <w:r>
        <w:t xml:space="preserve">. Transparent, runnable, shareable materials are part</w:t>
      </w:r>
      <w:r>
        <w:t xml:space="preserve"> </w:t>
      </w:r>
      <w:r>
        <w:t xml:space="preserve">of the remedy these authors call for.</w:t>
      </w:r>
    </w:p>
    <w:p>
      <w:pPr>
        <w:pStyle w:val="BodyText"/>
      </w:pPr>
      <w:r>
        <w:t xml:space="preserve">There is also a statistical reason to take materials seriously. The items in an</w:t>
      </w:r>
      <w:r>
        <w:t xml:space="preserve"> </w:t>
      </w:r>
      <w:r>
        <w:t xml:space="preserve">experiment are a sample from a larger population of possible items, and a</w:t>
      </w:r>
      <w:r>
        <w:t xml:space="preserve"> </w:t>
      </w:r>
      <w:r>
        <w:t xml:space="preserve">conclusion is meant to hold for that population, not merely for the words actually</w:t>
      </w:r>
      <w:r>
        <w:t xml:space="preserve"> </w:t>
      </w:r>
      <w:r>
        <w:t xml:space="preserve">shown. Treating items as a fixed rather than a random factor inflates Type I error</w:t>
      </w:r>
      <w:r>
        <w:t xml:space="preserve"> </w:t>
      </w:r>
      <w:r>
        <w:t xml:space="preserve">(the language-as-fixed-effect fallacy</w:t>
      </w:r>
      <w:r>
        <w:t xml:space="preserve"> </w:t>
      </w:r>
      <w:r>
        <w:t xml:space="preserve">(Clark, 1973)</w:t>
      </w:r>
      <w:r>
        <w:t xml:space="preserve">), and recent work</w:t>
      </w:r>
      <w:r>
        <w:t xml:space="preserve"> </w:t>
      </w:r>
      <w:r>
        <w:t xml:space="preserve">recasts the same point as a</w:t>
      </w:r>
      <w:r>
        <w:t xml:space="preserve"> </w:t>
      </w:r>
      <w:r>
        <w:rPr>
          <w:i/>
          <w:iCs/>
        </w:rPr>
        <w:t xml:space="preserve">generalizability crisis</w:t>
      </w:r>
      <w:r>
        <w:t xml:space="preserve">: researchers routinely model</w:t>
      </w:r>
      <w:r>
        <w:t xml:space="preserve"> </w:t>
      </w:r>
      <w:r>
        <w:t xml:space="preserve">participants as a random factor but not stimuli, and so claim more than their</w:t>
      </w:r>
      <w:r>
        <w:t xml:space="preserve"> </w:t>
      </w:r>
      <w:r>
        <w:t xml:space="preserve">designs license</w:t>
      </w:r>
      <w:r>
        <w:t xml:space="preserve"> </w:t>
      </w:r>
      <w:r>
        <w:t xml:space="preserve">(Yarkoni, 2022)</w:t>
      </w:r>
      <w:r>
        <w:t xml:space="preserve">. A tool that makes the construction</w:t>
      </w:r>
      <w:r>
        <w:t xml:space="preserve"> </w:t>
      </w:r>
      <w:r>
        <w:t xml:space="preserve">of a matched, balanced item set explicit, reproducible and shareable is therefore</w:t>
      </w:r>
      <w:r>
        <w:t xml:space="preserve"> </w:t>
      </w:r>
      <w:r>
        <w:t xml:space="preserve">part of the methodological infrastructure that careful inference requires.</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genetic (evolutionary)</w:t>
      </w:r>
      <w:r>
        <w:t xml:space="preserve"> </w:t>
      </w:r>
      <w:r>
        <w:t xml:space="preserve">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one of integration rather than of capability.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one longitudinal artificial-grammar EEG study, for</w:t>
      </w:r>
      <w:r>
        <w:t xml:space="preserve"> </w:t>
      </w:r>
      <w:r>
        <w:t xml:space="preserve">instance</w:t>
      </w:r>
      <w:r>
        <w:t xml:space="preserve"> </w:t>
      </w:r>
      <w:r>
        <w:t xml:space="preserve">(González Alonso et al., 2025)</w:t>
      </w:r>
      <w:r>
        <w:t xml:space="preserve">, EEG markers were sent from an experiment item</w:t>
      </w:r>
      <w:r>
        <w:t xml:space="preserve"> </w:t>
      </w:r>
      <w:r>
        <w:t xml:space="preserve">that followed the word, so that only the first marker was even approximately</w:t>
      </w:r>
      <w:r>
        <w:t xml:space="preserve"> </w:t>
      </w:r>
      <w:r>
        <w:t xml:space="preserve">aligned with stimulus onset. The others were sequence-ordered. This is a common</w:t>
      </w:r>
      <w:r>
        <w:t xml:space="preserve"> </w:t>
      </w:r>
      <w:r>
        <w:t xml:space="preserve">pattern and an avoidable source of jitter.</w:t>
      </w:r>
    </w:p>
    <w:p>
      <w:pPr>
        <w:pStyle w:val="BodyText"/>
      </w:pPr>
      <w:r>
        <w:t xml:space="preserve">We present</w:t>
      </w:r>
      <w:r>
        <w:t xml:space="preserve"> </w:t>
      </w:r>
      <w:r>
        <w:t xml:space="preserve">‘lexsync’</w:t>
      </w:r>
      <w:r>
        <w:t xml:space="preserve">, a toolkit that fills these gaps. It is released as two</w:t>
      </w:r>
      <w:r>
        <w:t xml:space="preserve"> </w:t>
      </w:r>
      <w:r>
        <w:t xml:space="preserve">independent but structurally identical packages (a</w:t>
      </w:r>
      <w:r>
        <w:t xml:space="preserve"> </w:t>
      </w:r>
      <w:r>
        <w:t xml:space="preserve">‘CRAN’</w:t>
      </w:r>
      <w:r>
        <w:t xml:space="preserve">-ready R package and a</w:t>
      </w:r>
      <w:r>
        <w:t xml:space="preserve"> </w:t>
      </w:r>
      <w:r>
        <w:t xml:space="preserve">‘PyPI’</w:t>
      </w:r>
      <w:r>
        <w:t xml:space="preserve">-ready Python package)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It then writes a</w:t>
      </w:r>
      <w:r>
        <w:t xml:space="preserve"> </w:t>
      </w:r>
      <w:r>
        <w:t xml:space="preserve">‘PsychoPy’</w:t>
      </w:r>
      <w:r>
        <w:t xml:space="preserve"> </w:t>
      </w:r>
      <w:r>
        <w:t xml:space="preserve">script in which each onset trigger is</w:t>
      </w:r>
      <w:r>
        <w:t xml:space="preserve"> </w:t>
      </w:r>
      <w:r>
        <w:t xml:space="preserve">bound, using</w:t>
      </w:r>
      <w:r>
        <w:t xml:space="preserve"> </w:t>
      </w:r>
      <w:r>
        <w:rPr>
          <w:rStyle w:val="VerbatimChar"/>
        </w:rPr>
        <w:t xml:space="preserve">win.callOnFlip</w:t>
      </w:r>
      <w:r>
        <w:t xml:space="preserve">, to the exact screen flip on which the critical</w:t>
      </w:r>
      <w:r>
        <w:t xml:space="preserve"> </w:t>
      </w:r>
      <w:r>
        <w:t xml:space="preserve">stimulus appears, together with a complete</w:t>
      </w:r>
      <w:r>
        <w:t xml:space="preserve"> </w:t>
      </w:r>
      <w:r>
        <w:t xml:space="preserve">‘OpenSesame’</w:t>
      </w:r>
      <w:r>
        <w:t xml:space="preserve"> </w:t>
      </w:r>
      <w:r>
        <w:t xml:space="preserve">experiment. Crucially</w:t>
      </w:r>
      <w:r>
        <w:t xml:space="preserve"> </w:t>
      </w:r>
      <w:r>
        <w:t xml:space="preserve">the default matching methods are deterministic, so the R and Python engines</w:t>
      </w:r>
      <w:r>
        <w:t xml:space="preserve"> </w:t>
      </w:r>
      <w:r>
        <w:t xml:space="preserve">select identical materials.</w:t>
      </w:r>
      <w:r>
        <w:t xml:space="preserve"> </w:t>
      </w:r>
      <w:r>
        <w:t xml:space="preserve">The trial itself is not hard-wired to a single task: a design declares an ordered</w:t>
      </w:r>
      <w:r>
        <w:t xml:space="preserve"> </w:t>
      </w:r>
      <w:r>
        <w:t xml:space="preserve">sequence of trial</w:t>
      </w:r>
      <w:r>
        <w:t xml:space="preserve"> </w:t>
      </w:r>
      <w:r>
        <w:rPr>
          <w:i/>
          <w:iCs/>
        </w:rPr>
        <w:t xml:space="preserve">events</w:t>
      </w:r>
      <w:r>
        <w:t xml:space="preserve">, and each presentation backend renders that sequence,</w:t>
      </w:r>
      <w:r>
        <w:t xml:space="preserve"> </w:t>
      </w:r>
      <w:r>
        <w:t xml:space="preserve">so the same machinery produces a factorial word study, a lexical-decision task</w:t>
      </w:r>
      <w:r>
        <w:t xml:space="preserve"> </w:t>
      </w:r>
      <w:r>
        <w:t xml:space="preserve">with generated pseudowords, a primed design or a self-paced reading study from</w:t>
      </w:r>
      <w:r>
        <w:t xml:space="preserve"> </w:t>
      </w:r>
      <w:r>
        <w:t xml:space="preserve">configuration rather than new code.</w:t>
      </w:r>
      <w:r>
        <w:t xml:space="preserve"> </w:t>
      </w:r>
      <w:r>
        <w:t xml:space="preserve">‘lexsync’</w:t>
      </w:r>
      <w:r>
        <w:t xml:space="preserve"> </w:t>
      </w:r>
      <w:r>
        <w:t xml:space="preserve">is thus a reusable, FAIR-compliant</w:t>
      </w:r>
      <w:r>
        <w:t xml:space="preserve"> </w:t>
      </w:r>
      <w:r>
        <w:t xml:space="preserve">tool for many psycholinguistic paradigms and languages rather than a single</w:t>
      </w:r>
      <w:r>
        <w:t xml:space="preserve"> </w:t>
      </w:r>
      <w:r>
        <w:t xml:space="preserve">study’s script.</w:t>
      </w:r>
      <w:r>
        <w:t xml:space="preserve"> </w:t>
      </w:r>
      <w:r>
        <w:t xml:space="preserve">The longitudinal study above is one of twelve worked examples, and one of the</w:t>
      </w:r>
      <w:r>
        <w:t xml:space="preserve"> </w:t>
      </w:r>
      <w:r>
        <w:t xml:space="preserve">three that rebuild a published design.</w:t>
      </w:r>
    </w:p>
    <w:bookmarkEnd w:id="9"/>
    <w:bookmarkStart w:id="17"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or an</w:t>
      </w:r>
      <w:r>
        <w:t xml:space="preserve"> </w:t>
      </w:r>
      <w:r>
        <w:t xml:space="preserve">item table and 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generation</w:t>
      </w:r>
      <w:r>
        <w:t xml:space="preserve"> </w:t>
      </w:r>
      <w:r>
        <w:t xml:space="preserve">(deterministic pseudoword generation),</w:t>
      </w:r>
      <w:r>
        <w:t xml:space="preserve"> </w:t>
      </w:r>
      <w:r>
        <w:rPr>
          <w:rStyle w:val="VerbatimChar"/>
        </w:rPr>
        <w:t xml:space="preserve">paradigms</w:t>
      </w:r>
      <w:r>
        <w:t xml:space="preserve"> </w:t>
      </w:r>
      <w:r>
        <w:t xml:space="preserve">(the trial-event</w:t>
      </w:r>
      <w:r>
        <w:t xml:space="preserve"> </w:t>
      </w:r>
      <w:r>
        <w:t xml:space="preserve">registry),</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datasheet</w:t>
      </w:r>
      <w:r>
        <w:t xml:space="preserve"> </w:t>
      </w:r>
      <w:r>
        <w:t xml:space="preserve">(the materials datasheet and pre-registration</w:t>
      </w:r>
      <w:r>
        <w:t xml:space="preserve"> </w:t>
      </w:r>
      <w:r>
        <w:t xml:space="preserve">template),</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 single orchestrator,</w:t>
      </w:r>
      <w:r>
        <w:t xml:space="preserve"> </w:t>
      </w:r>
      <w:r>
        <w:rPr>
          <w:rStyle w:val="VerbatimChar"/>
        </w:rPr>
        <w:t xml:space="preserve">run_pipeline</w:t>
      </w:r>
      <w:r>
        <w:t xml:space="preserve">, drives them in an explicit loop</w:t>
      </w:r>
      <w:r>
        <w:t xml:space="preserve"> </w:t>
      </w:r>
      <w:r>
        <w:t xml:space="preserve">over designs and languages, so that adding a language, a design or a paradigm is a</w:t>
      </w:r>
      <w:r>
        <w:t xml:space="preserve"> </w:t>
      </w:r>
      <w:r>
        <w:t xml:space="preserve">matter of supplying a configuration file (and, where relevant, a lexicon or item</w:t>
      </w:r>
      <w:r>
        <w:t xml:space="preserve"> </w:t>
      </w:r>
      <w:r>
        <w:t xml:space="preserve">table)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w:t>
      </w:r>
      <w:r>
        <w:t xml:space="preserve"> </w:t>
      </w:r>
      <w:r>
        <w:t xml:space="preserve">‘stringi’</w:t>
      </w:r>
      <w:r>
        <w:t xml:space="preserve">,</w:t>
      </w:r>
      <w:r>
        <w:t xml:space="preserve"> </w:t>
      </w:r>
      <w:r>
        <w:t xml:space="preserve">‘jsonlite’</w:t>
      </w:r>
      <w:r>
        <w:t xml:space="preserve"> </w:t>
      </w:r>
      <w:r>
        <w:t xml:space="preserve">and</w:t>
      </w:r>
      <w:r>
        <w:t xml:space="preserve"> </w:t>
      </w:r>
      <w:r>
        <w:t xml:space="preserve">‘digest’</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The quality of the matched stimuli depends on the corpus from which they are</w:t>
      </w:r>
      <w:r>
        <w:t xml:space="preserve"> </w:t>
      </w:r>
      <w:r>
        <w:t xml:space="preserve">drawn.</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&amp; New, 2009)</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Spanish and Mandarin Chinese lexica with</w:t>
      </w:r>
      <w:r>
        <w:t xml:space="preserve"> </w:t>
      </w:r>
      <w:r>
        <w:t xml:space="preserve">‘wordfreq’</w:t>
      </w:r>
      <w:r>
        <w:t xml:space="preserve">, which aggregates</w:t>
      </w:r>
      <w:r>
        <w:t xml:space="preserve"> </w:t>
      </w:r>
      <w:r>
        <w:t xml:space="preserve">subtitle and web corpora including the SUBTLEX lists; the registry documents the</w:t>
      </w:r>
      <w:r>
        <w:t xml:space="preserve"> </w:t>
      </w:r>
      <w:r>
        <w:t xml:space="preserve">curated corpora (among them SUBTLEX-CH for Chinese</w:t>
      </w:r>
      <w:r>
        <w:t xml:space="preserve"> </w:t>
      </w:r>
      <w:r>
        <w:t xml:space="preserve">(Cai &amp; Brysbaert, 2010)</w:t>
      </w:r>
      <w:r>
        <w:t xml:space="preserve">)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 The dimension set is open: it also includes an orthographic</w:t>
      </w:r>
      <w:r>
        <w:t xml:space="preserve"> </w:t>
      </w:r>
      <w:r>
        <w:t xml:space="preserve">syllable estimate (the number of vowel runs) and a corpus-derived bigram-frequency</w:t>
      </w:r>
      <w:r>
        <w:t xml:space="preserve"> </w:t>
      </w:r>
      <w:r>
        <w:t xml:space="preserve">measure that approximates phonotactic probability, and externally-sourced norms</w:t>
      </w:r>
      <w:r>
        <w:t xml:space="preserve"> </w:t>
      </w:r>
      <w:r>
        <w:t xml:space="preserve">(concreteness, age of acquisition, valence) can be joined on through a</w:t>
      </w:r>
      <w:r>
        <w:t xml:space="preserve"> </w:t>
      </w:r>
      <w:r>
        <w:t xml:space="preserve">norm-table connector so the matcher equates on them too. A sixth corpus</w:t>
      </w:r>
      <w:r>
        <w:t xml:space="preserve"> </w:t>
      </w:r>
      <w:r>
        <w:t xml:space="preserve">demonstration, a frequency contrast additionally equated on syllable count and</w:t>
      </w:r>
      <w:r>
        <w:t xml:space="preserve"> </w:t>
      </w:r>
      <w:r>
        <w:t xml:space="preserve">bigram frequency, exercises these. Like all designs, it is selected identically</w:t>
      </w:r>
      <w:r>
        <w:t xml:space="preserve"> </w:t>
      </w:r>
      <w:r>
        <w:t xml:space="preserve">by the two engines.</w:t>
      </w:r>
    </w:p>
    <w:p>
      <w:pPr>
        <w:pStyle w:val="BodyText"/>
      </w:pPr>
      <w:r>
        <w:t xml:space="preserve">Matching proceeds in two deterministic stages. First, a tolerance pre-filter</w:t>
      </w:r>
      <w:r>
        <w:t xml:space="preserve"> </w:t>
      </w:r>
      <w:r>
        <w:t xml:space="preserve">keeps only candidates that fall within</w:t>
      </w:r>
      <w:r>
        <w:t xml:space="preserve"> </w:t>
      </w:r>
      <w:r>
        <w:rPr>
          <w:i/>
          <w:iCs/>
        </w:rPr>
        <w:t xml:space="preserve">M</w:t>
      </w:r>
      <w:r>
        <w:t xml:space="preserve"> </w:t>
      </w:r>
      <w:r>
        <w:t xml:space="preserve">±</w:t>
      </w:r>
      <w:r>
        <w:t xml:space="preserve"> </w:t>
      </w:r>
      <w:r>
        <w:rPr>
          <w:i/>
          <w:iCs/>
        </w:rPr>
        <w:t xml:space="preserve">k</w:t>
      </w:r>
      <w:r>
        <w:t xml:space="preserve"> </w:t>
      </w:r>
      <w:r>
        <w:t xml:space="preserve">·</w:t>
      </w:r>
      <w:r>
        <w:t xml:space="preserve"> </w:t>
      </w:r>
      <w:r>
        <w:rPr>
          <w:i/>
          <w:iCs/>
        </w:rPr>
        <w:t xml:space="preserve">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an identical matched selection</w:t>
      </w:r>
      <w:r>
        <w:t xml:space="preserve"> </w:t>
      </w:r>
      <w:r>
        <w:t xml:space="preserve">from identical input, a parity we verify below.</w:t>
      </w:r>
    </w:p>
    <w:p>
      <w:pPr>
        <w:pStyle w:val="BodyText"/>
      </w:pPr>
      <w:r>
        <w:t xml:space="preserve">Two further matching methods can be selected when a design needs them. A</w:t>
      </w:r>
      <w:r>
        <w:t xml:space="preserve"> </w:t>
      </w:r>
      <w:r>
        <w:t xml:space="preserve">covariance-aware (Mahalanobis) distance replaces the standardised Euclidean metric</w:t>
      </w:r>
      <w:r>
        <w:t xml:space="preserve"> </w:t>
      </w:r>
      <w:r>
        <w:t xml:space="preserve">with one weighted by the inverse of the control dimensions’ correlation matrix, so</w:t>
      </w:r>
      <w:r>
        <w:t xml:space="preserve"> </w:t>
      </w:r>
      <w:r>
        <w:t xml:space="preserve">it down-weights dimensions that are correlated, such as length and orthographic</w:t>
      </w:r>
      <w:r>
        <w:t xml:space="preserve"> </w:t>
      </w:r>
      <w:r>
        <w:t xml:space="preserve">neighbourhood, rather than counting their shared variance more than once</w:t>
      </w:r>
      <w:r>
        <w:t xml:space="preserve"> </w:t>
      </w:r>
      <w:r>
        <w:t xml:space="preserve">(Rubin, 1980; Stuart, 2010)</w:t>
      </w:r>
      <w:r>
        <w:t xml:space="preserve">. A globally optimal assignment, for a</w:t>
      </w:r>
      <w:r>
        <w:t xml:space="preserve"> </w:t>
      </w:r>
      <w:r>
        <w:t xml:space="preserve">two-condition design, minimises the total distance over the whole pairing instead</w:t>
      </w:r>
      <w:r>
        <w:t xml:space="preserve"> </w:t>
      </w:r>
      <w:r>
        <w:t xml:space="preserve">of taking the locally cheapest pair at each step</w:t>
      </w:r>
      <w:r>
        <w:t xml:space="preserve"> </w:t>
      </w:r>
      <w:r>
        <w:t xml:space="preserve">(Gu &amp; Rosenbaum, 1993; Hansen &amp; Klopfer, 2006)</w:t>
      </w:r>
      <w:r>
        <w:t xml:space="preserve">. Both rely on a linear-algebra routine (a matrix inverse and</w:t>
      </w:r>
      <w:r>
        <w:t xml:space="preserve"> </w:t>
      </w:r>
      <w:r>
        <w:t xml:space="preserve">an assignment solver respectively) whose last bits differ between the R and</w:t>
      </w:r>
      <w:r>
        <w:t xml:space="preserve"> </w:t>
      </w:r>
      <w:r>
        <w:t xml:space="preserve">Python backends, so on these two methods the engines select equivalent but not</w:t>
      </w:r>
      <w:r>
        <w:t xml:space="preserve"> </w:t>
      </w:r>
      <w:r>
        <w:t xml:space="preserve">byte-identical materials; each datasheet records which case applies.</w:t>
      </w:r>
    </w:p>
    <w:p>
      <w:pPr>
        <w:pStyle w:val="BodyText"/>
      </w:pPr>
      <w:r>
        <w:t xml:space="preserve">A design may also be declared</w:t>
      </w:r>
      <w:r>
        <w:t xml:space="preserve"> </w:t>
      </w:r>
      <w:r>
        <w:rPr>
          <w:i/>
          <w:iCs/>
        </w:rPr>
        <w:t xml:space="preserve">continuous</w:t>
      </w:r>
      <w:r>
        <w:t xml:space="preserve"> </w:t>
      </w:r>
      <w:r>
        <w:t xml:space="preserve">rather than dichotomised. Instead of</w:t>
      </w:r>
      <w:r>
        <w:t xml:space="preserve"> </w:t>
      </w:r>
      <w:r>
        <w:t xml:space="preserve">splitting a variable into conditions and matching, lexsync selects a set that</w:t>
      </w:r>
      <w:r>
        <w:t xml:space="preserve"> </w:t>
      </w:r>
      <w:r>
        <w:t xml:space="preserve">spans the variable’s range evenly while holding the control dimensions</w:t>
      </w:r>
      <w:r>
        <w:t xml:space="preserve"> </w:t>
      </w:r>
      <w:r>
        <w:t xml:space="preserve">near-constant, so the variable stays continuous and is analysed by regression or a</w:t>
      </w:r>
      <w:r>
        <w:t xml:space="preserve"> </w:t>
      </w:r>
      <w:r>
        <w:t xml:space="preserve">mixed model rather than a between-condition contrast. This is the recommended</w:t>
      </w:r>
      <w:r>
        <w:t xml:space="preserve"> </w:t>
      </w:r>
      <w:r>
        <w:t xml:space="preserve">alternative to matched dichotomies, which lose power and admit selection</w:t>
      </w:r>
      <w:r>
        <w:t xml:space="preserve"> </w:t>
      </w:r>
      <w:r>
        <w:t xml:space="preserve">artefacts</w:t>
      </w:r>
      <w:r>
        <w:t xml:space="preserve"> </w:t>
      </w:r>
      <w:r>
        <w:t xml:space="preserve">(Kuperman, 2015; Liben-Nowell et al., 2019)</w:t>
      </w:r>
      <w:r>
        <w:t xml:space="preserve">; the datasheet reports</w:t>
      </w:r>
      <w:r>
        <w:t xml:space="preserve"> </w:t>
      </w:r>
      <w:r>
        <w:t xml:space="preserve">the realised span, the predictor-control correlations and a suggested regression</w:t>
      </w:r>
      <w:r>
        <w:t xml:space="preserve"> </w:t>
      </w:r>
      <w:r>
        <w:t xml:space="preserve">model.</w:t>
      </w:r>
    </w:p>
    <w:p>
      <w:pPr>
        <w:pStyle w:val="BodyText"/>
      </w:pPr>
      <w:r>
        <w:t xml:space="preserve">The per-anchor procedure fixes one condition and matches the others to it, which</w:t>
      </w:r>
      <w:r>
        <w:t xml:space="preserve"> </w:t>
      </w:r>
      <w:r>
        <w:t xml:space="preserve">is ideal when the manipulated dimension is statistically independent of the</w:t>
      </w:r>
      <w:r>
        <w:t xml:space="preserve"> </w:t>
      </w:r>
      <w:r>
        <w:t xml:space="preserve">controls. When the manipulation is intrinsically correlated with a control</w:t>
      </w:r>
      <w:r>
        <w:t xml:space="preserve"> </w:t>
      </w:r>
      <w:r>
        <w:t xml:space="preserve">dimension (as orthographic neighbourhood density is with word length and</w:t>
      </w:r>
      <w:r>
        <w:t xml:space="preserve"> </w:t>
      </w:r>
      <w:r>
        <w:t xml:space="preserve">frequency), fixing one condition first can leave a residual difference on the</w:t>
      </w:r>
      <w:r>
        <w:t xml:space="preserve"> </w:t>
      </w:r>
      <w:r>
        <w:t xml:space="preserve">control, because the anchor items need not have close counterparts in the other</w:t>
      </w:r>
      <w:r>
        <w:t xml:space="preserve"> </w:t>
      </w:r>
      <w:r>
        <w:t xml:space="preserve">condition. For such designs</w:t>
      </w:r>
      <w:r>
        <w:t xml:space="preserve"> </w:t>
      </w:r>
      <w:r>
        <w:t xml:space="preserve">‘lexsync’</w:t>
      </w:r>
      <w:r>
        <w:t xml:space="preserve"> </w:t>
      </w:r>
      <w:r>
        <w:t xml:space="preserve">offers a</w:t>
      </w:r>
      <w:r>
        <w:t xml:space="preserve"> </w:t>
      </w:r>
      <w:r>
        <w:rPr>
          <w:rStyle w:val="VerbatimChar"/>
        </w:rPr>
        <w:t xml:space="preserve">joint</w:t>
      </w:r>
      <w:r>
        <w:t xml:space="preserve"> </w:t>
      </w:r>
      <w:r>
        <w:t xml:space="preserve">matching method, selected</w:t>
      </w:r>
      <w:r>
        <w:t xml:space="preserve"> </w:t>
      </w:r>
      <w:r>
        <w:t xml:space="preserve">with a single line in the design configuration. Rather than privileging one</w:t>
      </w:r>
      <w:r>
        <w:t xml:space="preserve"> </w:t>
      </w:r>
      <w:r>
        <w:t xml:space="preserve">condition, it scores every cross-condition pair on the standardised control</w:t>
      </w:r>
      <w:r>
        <w:t xml:space="preserve"> </w:t>
      </w:r>
      <w:r>
        <w:t xml:space="preserve">dimensions and greedily retains the</w:t>
      </w:r>
      <w:r>
        <w:t xml:space="preserve"> </w:t>
      </w:r>
      <w:r>
        <w:rPr>
          <w:i/>
          <w:iCs/>
        </w:rPr>
        <w:t xml:space="preserve">n</w:t>
      </w:r>
      <w:r>
        <w:t xml:space="preserve"> </w:t>
      </w:r>
      <w:r>
        <w:t xml:space="preserve">cheapest disjoint pairs, so only items</w:t>
      </w:r>
      <w:r>
        <w:t xml:space="preserve"> </w:t>
      </w:r>
      <w:r>
        <w:t xml:space="preserve">that have a close counterpart in the opposite condition are kept. The two</w:t>
      </w:r>
      <w:r>
        <w:t xml:space="preserve"> </w:t>
      </w:r>
      <w:r>
        <w:t xml:space="preserve">conditions are thereby equated on the controls even when the manipulation is</w:t>
      </w:r>
      <w:r>
        <w:t xml:space="preserve"> </w:t>
      </w:r>
      <w:r>
        <w:t xml:space="preserve">confounded with them, at the cost of drawing from a slightly larger candidate</w:t>
      </w:r>
      <w:r>
        <w:t xml:space="preserve"> </w:t>
      </w:r>
      <w:r>
        <w:t xml:space="preserve">pool. The method is as deterministic and cross-engine identical as the per-anchor</w:t>
      </w:r>
      <w:r>
        <w:t xml:space="preserve"> </w:t>
      </w:r>
      <w:r>
        <w:t xml:space="preserve">one (costs are rounded before the byte-order tie-break), and it is the method used</w:t>
      </w:r>
      <w:r>
        <w:t xml:space="preserve"> </w:t>
      </w:r>
      <w:r>
        <w:t xml:space="preserve">for the neighbourhood-density demonstrations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 A design may also</w:t>
      </w:r>
      <w:r>
        <w:t xml:space="preserve"> </w:t>
      </w:r>
      <w:r>
        <w:t xml:space="preserve">request</w:t>
      </w:r>
      <w:r>
        <w:t xml:space="preserve"> </w:t>
      </w:r>
      <w:r>
        <w:rPr>
          <w:i/>
          <w:iCs/>
        </w:rPr>
        <w:t xml:space="preserve">resampling</w:t>
      </w:r>
      <w:r>
        <w:t xml:space="preserve">: several disjoint matched item sets are drawn, no item reused</w:t>
      </w:r>
      <w:r>
        <w:t xml:space="preserve"> </w:t>
      </w:r>
      <w:r>
        <w:t xml:space="preserve">across them, so a study can run a different item sample per participant group or</w:t>
      </w:r>
      <w:r>
        <w:t xml:space="preserve"> </w:t>
      </w:r>
      <w:r>
        <w:t xml:space="preserve">demonstrate an effect across samples, operationalising the long-standing</w:t>
      </w:r>
      <w:r>
        <w:t xml:space="preserve"> </w:t>
      </w:r>
      <w:r>
        <w:t xml:space="preserve">recommendation to treat items as a random factor rather than a fixed set</w:t>
      </w:r>
      <w:r>
        <w:t xml:space="preserve"> </w:t>
      </w:r>
      <w:r>
        <w:t xml:space="preserve">(Clark, 1973; Yarkoni, 2022)</w:t>
      </w:r>
      <w:r>
        <w:t xml:space="preserve">.</w:t>
      </w:r>
      <w:r>
        <w:t xml:space="preserve"> </w:t>
      </w:r>
      <w:r>
        <w:t xml:space="preserve">‘lexsync’</w:t>
      </w:r>
      <w:r>
        <w:t xml:space="preserve"> </w:t>
      </w:r>
      <w:r>
        <w:t xml:space="preserve">then</w:t>
      </w:r>
      <w:r>
        <w:t xml:space="preserve"> </w:t>
      </w:r>
      <w:r>
        <w:t xml:space="preserve">writes a match-quality report and an automated, comprehensive run log recording</w:t>
      </w:r>
      <w:r>
        <w:t xml:space="preserve"> </w:t>
      </w:r>
      <w:r>
        <w:t xml:space="preserve">each stage, its parameters, the seed, package and corpus provenance and a</w:t>
      </w:r>
      <w:r>
        <w:t xml:space="preserve"> </w:t>
      </w:r>
      <w:r>
        <w:t xml:space="preserve">fingerprint of every file written.</w:t>
      </w:r>
    </w:p>
    <w:p>
      <w:pPr>
        <w:pStyle w:val="BodyText"/>
      </w:pPr>
      <w:r>
        <w:t xml:space="preserve">The report is deliberately built around effect sizes rather than significance</w:t>
      </w:r>
      <w:r>
        <w:t xml:space="preserve"> </w:t>
      </w:r>
      <w:r>
        <w:t xml:space="preserve">tests. For each controlled dimension it gives the per-condition descriptive</w:t>
      </w:r>
      <w:r>
        <w:t xml:space="preserve"> </w:t>
      </w:r>
      <w:r>
        <w:t xml:space="preserve">statistics and the standardised mean difference (Cohen’s</w:t>
      </w:r>
      <w:r>
        <w:t xml:space="preserve"> </w:t>
      </w:r>
      <w:r>
        <w:rPr>
          <w:i/>
          <w:iCs/>
        </w:rPr>
        <w:t xml:space="preserve">d</w:t>
      </w:r>
      <w:r>
        <w:t xml:space="preserve">) between conditions,</w:t>
      </w:r>
      <w:r>
        <w:t xml:space="preserve"> </w:t>
      </w:r>
      <w:r>
        <w:t xml:space="preserve">together with a 90% confidence interval on that difference. This ordering is a</w:t>
      </w:r>
      <w:r>
        <w:t xml:space="preserve"> </w:t>
      </w:r>
      <w:r>
        <w:t xml:space="preserve">considered response to a common error in nuisance control: treating a</w:t>
      </w:r>
      <w:r>
        <w:t xml:space="preserve"> </w:t>
      </w:r>
      <w:r>
        <w:t xml:space="preserve">non-significant difference test as proof that a variable is matched</w:t>
      </w:r>
      <w:r>
        <w:t xml:space="preserve"> </w:t>
      </w:r>
      <w:r>
        <w:t xml:space="preserve">(Sassenhagen &amp; Alday, 2016)</w:t>
      </w:r>
      <w:r>
        <w:t xml:space="preserve">. A non-significant test is not evidence of equivalence,</w:t>
      </w:r>
      <w:r>
        <w:t xml:space="preserve"> </w:t>
      </w:r>
      <w:r>
        <w:t xml:space="preserve">and whether a real difference reaches significance depends on the number of items,</w:t>
      </w:r>
      <w:r>
        <w:t xml:space="preserve"> </w:t>
      </w:r>
      <w:r>
        <w:t xml:space="preserve">so the conclusion</w:t>
      </w:r>
      <w:r>
        <w:t xml:space="preserve"> </w:t>
      </w:r>
      <w:r>
        <w:t xml:space="preserve">“matched”</w:t>
      </w:r>
      <w:r>
        <w:t xml:space="preserve"> </w:t>
      </w:r>
      <w:r>
        <w:t xml:space="preserve">can be manufactured by using few items. The</w:t>
      </w:r>
      <w:r>
        <w:t xml:space="preserve"> </w:t>
      </w:r>
      <w:r>
        <w:t xml:space="preserve">standardised mean difference is, by contrast, a direct measure of the realised</w:t>
      </w:r>
      <w:r>
        <w:t xml:space="preserve"> </w:t>
      </w:r>
      <w:r>
        <w:t xml:space="preserve">imbalance, and its confidence interval makes the sampling uncertainty (and hence</w:t>
      </w:r>
      <w:r>
        <w:t xml:space="preserve"> </w:t>
      </w:r>
      <w:r>
        <w:t xml:space="preserve">the dependence on the number of items) explicit. With few items the interval is</w:t>
      </w:r>
      <w:r>
        <w:t xml:space="preserve"> </w:t>
      </w:r>
      <w:r>
        <w:t xml:space="preserve">wide, so a small point estimate cannot be over-read, and the upper limit of the</w:t>
      </w:r>
      <w:r>
        <w:t xml:space="preserve"> </w:t>
      </w:r>
      <w:r>
        <w:t xml:space="preserve">interval on |</w:t>
      </w:r>
      <w:r>
        <w:rPr>
          <w:i/>
          <w:iCs/>
        </w:rPr>
        <w:t xml:space="preserve">d</w:t>
      </w:r>
      <w:r>
        <w:t xml:space="preserve">| is the largest imbalance still consistent with the chosen</w:t>
      </w:r>
      <w:r>
        <w:t xml:space="preserve"> </w:t>
      </w:r>
      <w:r>
        <w:t xml:space="preserve">stimuli. The report also includes a two one-sided tests (TOST) equivalence test</w:t>
      </w:r>
      <w:r>
        <w:t xml:space="preserve"> </w:t>
      </w:r>
      <w:r>
        <w:t xml:space="preserve">(Lakens, 2017)</w:t>
      </w:r>
      <w:r>
        <w:t xml:space="preserve"> </w:t>
      </w:r>
      <w:r>
        <w:t xml:space="preserve">as a complementary, bound-referenced verdict; the 90%</w:t>
      </w:r>
      <w:r>
        <w:t xml:space="preserve"> </w:t>
      </w:r>
      <w:r>
        <w:t xml:space="preserve">interval is exactly the interval whose lying inside the bound corresponds to a</w:t>
      </w:r>
      <w:r>
        <w:t xml:space="preserve"> </w:t>
      </w:r>
      <w:r>
        <w:t xml:space="preserve">TOST at the .05 level, so the two are coherent and the interval is the more</w:t>
      </w:r>
      <w:r>
        <w:t xml:space="preserve"> </w:t>
      </w:r>
      <w:r>
        <w:t xml:space="preserve">transparent of the pair. Together they make the realised control explicit, in the</w:t>
      </w:r>
      <w:r>
        <w:t xml:space="preserve"> </w:t>
      </w:r>
      <w:r>
        <w:t xml:space="preserve">spirit of the original workflow’s balance checks, and the run log makes a run</w:t>
      </w:r>
      <w:r>
        <w:t xml:space="preserve"> </w:t>
      </w:r>
      <w:r>
        <w:t xml:space="preserve">auditable.</w:t>
      </w:r>
    </w:p>
    <w:p>
      <w:pPr>
        <w:pStyle w:val="BodyText"/>
      </w:pPr>
      <w:r>
        <w:t xml:space="preserve">Finally, each design is accompanied by a</w:t>
      </w:r>
      <w:r>
        <w:t xml:space="preserve"> </w:t>
      </w:r>
      <w:r>
        <w:rPr>
          <w:i/>
          <w:iCs/>
        </w:rPr>
        <w:t xml:space="preserve">materials datasheet</w:t>
      </w:r>
      <w:r>
        <w:t xml:space="preserve">, a machine-readable</w:t>
      </w:r>
      <w:r>
        <w:t xml:space="preserve"> </w:t>
      </w:r>
      <w:r>
        <w:t xml:space="preserve">JSON record and a human-readable Markdown summary of its provenance. The record</w:t>
      </w:r>
      <w:r>
        <w:t xml:space="preserve"> </w:t>
      </w:r>
      <w:r>
        <w:t xml:space="preserve">covers the corpus or item table and its checksum, the dimensions and how they were</w:t>
      </w:r>
      <w:r>
        <w:t xml:space="preserve"> </w:t>
      </w:r>
      <w:r>
        <w:t xml:space="preserve">computed, the selection or matching method and its parameters, the realised control</w:t>
      </w:r>
      <w:r>
        <w:t xml:space="preserve"> </w:t>
      </w:r>
      <w:r>
        <w:t xml:space="preserve">(the effect sizes and their intervals, a variance-ratio check on the spread, and the</w:t>
      </w:r>
      <w:r>
        <w:t xml:space="preserve"> </w:t>
      </w:r>
      <w:r>
        <w:t xml:space="preserve">equivalence verdicts), the counterbalancing</w:t>
      </w:r>
      <w:r>
        <w:t xml:space="preserve"> </w:t>
      </w:r>
      <w:r>
        <w:t xml:space="preserve">recipe, and the seed, software versions and file checksums needed to reproduce the</w:t>
      </w:r>
      <w:r>
        <w:t xml:space="preserve"> </w:t>
      </w:r>
      <w:r>
        <w:t xml:space="preserve">materials exactly. It records, in addition, the size of the candidate pool each</w:t>
      </w:r>
      <w:r>
        <w:t xml:space="preserve"> </w:t>
      </w:r>
      <w:r>
        <w:t xml:space="preserve">condition was selected from, so that item selection is auditable rather than</w:t>
      </w:r>
      <w:r>
        <w:t xml:space="preserve"> </w:t>
      </w:r>
      <w:r>
        <w:t xml:space="preserve">opaque, and a suggested crossed mixed-model formula that treats items as a random</w:t>
      </w:r>
      <w:r>
        <w:t xml:space="preserve"> </w:t>
      </w:r>
      <w:r>
        <w:t xml:space="preserve">factor</w:t>
      </w:r>
      <w:r>
        <w:t xml:space="preserve"> </w:t>
      </w:r>
      <w:r>
        <w:t xml:space="preserve">(Clark, 1973)</w:t>
      </w:r>
      <w:r>
        <w:t xml:space="preserve">, with which it fills the pre-registration analysis</w:t>
      </w:r>
      <w:r>
        <w:t xml:space="preserve"> </w:t>
      </w:r>
      <w:r>
        <w:t xml:space="preserve">plan. The datasheet also emits an auto-filled Methods paragraph and a</w:t>
      </w:r>
      <w:r>
        <w:t xml:space="preserve"> </w:t>
      </w:r>
      <w:r>
        <w:t xml:space="preserve">pre-registration template with its Materials section completed. This is a direct</w:t>
      </w:r>
      <w:r>
        <w:t xml:space="preserve"> </w:t>
      </w:r>
      <w:r>
        <w:t xml:space="preserve">response to the finding that experimental materials are rarely shared in a usable</w:t>
      </w:r>
      <w:r>
        <w:t xml:space="preserve"> </w:t>
      </w:r>
      <w:r>
        <w:t xml:space="preserve">form</w:t>
      </w:r>
      <w:r>
        <w:t xml:space="preserve"> </w:t>
      </w:r>
      <w:r>
        <w:t xml:space="preserve">(Bochynska et al., 2023; Roettger, 2019)</w:t>
      </w:r>
      <w:r>
        <w:t xml:space="preserve">: the materials, the</w:t>
      </w:r>
      <w:r>
        <w:t xml:space="preserve"> </w:t>
      </w:r>
      <w:r>
        <w:t xml:space="preserve">procedure and the record of how they were made travel together.</w:t>
      </w:r>
    </w:p>
    <w:bookmarkEnd w:id="13"/>
    <w:bookmarkStart w:id="14" w:name="hardware-time-locking"/>
    <w:p>
      <w:pPr>
        <w:pStyle w:val="Heading2"/>
      </w:pPr>
      <w:r>
        <w:t xml:space="preserve">Hardware time-locking</w:t>
      </w:r>
    </w:p>
    <w:p>
      <w:pPr>
        <w:pStyle w:val="FirstParagraph"/>
      </w:pPr>
      <w:r>
        <w:t xml:space="preserve">Of the three presentation targets the</w:t>
      </w:r>
      <w:r>
        <w:t xml:space="preserve"> </w:t>
      </w:r>
      <w:r>
        <w:t xml:space="preserve">‘scripting’</w:t>
      </w:r>
      <w:r>
        <w:t xml:space="preserve"> </w:t>
      </w:r>
      <w:r>
        <w:t xml:space="preserve">module emits from the same</w:t>
      </w:r>
      <w:r>
        <w:t xml:space="preserve"> </w:t>
      </w:r>
      <w:r>
        <w:t xml:space="preserve">matched stimuli, two drive laboratory hardware. The browser-based third is</w:t>
      </w:r>
      <w:r>
        <w:t xml:space="preserve"> </w:t>
      </w:r>
      <w:r>
        <w:t xml:space="preserve">described below. The</w:t>
      </w:r>
      <w:r>
        <w:t xml:space="preserve"> </w:t>
      </w:r>
      <w:r>
        <w:t xml:space="preserve">‘PsychoPy’</w:t>
      </w:r>
      <w:r>
        <w:t xml:space="preserve"> </w:t>
      </w:r>
      <w:r>
        <w:t xml:space="preserve">script binds each onset trigger to the</w:t>
      </w:r>
      <w:r>
        <w:t xml:space="preserve"> </w:t>
      </w:r>
      <w:r>
        <w:t xml:space="preserve">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In it the word is drawn and shown from an inline script,</w:t>
      </w:r>
      <w:r>
        <w:t xml:space="preserve"> </w:t>
      </w:r>
      <w:r>
        <w:t xml:space="preserve">and the marker is sent as soon as</w:t>
      </w:r>
      <w:r>
        <w:t xml:space="preserve"> </w:t>
      </w:r>
      <w:r>
        <w:rPr>
          <w:rStyle w:val="VerbatimChar"/>
        </w:rPr>
        <w:t xml:space="preserve">show()</w:t>
      </w:r>
      <w:r>
        <w:t xml:space="preserve"> </w:t>
      </w:r>
      <w:r>
        <w:t xml:space="preserve">returns, supporting both a</w:t>
      </w:r>
      <w:r>
        <w:t xml:space="preserve"> </w:t>
      </w:r>
      <w:r>
        <w:t xml:space="preserve">parallel-port and a serial backend with a test-mode fallback. Because</w:t>
      </w:r>
      <w:r>
        <w:t xml:space="preserve"> </w:t>
      </w:r>
      <w:r>
        <w:rPr>
          <w:rStyle w:val="VerbatimChar"/>
        </w:rPr>
        <w:t xml:space="preserve">show()</w:t>
      </w:r>
      <w:r>
        <w:t xml:space="preserve"> </w:t>
      </w:r>
      <w:r>
        <w:t xml:space="preserve">blocks until the display refresh, that marker follows the verified flip, which is</w:t>
      </w:r>
      <w:r>
        <w:t xml:space="preserve"> </w:t>
      </w:r>
      <w:r>
        <w:t xml:space="preserve">the method the platform recommends. Both laboratory targets are therefore</w:t>
      </w:r>
      <w:r>
        <w:t xml:space="preserve"> </w:t>
      </w:r>
      <w:r>
        <w:t xml:space="preserve">time-locked to stimulus onset, though we recommend a photodiode check in either</w:t>
      </w:r>
      <w:r>
        <w:t xml:space="preserve"> </w:t>
      </w:r>
      <w:r>
        <w:t xml:space="preserve">case. Neither the matching nor the script</w:t>
      </w:r>
      <w:r>
        <w:t xml:space="preserve"> </w:t>
      </w:r>
      <w:r>
        <w:t xml:space="preserve">generation 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X6829ce20097d7c548bcccabf6ac7a3853417634"/>
    <w:p>
      <w:pPr>
        <w:pStyle w:val="Heading2"/>
      </w:pPr>
      <w:r>
        <w:t xml:space="preserve">Paradigm generality: the trial-event model</w:t>
      </w:r>
    </w:p>
    <w:p>
      <w:pPr>
        <w:pStyle w:val="FirstParagraph"/>
      </w:pPr>
      <w:r>
        <w:t xml:space="preserve">The original workflow built one kind of trial (a fixation cross, a single word</w:t>
      </w:r>
      <w:r>
        <w:t xml:space="preserve"> </w:t>
      </w:r>
      <w:r>
        <w:t xml:space="preserve">and a response) and wrote it into the experiment by hand.</w:t>
      </w:r>
      <w:r>
        <w:t xml:space="preserve"> </w:t>
      </w:r>
      <w:r>
        <w:t xml:space="preserve">‘lexsync’</w:t>
      </w:r>
      <w:r>
        <w:t xml:space="preserve"> </w:t>
      </w:r>
      <w:r>
        <w:t xml:space="preserve">replaces that</w:t>
      </w:r>
      <w:r>
        <w:t xml:space="preserve"> </w:t>
      </w:r>
      <w:r>
        <w:t xml:space="preserve">fixed structure with a declarative one. A trial is an ordered list of</w:t>
      </w:r>
      <w:r>
        <w:t xml:space="preserve"> </w:t>
      </w:r>
      <w:r>
        <w:rPr>
          <w:i/>
          <w:iCs/>
        </w:rPr>
        <w:t xml:space="preserve">events</w:t>
      </w:r>
      <w:r>
        <w:t xml:space="preserve">,</w:t>
      </w:r>
      <w:r>
        <w:t xml:space="preserve"> </w:t>
      </w:r>
      <w:r>
        <w:t xml:space="preserve">each a small record naming its type (a fixation, a piece of text, a mask, a blank</w:t>
      </w:r>
      <w:r>
        <w:t xml:space="preserve"> </w:t>
      </w:r>
      <w:r>
        <w:t xml:space="preserve">interval, a region-by-region passage, a response or a comprehension question), its</w:t>
      </w:r>
      <w:r>
        <w:t xml:space="preserve"> </w:t>
      </w:r>
      <w:r>
        <w:t xml:space="preserve">content (a literal such as a fixation cross, or a reference to a field of the</w:t>
      </w:r>
      <w:r>
        <w:t xml:space="preserve"> </w:t>
      </w:r>
      <w:r>
        <w:t xml:space="preserve">trial such as the target word or the sentence), its duration, and an optional EEG</w:t>
      </w:r>
      <w:r>
        <w:t xml:space="preserve"> </w:t>
      </w:r>
      <w:r>
        <w:t xml:space="preserve">trigger that may be locked to the event’s onset. A</w:t>
      </w:r>
      <w:r>
        <w:t xml:space="preserve"> </w:t>
      </w:r>
      <w:r>
        <w:rPr>
          <w:i/>
          <w:iCs/>
        </w:rPr>
        <w:t xml:space="preserve">paradigm</w:t>
      </w:r>
      <w:r>
        <w:t xml:space="preserve"> </w:t>
      </w:r>
      <w:r>
        <w:t xml:space="preserve">is a named</w:t>
      </w:r>
      <w:r>
        <w:t xml:space="preserve"> </w:t>
      </w:r>
      <w:r>
        <w:t xml:space="preserve">default sequence of such events together with the trial fields it requires; a</w:t>
      </w:r>
      <w:r>
        <w:t xml:space="preserve"> </w:t>
      </w:r>
      <w:r>
        <w:t xml:space="preserve">design either selects a paradigm or supplies its own event list. All three</w:t>
      </w:r>
      <w:r>
        <w:t xml:space="preserve"> </w:t>
      </w:r>
      <w:r>
        <w:t xml:space="preserve">presentation backends iterate the same list. The</w:t>
      </w:r>
      <w:r>
        <w:t xml:space="preserve"> </w:t>
      </w:r>
      <w:r>
        <w:t xml:space="preserve">‘PsychoPy’</w:t>
      </w:r>
      <w:r>
        <w:t xml:space="preserve"> </w:t>
      </w:r>
      <w:r>
        <w:t xml:space="preserve">script interprets it</w:t>
      </w:r>
      <w:r>
        <w:t xml:space="preserve"> </w:t>
      </w:r>
      <w:r>
        <w:t xml:space="preserve">at run time, the</w:t>
      </w:r>
      <w:r>
        <w:t xml:space="preserve"> </w:t>
      </w:r>
      <w:r>
        <w:t xml:space="preserve">‘OpenSesame’</w:t>
      </w:r>
      <w:r>
        <w:t xml:space="preserve"> </w:t>
      </w:r>
      <w:r>
        <w:t xml:space="preserve">generator emits one block per event, and the</w:t>
      </w:r>
      <w:r>
        <w:t xml:space="preserve"> </w:t>
      </w:r>
      <w:r>
        <w:t xml:space="preserve">‘jsPsych’</w:t>
      </w:r>
      <w:r>
        <w:t xml:space="preserve"> </w:t>
      </w:r>
      <w:r>
        <w:t xml:space="preserve">generator builds a browser timeline from it. Adding a paradigm is</w:t>
      </w:r>
      <w:r>
        <w:t xml:space="preserve"> </w:t>
      </w:r>
      <w:r>
        <w:t xml:space="preserve">therefore a matter of configuration rather than backend code, and the targets stay</w:t>
      </w:r>
      <w:r>
        <w:t xml:space="preserve"> </w:t>
      </w:r>
      <w:r>
        <w:t xml:space="preserve">in step by construction. The</w:t>
      </w:r>
      <w:r>
        <w:t xml:space="preserve"> </w:t>
      </w:r>
      <w:r>
        <w:t xml:space="preserve">‘jsPsych’</w:t>
      </w:r>
      <w:r>
        <w:t xml:space="preserve"> </w:t>
      </w:r>
      <w:r>
        <w:t xml:space="preserve">target is a single shareable HTML file</w:t>
      </w:r>
      <w:r>
        <w:t xml:space="preserve"> </w:t>
      </w:r>
      <w:r>
        <w:t xml:space="preserve">(the jsPsych library itself loads from a content delivery network) that runs</w:t>
      </w:r>
      <w:r>
        <w:t xml:space="preserve"> </w:t>
      </w:r>
      <w:r>
        <w:t xml:space="preserve">in any modern browser, letting anyone reproduce the exact procedure online from the</w:t>
      </w:r>
      <w:r>
        <w:t xml:space="preserve"> </w:t>
      </w:r>
      <w:r>
        <w:t xml:space="preserve">same materials; because a browser cannot drive a parallel port, each onset marker</w:t>
      </w:r>
      <w:r>
        <w:t xml:space="preserve"> </w:t>
      </w:r>
      <w:r>
        <w:t xml:space="preserve">is recorded in the trial’s data rather than written to hardware (online EEG</w:t>
      </w:r>
      <w:r>
        <w:t xml:space="preserve"> </w:t>
      </w:r>
      <w:r>
        <w:t xml:space="preserve">synchronisation would route it through WebSerial or a photodiode). Stimulus text is always written as data into the conditions file the</w:t>
      </w:r>
      <w:r>
        <w:t xml:space="preserve"> </w:t>
      </w:r>
      <w:r>
        <w:t xml:space="preserve">experiment reads, never interpolated into the generated code, and every value is</w:t>
      </w:r>
      <w:r>
        <w:t xml:space="preserve"> </w:t>
      </w:r>
      <w:r>
        <w:t xml:space="preserve">validated (no control characters; bounded length) before it is written, so a</w:t>
      </w:r>
      <w:r>
        <w:t xml:space="preserve"> </w:t>
      </w:r>
      <w:r>
        <w:t xml:space="preserve">malformed item cannot corrupt a script.</w:t>
      </w:r>
    </w:p>
    <w:p>
      <w:pPr>
        <w:pStyle w:val="BodyText"/>
      </w:pPr>
      <w:r>
        <w:t xml:space="preserve">Items reach a design from one of three sources. The corpus source is the matching</w:t>
      </w:r>
      <w:r>
        <w:t xml:space="preserve"> </w:t>
      </w:r>
      <w:r>
        <w:t xml:space="preserve">engine described above. The</w:t>
      </w:r>
      <w:r>
        <w:t xml:space="preserve"> </w:t>
      </w:r>
      <w:r>
        <w:rPr>
          <w:i/>
          <w:iCs/>
        </w:rPr>
        <w:t xml:space="preserve">table</w:t>
      </w:r>
      <w:r>
        <w:t xml:space="preserve"> </w:t>
      </w:r>
      <w:r>
        <w:t xml:space="preserve">source loads a user-supplied set of items</w:t>
      </w:r>
      <w:r>
        <w:t xml:space="preserve"> </w:t>
      </w:r>
      <w:r>
        <w:t xml:space="preserve">(prime–target pairs, or sentences segmented into regions with a comprehension</w:t>
      </w:r>
      <w:r>
        <w:t xml:space="preserve"> </w:t>
      </w:r>
      <w:r>
        <w:t xml:space="preserve">question), validated against the paradigm’s required fields and counterbalanced by</w:t>
      </w:r>
      <w:r>
        <w:t xml:space="preserve"> </w:t>
      </w:r>
      <w:r>
        <w:t xml:space="preserve">a Latin square that shows each item once per list in a rotated condition, so a</w:t>
      </w:r>
      <w:r>
        <w:t xml:space="preserve"> </w:t>
      </w:r>
      <w:r>
        <w:t xml:space="preserve">target is never repeated within a list. The</w:t>
      </w:r>
      <w:r>
        <w:t xml:space="preserve"> </w:t>
      </w:r>
      <w:r>
        <w:rPr>
          <w:i/>
          <w:iCs/>
        </w:rPr>
        <w:t xml:space="preserve">generate</w:t>
      </w:r>
      <w:r>
        <w:t xml:space="preserve"> </w:t>
      </w:r>
      <w:r>
        <w:t xml:space="preserve">source builds pseudowords</w:t>
      </w:r>
      <w:r>
        <w:t xml:space="preserve"> </w:t>
      </w:r>
      <w:r>
        <w:t xml:space="preserve">by one of two methods set in</w:t>
      </w:r>
      <w:r>
        <w:t xml:space="preserve"> </w:t>
      </w:r>
      <w:r>
        <w:rPr>
          <w:rStyle w:val="VerbatimChar"/>
        </w:rPr>
        <w:t xml:space="preserve">items.generation.method</w:t>
      </w:r>
      <w:r>
        <w:t xml:space="preserve">. The default,</w:t>
      </w:r>
      <w:r>
        <w:t xml:space="preserve"> </w:t>
      </w:r>
      <w:r>
        <w:rPr>
          <w:rStyle w:val="VerbatimChar"/>
        </w:rPr>
        <w:t xml:space="preserve">letter_substitution</w:t>
      </w:r>
      <w:r>
        <w:t xml:space="preserve">, derives a length-matched, orthographically legal non-word</w:t>
      </w:r>
      <w:r>
        <w:t xml:space="preserve"> </w:t>
      </w:r>
      <w:r>
        <w:t xml:space="preserve">for each real word by changing the fewest letters such that every resulting</w:t>
      </w:r>
      <w:r>
        <w:t xml:space="preserve"> </w:t>
      </w:r>
      <w:r>
        <w:t xml:space="preserve">letter bigram is attested in the corpus and the form is not itself a word,</w:t>
      </w:r>
      <w:r>
        <w:t xml:space="preserve"> </w:t>
      </w:r>
      <w:r>
        <w:t xml:space="preserve">choosing among the legal candidates the most bigram-plausible with a byte-order</w:t>
      </w:r>
      <w:r>
        <w:t xml:space="preserve"> </w:t>
      </w:r>
      <w:r>
        <w:t xml:space="preserve">tie-break. The alternative,</w:t>
      </w:r>
      <w:r>
        <w:t xml:space="preserve"> </w:t>
      </w:r>
      <w:r>
        <w:rPr>
          <w:rStyle w:val="VerbatimChar"/>
        </w:rPr>
        <w:t xml:space="preserve">subsyllabic</w:t>
      </w:r>
      <w:r>
        <w:t xml:space="preserve">, splits each word into onset, nucleus</w:t>
      </w:r>
      <w:r>
        <w:t xml:space="preserve"> </w:t>
      </w:r>
      <w:r>
        <w:t xml:space="preserve">and coda constituents and swaps whole constituents for attested alternatives of</w:t>
      </w:r>
      <w:r>
        <w:t xml:space="preserve"> </w:t>
      </w:r>
      <w:r>
        <w:t xml:space="preserve">the same role and length, so that the pseudoword keeps the syllabic structure of</w:t>
      </w:r>
      <w:r>
        <w:t xml:space="preserve"> </w:t>
      </w:r>
      <w:r>
        <w:t xml:space="preserve">its base. Both are deterministic orthographic approximations of</w:t>
      </w:r>
      <w:r>
        <w:t xml:space="preserve"> </w:t>
      </w:r>
      <w:r>
        <w:t xml:space="preserve">‘Wuggy’</w:t>
      </w:r>
      <w:r>
        <w:t xml:space="preserve"> </w:t>
      </w:r>
      <w:r>
        <w:t xml:space="preserve">(Keuleers &amp; Brysbaert, 2010)</w:t>
      </w:r>
      <w:r>
        <w:t xml:space="preserve"> </w:t>
      </w:r>
      <w:r>
        <w:t xml:space="preserve">that add two guarantees of their own: length is matched</w:t>
      </w:r>
      <w:r>
        <w:t xml:space="preserve"> </w:t>
      </w:r>
      <w:r>
        <w:t xml:space="preserve">exactly, and the R and Python engines return byte-identical output.</w:t>
      </w:r>
    </w:p>
    <w:bookmarkEnd w:id="15"/>
    <w:bookmarkStart w:id="16" w:name="reproducibility-and-fair-compliance"/>
    <w:p>
      <w:pPr>
        <w:pStyle w:val="Heading2"/>
      </w:pPr>
      <w:r>
        <w:t xml:space="preserve">Reproducibility and FAIR compliance</w:t>
      </w:r>
    </w:p>
    <w:p>
      <w:pPr>
        <w:pStyle w:val="FirstParagraph"/>
      </w:pPr>
      <w:r>
        <w:t xml:space="preserve">‘lexsync’</w:t>
      </w:r>
      <w:r>
        <w:t xml:space="preserve"> </w:t>
      </w:r>
      <w:r>
        <w:t xml:space="preserve">declares its dependencies in a</w:t>
      </w:r>
      <w:r>
        <w:t xml:space="preserve"> </w:t>
      </w:r>
      <w:r>
        <w:rPr>
          <w:rStyle w:val="VerbatimChar"/>
        </w:rPr>
        <w:t xml:space="preserve">DESCRIPTION</w:t>
      </w:r>
      <w:r>
        <w:t xml:space="preserve"> </w:t>
      </w:r>
      <w:r>
        <w:t xml:space="preserve">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6"/>
    <w:bookmarkEnd w:id="17"/>
    <w:bookmarkStart w:id="32"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twelve demonstrations. The first six are</w:t>
      </w:r>
      <w:r>
        <w:t xml:space="preserve"> </w:t>
      </w:r>
      <w:r>
        <w:t xml:space="preserve">corpus-matched word contrasts; the next three exercise other paradigms; and the</w:t>
      </w:r>
      <w:r>
        <w:t xml:space="preserve"> </w:t>
      </w:r>
      <w:r>
        <w:t xml:space="preserve">final three reproduce designs from the published literature (see</w:t>
      </w:r>
      <w:r>
        <w:t xml:space="preserve"> </w:t>
      </w:r>
      <w:r>
        <w:rPr>
          <w:i/>
          <w:iCs/>
        </w:rPr>
        <w:t xml:space="preserve">Reproducing</w:t>
      </w:r>
      <w:r>
        <w:rPr>
          <w:i/>
          <w:iCs/>
        </w:rPr>
        <w:t xml:space="preserve"> </w:t>
      </w:r>
      <w:r>
        <w:rPr>
          <w:i/>
          <w:iCs/>
        </w:rPr>
        <w:t xml:space="preserve">published designs</w:t>
      </w:r>
      <w:r>
        <w:t xml:space="preserve">, below). The first four</w:t>
      </w:r>
      <w:r>
        <w:t xml:space="preserve"> </w:t>
      </w:r>
      <w:r>
        <w:t xml:space="preserve">matched contrasts cross two alphabetic languages: a high- versus low-frequency</w:t>
      </w:r>
      <w:r>
        <w:t xml:space="preserve"> </w:t>
      </w:r>
      <w:r>
        <w:t xml:space="preserve">contrast and a dense- versus sparse-neighbourhood contrast, each in English and</w:t>
      </w:r>
      <w:r>
        <w:t xml:space="preserve"> </w:t>
      </w:r>
      <w:r>
        <w:t xml:space="preserve">in Spanish, drawn from thirty-thousand-word lexica. The frequency contrast matches items on</w:t>
      </w:r>
      <w:r>
        <w:t xml:space="preserve"> </w:t>
      </w:r>
      <w:r>
        <w:t xml:space="preserve">length, neighbourhood density and OLD20; the neighbourhood contrast matches on</w:t>
      </w:r>
      <w:r>
        <w:t xml:space="preserve"> </w:t>
      </w:r>
      <w:r>
        <w:t xml:space="preserve">length and frequency. The fifth is a high- versus low-frequency contrast in</w:t>
      </w:r>
      <w:r>
        <w:t xml:space="preserve"> </w:t>
      </w:r>
      <w:r>
        <w:t xml:space="preserve">Mandarin Chinese, included to show that the pipeline generalises to a logographic</w:t>
      </w:r>
      <w:r>
        <w:t xml:space="preserve"> </w:t>
      </w:r>
      <w:r>
        <w:t xml:space="preserve">writing system (see</w:t>
      </w:r>
      <w:r>
        <w:t xml:space="preserve"> </w:t>
      </w:r>
      <w:r>
        <w:rPr>
          <w:i/>
          <w:iCs/>
        </w:rPr>
        <w:t xml:space="preserve">Generalisation to a logographic script</w:t>
      </w:r>
      <w:r>
        <w:t xml:space="preserve">, below). The sixth,</w:t>
      </w:r>
      <w:r>
        <w:t xml:space="preserve"> </w:t>
      </w:r>
      <w:r>
        <w:t xml:space="preserve">a further English contrast, additionally equates an orthographic syllable estimate and a</w:t>
      </w:r>
      <w:r>
        <w:t xml:space="preserve"> </w:t>
      </w:r>
      <w:r>
        <w:t xml:space="preserve">bigram-frequency measure, exercising the richer dimensions introduced with the</w:t>
      </w:r>
      <w:r>
        <w:t xml:space="preserve"> </w:t>
      </w:r>
      <w:r>
        <w:t xml:space="preserve">matching algorithm above. The remaining three (lexical decision, priming and</w:t>
      </w:r>
      <w:r>
        <w:t xml:space="preserve"> </w:t>
      </w:r>
      <w:r>
        <w:t xml:space="preserve">self-paced reading) show the trial-event model carrying word, pseudoword, paired</w:t>
      </w:r>
      <w:r>
        <w:t xml:space="preserve"> </w:t>
      </w:r>
      <w:r>
        <w:t xml:space="preserve">and sentence stimuli (see</w:t>
      </w:r>
      <w:r>
        <w:t xml:space="preserve"> </w:t>
      </w:r>
      <w:r>
        <w:rPr>
          <w:i/>
          <w:iCs/>
        </w:rPr>
        <w:t xml:space="preserve">Beyond word lists</w:t>
      </w:r>
      <w:r>
        <w:t xml:space="preserve">, below). Each demonstration was</w:t>
      </w:r>
      <w:r>
        <w:t xml:space="preserve"> </w:t>
      </w:r>
      <w:r>
        <w:t xml:space="preserve">produced by both the R and the Python engine. All tables and figures in this</w:t>
      </w:r>
      <w:r>
        <w:t xml:space="preserve"> </w:t>
      </w:r>
      <w:r>
        <w:t xml:space="preserve">section are computed at render time from the generated output.</w:t>
      </w:r>
      <w:r>
        <w:t xml:space="preserve"> </w:t>
      </w:r>
      <w:hyperlink w:anchor="tbl-summary">
        <w:r>
          <w:rPr>
            <w:rStyle w:val="Hyperlink"/>
          </w:rPr>
          <w:t xml:space="preserve">Table 1</w:t>
        </w:r>
      </w:hyperlink>
      <w:r>
        <w:t xml:space="preserve"> </w:t>
      </w:r>
      <w:r>
        <w:t xml:space="preserve">summarises the five frequency and neighbourhood contrasts, for which a</w:t>
      </w:r>
      <w:r>
        <w:t xml:space="preserve"> </w:t>
      </w:r>
      <w:r>
        <w:t xml:space="preserve">controlled-versus-manipulated report is defined. The remaining demonstrations</w:t>
      </w:r>
      <w:r>
        <w:t xml:space="preserve"> </w:t>
      </w:r>
      <w:r>
        <w:t xml:space="preserve">are described in their own sections.</w:t>
      </w:r>
    </w:p>
    <w:tbl>
      <w:tblPr>
        <w:tblStyle w:val="Table"/>
        <w:tblW w:type="pct" w:w="5000"/>
        <w:tblLayout w:type="fixed"/>
        <w:tblLook w:firstRow="0" w:lastRow="0" w:firstColumn="0" w:lastColumn="0" w:noHBand="0" w:noVBand="0" w:val="0000"/>
      </w:tblPr>
      <w:tblGrid>
        <w:gridCol w:w="7920"/>
      </w:tblGrid>
      <w:tr>
        <w:tc>
          <w:tcPr/>
          <w:bookmarkStart w:id="18" w:name="tbl-summary"/>
          <w:p>
            <w:pPr>
              <w:jc w:val="center"/>
            </w:pPr>
            <w:pPr>
              <w:jc w:val="left"/>
              <w:spacing w:before="200"/>
              <w:pStyle w:val="ImageCaption"/>
            </w:pPr>
            <w:r>
              <w:t xml:space="preserve">Table 1:</w:t>
            </w:r>
            <w:r>
              <w:t xml:space="preserve"> </w:t>
            </w:r>
            <w:r>
              <w:rPr>
                <w:i/>
                <w:iCs/>
              </w:rPr>
              <w:t xml:space="preserve">Manipulated and Controlled Standardised Mean Differences by Demonstration.</w:t>
            </w:r>
            <w:r>
              <w:t xml:space="preserve"> </w:t>
            </w:r>
            <w:r>
              <w:rPr>
                <w:i/>
                <w:iCs/>
              </w:rPr>
              <w:t xml:space="preserve">Note.</w:t>
            </w:r>
            <w:r>
              <w:t xml:space="preserve"> </w:t>
            </w:r>
            <w:r>
              <w:t xml:space="preserve">Each demonstration, its manipulated dimension and the absolute standardised mean difference (Cohen’s</w:t>
            </w:r>
            <w:r>
              <w:t xml:space="preserve"> </w:t>
            </w:r>
            <w:r>
              <w:rPr>
                <w:i/>
                <w:iCs/>
              </w:rPr>
              <w:t xml:space="preserve">d</w:t>
            </w:r>
            <w:r>
              <w:t xml:space="preserv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5.27</w:t>
                  </w:r>
                </w:p>
              </w:tc>
              <w:tc>
                <w:tcPr/>
                <w:p>
                  <w:pPr>
                    <w:pStyle w:val="Compact"/>
                    <w:jc w:val="right"/>
                    <w:jc w:val="center"/>
                  </w:pPr>
                  <w:r>
                    <w:t xml:space="preserve">0.04</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3.11</w:t>
                  </w:r>
                </w:p>
              </w:tc>
              <w:tc>
                <w:tcPr/>
                <w:p>
                  <w:pPr>
                    <w:pStyle w:val="Compact"/>
                    <w:jc w:val="right"/>
                    <w:jc w:val="center"/>
                  </w:pPr>
                  <w:r>
                    <w:t xml:space="preserve">0.00</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5.55</w:t>
                  </w:r>
                </w:p>
              </w:tc>
              <w:tc>
                <w:tcPr/>
                <w:p>
                  <w:pPr>
                    <w:pStyle w:val="Compact"/>
                    <w:jc w:val="right"/>
                    <w:jc w:val="center"/>
                  </w:pPr>
                  <w:r>
                    <w:t xml:space="preserve">0.08</w:t>
                  </w:r>
                </w:p>
              </w:tc>
            </w:tr>
            <w:tr>
              <w:tc>
                <w:tcPr/>
                <w:p>
                  <w:pPr>
                    <w:pStyle w:val="Compact"/>
                    <w:jc w:val="left"/>
                    <w:jc w:val="center"/>
                  </w:pPr>
                  <w:r>
                    <w:t xml:space="preserve">Spanish: neighbourhood contrast</w:t>
                  </w:r>
                </w:p>
              </w:tc>
              <w:tc>
                <w:tcPr/>
                <w:p>
                  <w:pPr>
                    <w:pStyle w:val="Compact"/>
                    <w:jc w:val="left"/>
                    <w:jc w:val="center"/>
                  </w:pPr>
                  <w:r>
                    <w:t xml:space="preserve">OLD20</w:t>
                  </w:r>
                </w:p>
              </w:tc>
              <w:tc>
                <w:tcPr/>
                <w:p>
                  <w:pPr>
                    <w:pStyle w:val="Compact"/>
                    <w:jc w:val="right"/>
                    <w:jc w:val="center"/>
                  </w:pPr>
                  <w:r>
                    <w:t xml:space="preserve">2.42</w:t>
                  </w:r>
                </w:p>
              </w:tc>
              <w:tc>
                <w:tcPr/>
                <w:p>
                  <w:pPr>
                    <w:pStyle w:val="Compact"/>
                    <w:jc w:val="right"/>
                    <w:jc w:val="center"/>
                  </w:pPr>
                  <w:r>
                    <w:t xml:space="preserve">0.00</w:t>
                  </w:r>
                </w:p>
              </w:tc>
            </w:tr>
            <w:tr>
              <w:tc>
                <w:tcPr/>
                <w:p>
                  <w:pPr>
                    <w:pStyle w:val="Compact"/>
                    <w:jc w:val="left"/>
                    <w:jc w:val="center"/>
                  </w:pPr>
                  <w:r>
                    <w:t xml:space="preserve">Chinese: frequency contrast</w:t>
                  </w:r>
                </w:p>
              </w:tc>
              <w:tc>
                <w:tcPr/>
                <w:p>
                  <w:pPr>
                    <w:pStyle w:val="Compact"/>
                    <w:jc w:val="left"/>
                    <w:jc w:val="center"/>
                  </w:pPr>
                  <w:r>
                    <w:t xml:space="preserve">Frequency (Zipf)</w:t>
                  </w:r>
                </w:p>
              </w:tc>
              <w:tc>
                <w:tcPr/>
                <w:p>
                  <w:pPr>
                    <w:pStyle w:val="Compact"/>
                    <w:jc w:val="right"/>
                    <w:jc w:val="center"/>
                  </w:pPr>
                  <w:r>
                    <w:t xml:space="preserve">6.00</w:t>
                  </w:r>
                </w:p>
              </w:tc>
              <w:tc>
                <w:tcPr/>
                <w:p>
                  <w:pPr>
                    <w:pStyle w:val="Compact"/>
                    <w:jc w:val="right"/>
                    <w:jc w:val="center"/>
                  </w:pPr>
                  <w:r>
                    <w:t xml:space="preserve">0.11</w:t>
                  </w:r>
                </w:p>
              </w:tc>
            </w:tr>
          </w:tbl>
          <w:bookmarkEnd w:id="18"/>
          <w:p/>
        </w:tc>
      </w:tr>
    </w:tbl>
    <w:p>
      <w:pPr>
        <w:pStyle w:val="BodyText"/>
      </w:pPr>
      <w:r>
        <w:t xml:space="preserve">The manipulated dimension is strongly separated in every demonstration, while the</w:t>
      </w:r>
      <w:r>
        <w:t xml:space="preserve"> </w:t>
      </w:r>
      <w:r>
        <w:t xml:space="preserve">control dimensions show standardised mean differences well below the</w:t>
      </w:r>
      <w:r>
        <w:t xml:space="preserve"> </w:t>
      </w:r>
      <w:r>
        <w:t xml:space="preserve">0.5-standard-deviation bound.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reference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2" w:name="fig-balance"/>
          <w:p>
            <w:pPr>
              <w:pStyle w:val="Compact"/>
              <w:jc w:val="center"/>
            </w:pPr>
            <w:r>
              <w:drawing>
                <wp:inline>
                  <wp:extent cx="5334000" cy="3259666"/>
                  <wp:effectExtent b="0" l="0" r="0" t="0"/>
                  <wp:docPr descr="" title="" id="20" name="Picture"/>
                  <a:graphic>
                    <a:graphicData uri="http://schemas.openxmlformats.org/drawingml/2006/picture">
                      <pic:pic>
                        <pic:nvPicPr>
                          <pic:cNvPr descr="manuscript_files/figure-docx/fig-balance-1.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Absolute Standardised Mean Differences by Dimension and Demonstration.</w:t>
            </w:r>
            <w:r>
              <w:t xml:space="preserve"> </w:t>
            </w:r>
            <w:r>
              <w:rPr>
                <w:i/>
                <w:iCs/>
              </w:rPr>
              <w:t xml:space="preserve">Note.</w:t>
            </w:r>
            <w:r>
              <w:t xml:space="preserve"> </w:t>
            </w:r>
            <w:r>
              <w:t xml:space="preserve">Absolute standardised mean difference (Cohen’s</w:t>
            </w:r>
            <w:r>
              <w:t xml:space="preserve"> </w:t>
            </w:r>
            <w:r>
              <w:rPr>
                <w:i/>
                <w:iCs/>
              </w:rPr>
              <w:t xml:space="preserve">d</w:t>
            </w:r>
            <w:r>
              <w:t xml:space="preserve">) of each dimension against the anchor condition. The dashed line is the 0.5-</w:t>
            </w:r>
            <w:r>
              <w:rPr>
                <w:i/>
                <w:iCs/>
              </w:rPr>
              <w:t xml:space="preserve">SD</w:t>
            </w:r>
            <w:r>
              <w:t xml:space="preserve"> </w:t>
            </w:r>
            <w:r>
              <w:t xml:space="preserve">reference bound (the smallest effect of interest for the equivalence test). Manipulated dimensions (orange) lie far to the right; matched dimensions (green) cluster near zero. In the neighbourhood contrasts OLD20 is free to co-vary (purple), reflecting its known correlation with Coltheart’s N.</w:t>
            </w:r>
          </w:p>
          <w:bookmarkEnd w:id="22"/>
        </w:tc>
      </w:tr>
    </w:tbl>
    <w:p>
      <w:pPr>
        <w:pStyle w:val="BodyText"/>
      </w:pPr>
      <w:r>
        <w:t xml:space="preserve">The realised control is best read from the effect sizes and their intervals.</w:t>
      </w:r>
      <w:r>
        <w:t xml:space="preserve"> </w:t>
      </w:r>
      <w:hyperlink w:anchor="tbl-tost">
        <w:r>
          <w:rPr>
            <w:rStyle w:val="Hyperlink"/>
          </w:rPr>
          <w:t xml:space="preserve">Table 2</w:t>
        </w:r>
      </w:hyperlink>
      <w:r>
        <w:t xml:space="preserve"> </w:t>
      </w:r>
      <w:r>
        <w:t xml:space="preserve">lists, for the controlled dimensions of each demonstration, Cohen’s</w:t>
      </w:r>
      <w:r>
        <w:t xml:space="preserve"> </w:t>
      </w:r>
      <w:r>
        <w:rPr>
          <w:i/>
          <w:iCs/>
        </w:rPr>
        <w:t xml:space="preserve">d</w:t>
      </w:r>
      <w:r>
        <w:t xml:space="preserve"> </w:t>
      </w:r>
      <w:r>
        <w:t xml:space="preserve">against the anchor, its 90% confidence interval and the complementary TOST verdict</w:t>
      </w:r>
      <w:r>
        <w:t xml:space="preserve"> </w:t>
      </w:r>
      <w:r>
        <w:t xml:space="preserve">at the 0.5-</w:t>
      </w:r>
      <w:r>
        <w:rPr>
          <w:i/>
          <w:iCs/>
        </w:rPr>
        <w:t xml:space="preserve">SD</w:t>
      </w:r>
      <w:r>
        <w:t xml:space="preserve"> </w:t>
      </w:r>
      <w:r>
        <w:t xml:space="preserve">bound.</w:t>
      </w:r>
    </w:p>
    <w:tbl>
      <w:tblPr>
        <w:tblStyle w:val="Table"/>
        <w:tblW w:type="pct" w:w="5000"/>
        <w:tblLayout w:type="fixed"/>
        <w:tblLook w:firstRow="0" w:lastRow="0" w:firstColumn="0" w:lastColumn="0" w:noHBand="0" w:noVBand="0" w:val="0000"/>
      </w:tblPr>
      <w:tblGrid>
        <w:gridCol w:w="7920"/>
      </w:tblGrid>
      <w:tr>
        <w:tc>
          <w:tcPr/>
          <w:bookmarkStart w:id="23" w:name="tbl-tost"/>
          <w:p>
            <w:pPr>
              <w:jc w:val="center"/>
            </w:pPr>
            <w:pPr>
              <w:jc w:val="left"/>
              <w:spacing w:before="200"/>
              <w:pStyle w:val="ImageCaption"/>
            </w:pPr>
            <w:r>
              <w:t xml:space="preserve">Table 2:</w:t>
            </w:r>
            <w:r>
              <w:t xml:space="preserve"> </w:t>
            </w:r>
            <w:r>
              <w:rPr>
                <w:i/>
                <w:iCs/>
              </w:rPr>
              <w:t xml:space="preserve">Realised Control on the Controlled Dimensions: Effect Sizes With Confidence Intervals and the Complementary Equivalence Test.</w:t>
            </w:r>
            <w:r>
              <w:t xml:space="preserve"> </w:t>
            </w:r>
            <w:r>
              <w:rPr>
                <w:i/>
                <w:iCs/>
              </w:rPr>
              <w:t xml:space="preserve">Note.</w:t>
            </w:r>
            <w:r>
              <w:t xml:space="preserve"> </w:t>
            </w:r>
            <w:r>
              <w:t xml:space="preserve">For each demonstration’s controlled (matched) dimensions: the standardised mean difference (Cohen’s</w:t>
            </w:r>
            <w:r>
              <w:t xml:space="preserve"> </w:t>
            </w:r>
            <w:r>
              <w:rPr>
                <w:i/>
                <w:iCs/>
              </w:rPr>
              <w:t xml:space="preserve">d</w:t>
            </w:r>
            <w:r>
              <w:t xml:space="preserve">) against the anchor, its 90% confidence interval, and the two one-sided tests (TOST)</w:t>
            </w:r>
            <w:r>
              <w:t xml:space="preserve"> </w:t>
            </w:r>
            <w:r>
              <w:rPr>
                <w:i/>
                <w:iCs/>
              </w:rPr>
              <w:t xml:space="preserve">p</w:t>
            </w:r>
            <w:r>
              <w:t xml:space="preserve"> </w:t>
            </w:r>
            <w:r>
              <w:t xml:space="preserve">value and verdict at the 0.5-</w:t>
            </w:r>
            <w:r>
              <w:rPr>
                <w:i/>
                <w:iCs/>
              </w:rPr>
              <w:t xml:space="preserve">SD</w:t>
            </w:r>
            <w:r>
              <w:t xml:space="preserve"> </w:t>
            </w:r>
            <w:r>
              <w:t xml:space="preserve">bound. The 90% interval is the one coherent with a .05-level TOST. R engine.</w:t>
            </w:r>
          </w:p>
          <w:tbl>
            <w:tblPr>
              <w:tblStyle w:val="Table"/>
              <w:tblW w:type="pct" w:w="5000"/>
              <w:tblLayout w:type="fixed"/>
              <w:tblLook w:firstRow="1" w:lastRow="0" w:firstColumn="0" w:lastColumn="0" w:noHBand="0" w:noVBand="0" w:val="0020"/>
            </w:tblPr>
            <w:tblGrid>
              <w:gridCol w:w="2785"/>
              <w:gridCol w:w="1479"/>
              <w:gridCol w:w="870"/>
              <w:gridCol w:w="1218"/>
              <w:gridCol w:w="609"/>
              <w:gridCol w:w="957"/>
            </w:tblGrid>
            <w:tr>
              <w:trPr>
                <w:tblHeader w:val="on"/>
              </w:trPr>
              <w:tc>
                <w:tcPr/>
                <w:p>
                  <w:pPr>
                    <w:pStyle w:val="Compact"/>
                    <w:jc w:val="left"/>
                    <w:jc w:val="center"/>
                  </w:pPr>
                  <w:r>
                    <w:t xml:space="preserve">Demonstration</w:t>
                  </w:r>
                </w:p>
              </w:tc>
              <w:tc>
                <w:tcPr/>
                <w:p>
                  <w:pPr>
                    <w:pStyle w:val="Compact"/>
                    <w:jc w:val="left"/>
                    <w:jc w:val="center"/>
                  </w:pPr>
                  <w:r>
                    <w:t xml:space="preserve">Dimension</w:t>
                  </w:r>
                </w:p>
              </w:tc>
              <w:tc>
                <w:tcPr/>
                <w:p>
                  <w:pPr>
                    <w:pStyle w:val="Compact"/>
                    <w:jc w:val="right"/>
                    <w:jc w:val="center"/>
                  </w:pPr>
                  <w:r>
                    <w:t xml:space="preserve">Cohen’s d</w:t>
                  </w:r>
                </w:p>
              </w:tc>
              <w:tc>
                <w:tcPr/>
                <w:p>
                  <w:pPr>
                    <w:pStyle w:val="Compact"/>
                    <w:jc w:val="left"/>
                    <w:jc w:val="center"/>
                  </w:pPr>
                  <w:r>
                    <w:t xml:space="preserve">90% CI</w:t>
                  </w:r>
                </w:p>
              </w:tc>
              <w:tc>
                <w:tcPr/>
                <w:p>
                  <w:pPr>
                    <w:pStyle w:val="Compact"/>
                    <w:jc w:val="right"/>
                    <w:jc w:val="center"/>
                  </w:pPr>
                  <w:r>
                    <w:t xml:space="preserve">TOST p</w:t>
                  </w:r>
                </w:p>
              </w:tc>
              <w:tc>
                <w:tcPr/>
                <w:p>
                  <w:pPr>
                    <w:pStyle w:val="Compact"/>
                    <w:jc w:val="left"/>
                    <w:jc w:val="center"/>
                  </w:pPr>
                  <w:r>
                    <w:t xml:space="preserve">Equivalent</w:t>
                  </w:r>
                </w:p>
              </w:tc>
            </w:tr>
            <w:tr>
              <w:tc>
                <w:tcPr/>
                <w:p>
                  <w:pPr>
                    <w:pStyle w:val="Compact"/>
                    <w:jc w:val="left"/>
                    <w:jc w:val="center"/>
                  </w:pPr>
                  <w:r>
                    <w:t xml:space="preserve">Chinese: frequency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[0.00, 0.00]</w:t>
                  </w:r>
                </w:p>
              </w:tc>
              <w:tc>
                <w:tcPr/>
                <w:p>
                  <w:pPr>
                    <w:pStyle w:val="Compact"/>
                    <w:jc w:val="right"/>
                    <w:jc w:val="center"/>
                  </w:pPr>
                  <w:r>
                    <w:t xml:space="preserve">0.000</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Neighbourhood N</w:t>
                  </w:r>
                </w:p>
              </w:tc>
              <w:tc>
                <w:tcPr/>
                <w:p>
                  <w:pPr>
                    <w:pStyle w:val="Compact"/>
                    <w:jc w:val="right"/>
                    <w:jc w:val="center"/>
                  </w:pPr>
                  <w:r>
                    <w:t xml:space="preserve">0.071</w:t>
                  </w:r>
                </w:p>
              </w:tc>
              <w:tc>
                <w:tcPr/>
                <w:p>
                  <w:pPr>
                    <w:pStyle w:val="Compact"/>
                    <w:jc w:val="left"/>
                    <w:jc w:val="center"/>
                  </w:pPr>
                  <w:r>
                    <w:t xml:space="preserve">[-0.19, 0.33]</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OLD20</w:t>
                  </w:r>
                </w:p>
              </w:tc>
              <w:tc>
                <w:tcPr/>
                <w:p>
                  <w:pPr>
                    <w:pStyle w:val="Compact"/>
                    <w:jc w:val="right"/>
                    <w:jc w:val="center"/>
                  </w:pPr>
                  <w:r>
                    <w:t xml:space="preserve">0.106</w:t>
                  </w:r>
                </w:p>
              </w:tc>
              <w:tc>
                <w:tcPr/>
                <w:p>
                  <w:pPr>
                    <w:pStyle w:val="Compact"/>
                    <w:jc w:val="left"/>
                    <w:jc w:val="center"/>
                  </w:pPr>
                  <w:r>
                    <w:t xml:space="preserve">[-0.15, 0.37]</w:t>
                  </w:r>
                </w:p>
              </w:tc>
              <w:tc>
                <w:tcPr/>
                <w:p>
                  <w:pPr>
                    <w:pStyle w:val="Compact"/>
                    <w:jc w:val="right"/>
                    <w:jc w:val="center"/>
                  </w:pPr>
                  <w:r>
                    <w:t xml:space="preserve">0.007</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Length</w:t>
                  </w:r>
                </w:p>
              </w:tc>
              <w:tc>
                <w:tcPr/>
                <w:p>
                  <w:pPr>
                    <w:pStyle w:val="Compact"/>
                    <w:jc w:val="right"/>
                    <w:jc w:val="center"/>
                  </w:pPr>
                  <w:r>
                    <w:t xml:space="preserve">0.027</w:t>
                  </w:r>
                </w:p>
              </w:tc>
              <w:tc>
                <w:tcPr/>
                <w:p>
                  <w:pPr>
                    <w:pStyle w:val="Compact"/>
                    <w:jc w:val="left"/>
                    <w:jc w:val="center"/>
                  </w:pPr>
                  <w:r>
                    <w:t xml:space="preserve">[-0.23, 0.29]</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Neighbourhood N</w:t>
                  </w:r>
                </w:p>
              </w:tc>
              <w:tc>
                <w:tcPr/>
                <w:p>
                  <w:pPr>
                    <w:pStyle w:val="Compact"/>
                    <w:jc w:val="right"/>
                    <w:jc w:val="center"/>
                  </w:pPr>
                  <w:r>
                    <w:t xml:space="preserve">0.038</w:t>
                  </w:r>
                </w:p>
              </w:tc>
              <w:tc>
                <w:tcPr/>
                <w:p>
                  <w:pPr>
                    <w:pStyle w:val="Compact"/>
                    <w:jc w:val="left"/>
                    <w:jc w:val="center"/>
                  </w:pPr>
                  <w:r>
                    <w:t xml:space="preserve">[-0.22, 0.30]</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OLD20</w:t>
                  </w:r>
                </w:p>
              </w:tc>
              <w:tc>
                <w:tcPr/>
                <w:p>
                  <w:pPr>
                    <w:pStyle w:val="Compact"/>
                    <w:jc w:val="right"/>
                    <w:jc w:val="center"/>
                  </w:pPr>
                  <w:r>
                    <w:t xml:space="preserve">0.009</w:t>
                  </w:r>
                </w:p>
              </w:tc>
              <w:tc>
                <w:tcPr/>
                <w:p>
                  <w:pPr>
                    <w:pStyle w:val="Compact"/>
                    <w:jc w:val="left"/>
                    <w:jc w:val="center"/>
                  </w:pPr>
                  <w:r>
                    <w:t xml:space="preserve">[-0.25,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Length</w:t>
                  </w:r>
                </w:p>
              </w:tc>
              <w:tc>
                <w:tcPr/>
                <w:p>
                  <w:pPr>
                    <w:pStyle w:val="Compact"/>
                    <w:jc w:val="right"/>
                    <w:jc w:val="center"/>
                  </w:pPr>
                  <w:r>
                    <w:t xml:space="preserve">0.049</w:t>
                  </w:r>
                </w:p>
              </w:tc>
              <w:tc>
                <w:tcPr/>
                <w:p>
                  <w:pPr>
                    <w:pStyle w:val="Compact"/>
                    <w:jc w:val="left"/>
                    <w:jc w:val="center"/>
                  </w:pPr>
                  <w:r>
                    <w:t xml:space="preserve">[-0.21, 0.31]</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Neighbourhood N</w:t>
                  </w:r>
                </w:p>
              </w:tc>
              <w:tc>
                <w:tcPr/>
                <w:p>
                  <w:pPr>
                    <w:pStyle w:val="Compact"/>
                    <w:jc w:val="right"/>
                    <w:jc w:val="center"/>
                  </w:pPr>
                  <w:r>
                    <w:t xml:space="preserve">0.077</w:t>
                  </w:r>
                </w:p>
              </w:tc>
              <w:tc>
                <w:tcPr/>
                <w:p>
                  <w:pPr>
                    <w:pStyle w:val="Compact"/>
                    <w:jc w:val="left"/>
                    <w:jc w:val="center"/>
                  </w:pPr>
                  <w:r>
                    <w:t xml:space="preserve">[-0.18, 0.34]</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OLD20</w:t>
                  </w:r>
                </w:p>
              </w:tc>
              <w:tc>
                <w:tcPr/>
                <w:p>
                  <w:pPr>
                    <w:pStyle w:val="Compact"/>
                    <w:jc w:val="right"/>
                    <w:jc w:val="center"/>
                  </w:pPr>
                  <w:r>
                    <w:t xml:space="preserve">0.006</w:t>
                  </w:r>
                </w:p>
              </w:tc>
              <w:tc>
                <w:tcPr/>
                <w:p>
                  <w:pPr>
                    <w:pStyle w:val="Compact"/>
                    <w:jc w:val="left"/>
                    <w:jc w:val="center"/>
                  </w:pPr>
                  <w:r>
                    <w:t xml:space="preserve">[-0.26,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bl>
          <w:bookmarkEnd w:id="23"/>
          <w:p/>
        </w:tc>
      </w:tr>
    </w:tbl>
    <w:p>
      <w:pPr>
        <w:pStyle w:val="BodyText"/>
      </w:pPr>
      <w:r>
        <w:t xml:space="preserve">In every demonstration each controlled dimension’s 90% confidence interval lies</w:t>
      </w:r>
      <w:r>
        <w:t xml:space="preserve"> </w:t>
      </w:r>
      <w:r>
        <w:t xml:space="preserve">within the 0.5-</w:t>
      </w:r>
      <w:r>
        <w:rPr>
          <w:i/>
          <w:iCs/>
        </w:rPr>
        <w:t xml:space="preserve">SD</w:t>
      </w:r>
      <w:r>
        <w:t xml:space="preserve"> </w:t>
      </w:r>
      <w:r>
        <w:t xml:space="preserve">bound (</w:t>
      </w:r>
      <w:r>
        <w:rPr>
          <w:i/>
          <w:iCs/>
        </w:rPr>
        <w:t xml:space="preserve">n</w:t>
      </w:r>
      <w:r>
        <w:t xml:space="preserve"> </w:t>
      </w:r>
      <w:r>
        <w:t xml:space="preserve">= 80 per condition), so the realised imbalance is</w:t>
      </w:r>
      <w:r>
        <w:t xml:space="preserve"> </w:t>
      </w:r>
      <w:r>
        <w:t xml:space="preserve">small even at the interval’s far end, not merely non-significant. The TOST agrees,</w:t>
      </w:r>
      <w:r>
        <w:t xml:space="preserve"> </w:t>
      </w:r>
      <w:r>
        <w:t xml:space="preserve">declaring each dimension equivalent at the .05 level, but the interval is the more</w:t>
      </w:r>
      <w:r>
        <w:t xml:space="preserve"> </w:t>
      </w:r>
      <w:r>
        <w:t xml:space="preserve">informative statement because it would widen, and the claim would weaken, were the</w:t>
      </w:r>
      <w:r>
        <w:t xml:space="preserve"> </w:t>
      </w:r>
      <w:r>
        <w:t xml:space="preserve">item count reduced. The neighbourhood contrasts are the demanding case:</w:t>
      </w:r>
      <w:r>
        <w:t xml:space="preserve"> </w:t>
      </w:r>
      <w:r>
        <w:t xml:space="preserve">neighbourhood density is intrinsically correlated with word length and frequency,</w:t>
      </w:r>
      <w:r>
        <w:t xml:space="preserve"> </w:t>
      </w:r>
      <w:r>
        <w:t xml:space="preserve">so a per-anchor match leaves a residual on length (Cohen’s</w:t>
      </w:r>
      <w:r>
        <w:t xml:space="preserve"> </w:t>
      </w:r>
      <w:r>
        <w:rPr>
          <w:i/>
          <w:iCs/>
        </w:rPr>
        <w:t xml:space="preserve">d</w:t>
      </w:r>
      <w:r>
        <w:t xml:space="preserve"> </w:t>
      </w:r>
      <w:r>
        <w:t xml:space="preserve">≈ 0.25). The</w:t>
      </w:r>
      <w:r>
        <w:t xml:space="preserve"> </w:t>
      </w:r>
      <w:r>
        <w:rPr>
          <w:rStyle w:val="VerbatimChar"/>
        </w:rPr>
        <w:t xml:space="preserve">joint</w:t>
      </w:r>
      <w:r>
        <w:t xml:space="preserve"> </w:t>
      </w:r>
      <w:r>
        <w:t xml:space="preserve">matching method removes it: by selecting the best-matched dense–sparse</w:t>
      </w:r>
      <w:r>
        <w:t xml:space="preserve"> </w:t>
      </w:r>
      <w:r>
        <w:t xml:space="preserve">pairs jointly it equates length and frequency almost exactly (</w:t>
      </w:r>
      <w:r>
        <w:rPr>
          <w:i/>
          <w:iCs/>
        </w:rPr>
        <w:t xml:space="preserve">d</w:t>
      </w:r>
      <w:r>
        <w:t xml:space="preserve"> </w:t>
      </w:r>
      <w:r>
        <w:t xml:space="preserve">≈ 0.00 on both,</w:t>
      </w:r>
      <w:r>
        <w:t xml:space="preserve"> </w:t>
      </w:r>
      <w:r>
        <w:t xml:space="preserve">with intervals tightly around zero) while the density contrast remains an order of</w:t>
      </w:r>
      <w:r>
        <w:t xml:space="preserve"> </w:t>
      </w:r>
      <w:r>
        <w:t xml:space="preserve">magnitude larger (</w:t>
      </w:r>
      <w:r>
        <w:rPr>
          <w:i/>
          <w:iCs/>
        </w:rPr>
        <w:t xml:space="preserve">d</w:t>
      </w:r>
      <w:r>
        <w:t xml:space="preserve"> </w:t>
      </w:r>
      <w:r>
        <w:t xml:space="preserve">&gt; 2). The confound is thus a solved engineering problem</w:t>
      </w:r>
      <w:r>
        <w:t xml:space="preserve"> </w:t>
      </w:r>
      <w:r>
        <w:t xml:space="preserve">rather than an inherent limit on the design, and</w:t>
      </w:r>
      <w:r>
        <w:t xml:space="preserve"> </w:t>
      </w:r>
      <w:r>
        <w:t xml:space="preserve">‘lexsync’</w:t>
      </w:r>
      <w:r>
        <w:t xml:space="preserve"> </w:t>
      </w:r>
      <w:r>
        <w:t xml:space="preserve">reports the realised</w:t>
      </w:r>
      <w:r>
        <w:t xml:space="preserve"> </w:t>
      </w:r>
      <w:r>
        <w:t xml:space="preserve">control transparently, with effect size and interval first and the equivalence test</w:t>
      </w:r>
      <w:r>
        <w:t xml:space="preserve"> </w:t>
      </w:r>
      <w:r>
        <w:t xml:space="preserve">as a bound-referenced complement</w:t>
      </w:r>
      <w:r>
        <w:t xml:space="preserve"> </w:t>
      </w:r>
      <w:r>
        <w:t xml:space="preserve">(Lakens, 2017; Sassenhagen &amp; Alday, 2016)</w:t>
      </w:r>
      <w:r>
        <w:t xml:space="preserve">.</w:t>
      </w:r>
    </w:p>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3</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4</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4" w:name="tbl-desc-freq"/>
          <w:p>
            <w:pPr>
              <w:jc w:val="center"/>
            </w:pPr>
            <w:pPr>
              <w:jc w:val="left"/>
              <w:spacing w:before="200"/>
              <w:pStyle w:val="ImageCaption"/>
            </w:pPr>
            <w:r>
              <w:t xml:space="preserve">Table 3:</w:t>
            </w:r>
            <w:r>
              <w:t xml:space="preserve"> </w:t>
            </w:r>
            <w:r>
              <w:rPr>
                <w:i/>
                <w:iCs/>
              </w:rPr>
              <w:t xml:space="preserve">Descriptive Statistics per Condition: English Frequency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1827"/>
              <w:gridCol w:w="2071"/>
              <w:gridCol w:w="365"/>
              <w:gridCol w:w="731"/>
              <w:gridCol w:w="731"/>
              <w:gridCol w:w="609"/>
              <w:gridCol w:w="852"/>
              <w:gridCol w:w="731"/>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4.700</w:t>
                  </w:r>
                </w:p>
              </w:tc>
              <w:tc>
                <w:tcPr/>
                <w:p>
                  <w:pPr>
                    <w:pStyle w:val="Compact"/>
                    <w:jc w:val="right"/>
                    <w:jc w:val="center"/>
                  </w:pPr>
                  <w:r>
                    <w:t xml:space="preserve">1.427</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8.00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5.578</w:t>
                  </w:r>
                </w:p>
              </w:tc>
              <w:tc>
                <w:tcPr/>
                <w:p>
                  <w:pPr>
                    <w:pStyle w:val="Compact"/>
                    <w:jc w:val="right"/>
                    <w:jc w:val="center"/>
                  </w:pPr>
                  <w:r>
                    <w:t xml:space="preserve">0.369</w:t>
                  </w:r>
                </w:p>
              </w:tc>
              <w:tc>
                <w:tcPr/>
                <w:p>
                  <w:pPr>
                    <w:pStyle w:val="Compact"/>
                    <w:jc w:val="right"/>
                    <w:jc w:val="center"/>
                  </w:pPr>
                  <w:r>
                    <w:t xml:space="preserve">5.20</w:t>
                  </w:r>
                </w:p>
              </w:tc>
              <w:tc>
                <w:tcPr/>
                <w:p>
                  <w:pPr>
                    <w:pStyle w:val="Compact"/>
                    <w:jc w:val="right"/>
                    <w:jc w:val="center"/>
                  </w:pPr>
                  <w:r>
                    <w:t xml:space="preserve">5.455</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7.812</w:t>
                  </w:r>
                </w:p>
              </w:tc>
              <w:tc>
                <w:tcPr/>
                <w:p>
                  <w:pPr>
                    <w:pStyle w:val="Compact"/>
                    <w:jc w:val="right"/>
                    <w:jc w:val="center"/>
                  </w:pPr>
                  <w:r>
                    <w:t xml:space="preserve">8.344</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34.00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1.629</w:t>
                  </w:r>
                </w:p>
              </w:tc>
              <w:tc>
                <w:tcPr/>
                <w:p>
                  <w:pPr>
                    <w:pStyle w:val="Compact"/>
                    <w:jc w:val="right"/>
                    <w:jc w:val="center"/>
                  </w:pPr>
                  <w:r>
                    <w:t xml:space="preserve">0.541</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3.10</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4.662</w:t>
                  </w:r>
                </w:p>
              </w:tc>
              <w:tc>
                <w:tcPr/>
                <w:p>
                  <w:pPr>
                    <w:pStyle w:val="Compact"/>
                    <w:jc w:val="right"/>
                    <w:jc w:val="center"/>
                  </w:pPr>
                  <w:r>
                    <w:t xml:space="preserve">1.350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4.064</w:t>
                  </w:r>
                </w:p>
              </w:tc>
              <w:tc>
                <w:tcPr/>
                <w:p>
                  <w:pPr>
                    <w:pStyle w:val="Compact"/>
                    <w:jc w:val="right"/>
                    <w:jc w:val="center"/>
                  </w:pPr>
                  <w:r>
                    <w:t xml:space="preserve">0.170</w:t>
                  </w:r>
                </w:p>
              </w:tc>
              <w:tc>
                <w:tcPr/>
                <w:p>
                  <w:pPr>
                    <w:pStyle w:val="Compact"/>
                    <w:jc w:val="right"/>
                    <w:jc w:val="center"/>
                  </w:pPr>
                  <w:r>
                    <w:t xml:space="preserve">3.82</w:t>
                  </w:r>
                </w:p>
              </w:tc>
              <w:tc>
                <w:tcPr/>
                <w:p>
                  <w:pPr>
                    <w:pStyle w:val="Compact"/>
                    <w:jc w:val="right"/>
                    <w:jc w:val="center"/>
                  </w:pPr>
                  <w:r>
                    <w:t xml:space="preserve">4.035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7.513</w:t>
                  </w:r>
                </w:p>
              </w:tc>
              <w:tc>
                <w:tcPr/>
                <w:p>
                  <w:pPr>
                    <w:pStyle w:val="Compact"/>
                    <w:jc w:val="right"/>
                    <w:jc w:val="center"/>
                  </w:pPr>
                  <w:r>
                    <w:t xml:space="preserve">7.480</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24.00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1.624</w:t>
                  </w:r>
                </w:p>
              </w:tc>
              <w:tc>
                <w:tcPr/>
                <w:p>
                  <w:pPr>
                    <w:pStyle w:val="Compact"/>
                    <w:jc w:val="right"/>
                    <w:jc w:val="center"/>
                  </w:pPr>
                  <w:r>
                    <w:t xml:space="preserve">0.518</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2.70</w:t>
                  </w:r>
                </w:p>
              </w:tc>
            </w:tr>
          </w:tbl>
          <w:bookmarkEnd w:id="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desc-nd"/>
          <w:p>
            <w:pPr>
              <w:jc w:val="center"/>
            </w:pPr>
            <w:pPr>
              <w:jc w:val="left"/>
              <w:spacing w:before="200"/>
              <w:pStyle w:val="ImageCaption"/>
            </w:pPr>
            <w:r>
              <w:t xml:space="preserve">Table 4:</w:t>
            </w:r>
            <w:r>
              <w:t xml:space="preserve"> </w:t>
            </w:r>
            <w:r>
              <w:rPr>
                <w:i/>
                <w:iCs/>
              </w:rPr>
              <w:t xml:space="preserve">Descriptive Statistics per Condition: English Neighbourhood-Density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8.363</w:t>
                  </w:r>
                </w:p>
              </w:tc>
              <w:tc>
                <w:tcPr/>
                <w:p>
                  <w:pPr>
                    <w:pStyle w:val="Compact"/>
                    <w:jc w:val="right"/>
                    <w:jc w:val="center"/>
                  </w:pPr>
                  <w:r>
                    <w:t xml:space="preserve">3.530</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20.00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1.448</w:t>
                  </w:r>
                </w:p>
              </w:tc>
              <w:tc>
                <w:tcPr/>
                <w:p>
                  <w:pPr>
                    <w:pStyle w:val="Compact"/>
                    <w:jc w:val="right"/>
                    <w:jc w:val="center"/>
                  </w:pPr>
                  <w:r>
                    <w:t xml:space="preserve">0.197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0.525</w:t>
                  </w:r>
                </w:p>
              </w:tc>
              <w:tc>
                <w:tcPr/>
                <w:p>
                  <w:pPr>
                    <w:pStyle w:val="Compact"/>
                    <w:jc w:val="right"/>
                    <w:jc w:val="center"/>
                  </w:pPr>
                  <w:r>
                    <w:t xml:space="preserve">0.503</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1.970</w:t>
                  </w:r>
                </w:p>
              </w:tc>
              <w:tc>
                <w:tcPr/>
                <w:p>
                  <w:pPr>
                    <w:pStyle w:val="Compact"/>
                    <w:jc w:val="right"/>
                    <w:jc w:val="center"/>
                  </w:pPr>
                  <w:r>
                    <w:t xml:space="preserve">0.253</w:t>
                  </w:r>
                </w:p>
              </w:tc>
              <w:tc>
                <w:tcPr/>
                <w:p>
                  <w:pPr>
                    <w:pStyle w:val="Compact"/>
                    <w:jc w:val="right"/>
                    <w:jc w:val="center"/>
                  </w:pPr>
                  <w:r>
                    <w:t xml:space="preserve">1.60</w:t>
                  </w:r>
                </w:p>
              </w:tc>
              <w:tc>
                <w:tcPr/>
                <w:p>
                  <w:pPr>
                    <w:pStyle w:val="Compact"/>
                    <w:jc w:val="right"/>
                    <w:jc w:val="center"/>
                  </w:pPr>
                  <w:r>
                    <w:t xml:space="preserve">1.900</w:t>
                  </w:r>
                </w:p>
              </w:tc>
              <w:tc>
                <w:tcPr/>
                <w:p>
                  <w:pPr>
                    <w:pStyle w:val="Compact"/>
                    <w:jc w:val="right"/>
                    <w:jc w:val="center"/>
                  </w:pPr>
                  <w:r>
                    <w:t xml:space="preserve">2.95</w:t>
                  </w:r>
                </w:p>
              </w:tc>
            </w:tr>
          </w:tbl>
          <w:bookmarkEnd w:id="25"/>
          <w:p/>
        </w:tc>
      </w:tr>
    </w:tbl>
    <w:bookmarkStart w:id="28" w:name="generalisation-to-a-logographic-script"/>
    <w:p>
      <w:pPr>
        <w:pStyle w:val="Heading2"/>
      </w:pPr>
      <w:r>
        <w:t xml:space="preserve">Generalisation to a logographic script</w:t>
      </w:r>
    </w:p>
    <w:p>
      <w:pPr>
        <w:pStyle w:val="FirstParagraph"/>
      </w:pPr>
      <w:r>
        <w:t xml:space="preserve">The orthographic-neighbourhood measures operate on character strings, so the</w:t>
      </w:r>
      <w:r>
        <w:t xml:space="preserve"> </w:t>
      </w:r>
      <w:r>
        <w:t xml:space="preserve">pipeline is not tied to alphabetic writing. To show this concretely, the fifth</w:t>
      </w:r>
      <w:r>
        <w:t xml:space="preserve"> </w:t>
      </w:r>
      <w:r>
        <w:t xml:space="preserve">demonstration is a high- versus low-frequency contrast in Mandarin Chinese. Its</w:t>
      </w:r>
      <w:r>
        <w:t xml:space="preserve"> </w:t>
      </w:r>
      <w:r>
        <w:t xml:space="preserve">lexicon is derived from the same engine as the others (</w:t>
      </w:r>
      <w:r>
        <w:rPr>
          <w:rStyle w:val="VerbatimChar"/>
        </w:rPr>
        <w:t xml:space="preserve">wordfreq</w:t>
      </w:r>
      <w:r>
        <w:t xml:space="preserve">‘s Chinese data</w:t>
      </w:r>
      <w:r>
        <w:t xml:space="preserve"> </w:t>
      </w:r>
      <w:r>
        <w:t xml:space="preserve">(Speer, 2022)</w:t>
      </w:r>
      <w:r>
        <w:t xml:space="preserve">), and the two conditions are two-character words, the</w:t>
      </w:r>
      <w:r>
        <w:t xml:space="preserve"> </w:t>
      </w:r>
      <w:r>
        <w:t xml:space="preserve">dominant word form in Chinese. Here ’length’</w:t>
      </w:r>
      <w:r>
        <w:t xml:space="preserve"> </w:t>
      </w:r>
      <w:r>
        <w:t xml:space="preserve">is the number of characters, and</w:t>
      </w:r>
      <w:r>
        <w:t xml:space="preserve"> </w:t>
      </w:r>
      <w:r>
        <w:t xml:space="preserve">Coltheart’s N and OLD20 are computed over characters rather than letters; we refer</w:t>
      </w:r>
      <w:r>
        <w:t xml:space="preserve"> </w:t>
      </w:r>
      <w:r>
        <w:t xml:space="preserve">to them as character-level neighbourhood measures. Adding the demonstration</w:t>
      </w:r>
      <w:r>
        <w:t xml:space="preserve"> </w:t>
      </w:r>
      <w:r>
        <w:t xml:space="preserve">required no change to the matching, counterbalancing or scripting code: a design</w:t>
      </w:r>
      <w:r>
        <w:t xml:space="preserve"> </w:t>
      </w:r>
      <w:r>
        <w:t xml:space="preserve">configuration names the Chinese lexicon and a glyph-complete font, and the</w:t>
      </w:r>
      <w:r>
        <w:t xml:space="preserve"> </w:t>
      </w:r>
      <w:r>
        <w:t xml:space="preserve">existing machinery does the rest.</w:t>
      </w:r>
    </w:p>
    <w:p>
      <w:pPr>
        <w:pStyle w:val="BodyText"/>
      </w:pPr>
      <w:hyperlink w:anchor="tbl-desc-zh">
        <w:r>
          <w:rPr>
            <w:rStyle w:val="Hyperlink"/>
          </w:rPr>
          <w:t xml:space="preserve">Table 5</w:t>
        </w:r>
      </w:hyperlink>
      <w:r>
        <w:t xml:space="preserve"> </w:t>
      </w:r>
      <w:r>
        <w:t xml:space="preserve">shows the result. Frequency is separated by about one and a half Zipf</w:t>
      </w:r>
      <w:r>
        <w:t xml:space="preserve"> </w:t>
      </w:r>
      <w:r>
        <w:t xml:space="preserve">units (Cohen’s</w:t>
      </w:r>
      <w:r>
        <w:t xml:space="preserve"> </w:t>
      </w:r>
      <w:r>
        <w:rPr>
          <w:i/>
          <w:iCs/>
        </w:rPr>
        <w:t xml:space="preserve">d</w:t>
      </w:r>
      <w:r>
        <w:t xml:space="preserve"> </w:t>
      </w:r>
      <w:r>
        <w:t xml:space="preserve">≈ 6), while character-length is held constant at two and the</w:t>
      </w:r>
      <w:r>
        <w:t xml:space="preserve"> </w:t>
      </w:r>
      <w:r>
        <w:t xml:space="preserve">character-level neighbourhood measures are equated across conditions (each with a</w:t>
      </w:r>
      <w:r>
        <w:t xml:space="preserve"> </w:t>
      </w:r>
      <w:r>
        <w:t xml:space="preserve">90% confidence interval on</w:t>
      </w:r>
      <w:r>
        <w:t xml:space="preserve"> </w:t>
      </w:r>
      <w:r>
        <w:rPr>
          <w:i/>
          <w:iCs/>
        </w:rPr>
        <w:t xml:space="preserve">d</w:t>
      </w:r>
      <w:r>
        <w:t xml:space="preserve"> </w:t>
      </w:r>
      <w:r>
        <w:t xml:space="preserve">lying within the 0.5-</w:t>
      </w:r>
      <w:r>
        <w:rPr>
          <w:i/>
          <w:iCs/>
        </w:rPr>
        <w:t xml:space="preserve">SD</w:t>
      </w:r>
      <w:r>
        <w:t xml:space="preserve"> </w:t>
      </w:r>
      <w:r>
        <w:t xml:space="preserve">bound, and</w:t>
      </w:r>
      <w:r>
        <w:t xml:space="preserve"> </w:t>
      </w:r>
      <w:r>
        <w:t xml:space="preserve">correspondingly TOST-equivalent). Chinese two-character words have dense</w:t>
      </w:r>
      <w:r>
        <w:t xml:space="preserve"> </w:t>
      </w:r>
      <w:r>
        <w:t xml:space="preserve">orthographic neighbourhoods (tens of single-character substitutions each, an</w:t>
      </w:r>
      <w:r>
        <w:t xml:space="preserve"> </w:t>
      </w:r>
      <w:r>
        <w:t xml:space="preserve">order of magnitude more than the alphabetic words above), and</w:t>
      </w:r>
      <w:r>
        <w:t xml:space="preserve"> </w:t>
      </w:r>
      <w:r>
        <w:t xml:space="preserve">‘lexsync’</w:t>
      </w:r>
      <w:r>
        <w:t xml:space="preserve"> </w:t>
      </w:r>
      <w:r>
        <w:t xml:space="preserve">equates</w:t>
      </w:r>
      <w:r>
        <w:t xml:space="preserve"> </w:t>
      </w:r>
      <w:r>
        <w:t xml:space="preserve">this dense, skewed distribution as readily as the sparse alphabetic one. The</w:t>
      </w:r>
      <w:r>
        <w:t xml:space="preserve"> </w:t>
      </w:r>
      <w:r>
        <w:t xml:space="preserve">generated</w:t>
      </w:r>
      <w:r>
        <w:t xml:space="preserve"> </w:t>
      </w:r>
      <w:r>
        <w:t xml:space="preserve">‘PsychoPy’</w:t>
      </w:r>
      <w:r>
        <w:t xml:space="preserve"> </w:t>
      </w:r>
      <w:r>
        <w:t xml:space="preserve">and</w:t>
      </w:r>
      <w:r>
        <w:t xml:space="preserve"> </w:t>
      </w:r>
      <w:r>
        <w:t xml:space="preserve">‘OpenSesame’</w:t>
      </w:r>
      <w:r>
        <w:t xml:space="preserve"> </w:t>
      </w:r>
      <w:r>
        <w:t xml:space="preserve">experiments set a CJK font, so the</w:t>
      </w:r>
      <w:r>
        <w:t xml:space="preserve"> </w:t>
      </w:r>
      <w:r>
        <w:t xml:space="preserve">characters render directly. The selection is byte-identical across the R and</w:t>
      </w:r>
      <w:r>
        <w:t xml:space="preserve"> </w:t>
      </w:r>
      <w:r>
        <w:t xml:space="preserve">Python engines, exactly as for the alphabetic demonstrations.</w:t>
      </w:r>
    </w:p>
    <w:tbl>
      <w:tblPr>
        <w:tblStyle w:val="Table"/>
        <w:tblW w:type="pct" w:w="5000"/>
        <w:tblLayout w:type="fixed"/>
        <w:tblLook w:firstRow="0" w:lastRow="0" w:firstColumn="0" w:lastColumn="0" w:noHBand="0" w:noVBand="0" w:val="0000"/>
      </w:tblPr>
      <w:tblGrid>
        <w:gridCol w:w="7920"/>
      </w:tblGrid>
      <w:tr>
        <w:tc>
          <w:tcPr/>
          <w:bookmarkStart w:id="26" w:name="tbl-desc-zh"/>
          <w:p>
            <w:pPr>
              <w:jc w:val="center"/>
            </w:pPr>
            <w:pPr>
              <w:jc w:val="left"/>
              <w:spacing w:before="200"/>
              <w:pStyle w:val="ImageCaption"/>
            </w:pPr>
            <w:r>
              <w:t xml:space="preserve">Table 5:</w:t>
            </w:r>
            <w:r>
              <w:t xml:space="preserve"> </w:t>
            </w:r>
            <w:r>
              <w:rPr>
                <w:i/>
                <w:iCs/>
              </w:rPr>
              <w:t xml:space="preserve">Descriptive Statistics per Condition: Mandarin Chinese Frequency Contrast.</w:t>
            </w:r>
            <w:r>
              <w:t xml:space="preserve"> </w:t>
            </w:r>
            <w:r>
              <w:rPr>
                <w:i/>
                <w:iCs/>
              </w:rPr>
              <w:t xml:space="preserve">Note.</w:t>
            </w:r>
            <w:r>
              <w:t xml:space="preserve"> </w:t>
            </w:r>
            <w:r>
              <w:t xml:space="preserve">Length is in characters; neighbourhood N and OLD20 are character-level measures. R engine.</w:t>
            </w:r>
          </w:p>
          <w:tbl>
            <w:tblPr>
              <w:tblStyle w:val="Table"/>
              <w:tblW w:type="pct" w:w="5000"/>
              <w:tblLayout w:type="fixed"/>
              <w:tblLook w:firstRow="1" w:lastRow="0" w:firstColumn="0" w:lastColumn="0" w:noHBand="0" w:noVBand="0" w:val="0020"/>
            </w:tblPr>
            <w:tblGrid>
              <w:gridCol w:w="1747"/>
              <w:gridCol w:w="1980"/>
              <w:gridCol w:w="349"/>
              <w:gridCol w:w="815"/>
              <w:gridCol w:w="815"/>
              <w:gridCol w:w="582"/>
              <w:gridCol w:w="815"/>
              <w:gridCol w:w="815"/>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5.324</w:t>
                  </w:r>
                </w:p>
              </w:tc>
              <w:tc>
                <w:tcPr/>
                <w:p>
                  <w:pPr>
                    <w:pStyle w:val="Compact"/>
                    <w:jc w:val="right"/>
                    <w:jc w:val="center"/>
                  </w:pPr>
                  <w:r>
                    <w:t xml:space="preserve">0.294</w:t>
                  </w:r>
                </w:p>
              </w:tc>
              <w:tc>
                <w:tcPr/>
                <w:p>
                  <w:pPr>
                    <w:pStyle w:val="Compact"/>
                    <w:jc w:val="right"/>
                    <w:jc w:val="center"/>
                  </w:pPr>
                  <w:r>
                    <w:t xml:space="preserve">5.0</w:t>
                  </w:r>
                </w:p>
              </w:tc>
              <w:tc>
                <w:tcPr/>
                <w:p>
                  <w:pPr>
                    <w:pStyle w:val="Compact"/>
                    <w:jc w:val="right"/>
                    <w:jc w:val="center"/>
                  </w:pPr>
                  <w:r>
                    <w:t xml:space="preserve">5.245</w:t>
                  </w:r>
                </w:p>
              </w:tc>
              <w:tc>
                <w:tcPr/>
                <w:p>
                  <w:pPr>
                    <w:pStyle w:val="Compact"/>
                    <w:jc w:val="right"/>
                    <w:jc w:val="center"/>
                  </w:pPr>
                  <w:r>
                    <w:t xml:space="preserve">6.56</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69.825</w:t>
                  </w:r>
                </w:p>
              </w:tc>
              <w:tc>
                <w:tcPr/>
                <w:p>
                  <w:pPr>
                    <w:pStyle w:val="Compact"/>
                    <w:jc w:val="right"/>
                    <w:jc w:val="center"/>
                  </w:pPr>
                  <w:r>
                    <w:t xml:space="preserve">64.807</w:t>
                  </w:r>
                </w:p>
              </w:tc>
              <w:tc>
                <w:tcPr/>
                <w:p>
                  <w:pPr>
                    <w:pStyle w:val="Compact"/>
                    <w:jc w:val="right"/>
                    <w:jc w:val="center"/>
                  </w:pPr>
                  <w:r>
                    <w:t xml:space="preserve">8.0</w:t>
                  </w:r>
                </w:p>
              </w:tc>
              <w:tc>
                <w:tcPr/>
                <w:p>
                  <w:pPr>
                    <w:pStyle w:val="Compact"/>
                    <w:jc w:val="right"/>
                    <w:jc w:val="center"/>
                  </w:pPr>
                  <w:r>
                    <w:t xml:space="preserve">51.500</w:t>
                  </w:r>
                </w:p>
              </w:tc>
              <w:tc>
                <w:tcPr/>
                <w:p>
                  <w:pPr>
                    <w:pStyle w:val="Compact"/>
                    <w:jc w:val="right"/>
                    <w:jc w:val="center"/>
                  </w:pPr>
                  <w:r>
                    <w:t xml:space="preserve">307.00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1.038</w:t>
                  </w:r>
                </w:p>
              </w:tc>
              <w:tc>
                <w:tcPr/>
                <w:p>
                  <w:pPr>
                    <w:pStyle w:val="Compact"/>
                    <w:jc w:val="right"/>
                    <w:jc w:val="center"/>
                  </w:pPr>
                  <w:r>
                    <w:t xml:space="preserve">0.111</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1.55</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3.810</w:t>
                  </w:r>
                </w:p>
              </w:tc>
              <w:tc>
                <w:tcPr/>
                <w:p>
                  <w:pPr>
                    <w:pStyle w:val="Compact"/>
                    <w:jc w:val="right"/>
                    <w:jc w:val="center"/>
                  </w:pPr>
                  <w:r>
                    <w:t xml:space="preserve">0.201</w:t>
                  </w:r>
                </w:p>
              </w:tc>
              <w:tc>
                <w:tcPr/>
                <w:p>
                  <w:pPr>
                    <w:pStyle w:val="Compact"/>
                    <w:jc w:val="right"/>
                    <w:jc w:val="center"/>
                  </w:pPr>
                  <w:r>
                    <w:t xml:space="preserve">3.5</w:t>
                  </w:r>
                </w:p>
              </w:tc>
              <w:tc>
                <w:tcPr/>
                <w:p>
                  <w:pPr>
                    <w:pStyle w:val="Compact"/>
                    <w:jc w:val="right"/>
                    <w:jc w:val="center"/>
                  </w:pPr>
                  <w:r>
                    <w:t xml:space="preserve">3.810</w:t>
                  </w:r>
                </w:p>
              </w:tc>
              <w:tc>
                <w:tcPr/>
                <w:p>
                  <w:pPr>
                    <w:pStyle w:val="Compact"/>
                    <w:jc w:val="right"/>
                    <w:jc w:val="center"/>
                  </w:pPr>
                  <w:r>
                    <w:t xml:space="preserve">4.20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65.662</w:t>
                  </w:r>
                </w:p>
              </w:tc>
              <w:tc>
                <w:tcPr/>
                <w:p>
                  <w:pPr>
                    <w:pStyle w:val="Compact"/>
                    <w:jc w:val="right"/>
                    <w:jc w:val="center"/>
                  </w:pPr>
                  <w:r>
                    <w:t xml:space="preserve">52.159</w:t>
                  </w:r>
                </w:p>
              </w:tc>
              <w:tc>
                <w:tcPr/>
                <w:p>
                  <w:pPr>
                    <w:pStyle w:val="Compact"/>
                    <w:jc w:val="right"/>
                    <w:jc w:val="center"/>
                  </w:pPr>
                  <w:r>
                    <w:t xml:space="preserve">14.0</w:t>
                  </w:r>
                </w:p>
              </w:tc>
              <w:tc>
                <w:tcPr/>
                <w:p>
                  <w:pPr>
                    <w:pStyle w:val="Compact"/>
                    <w:jc w:val="right"/>
                    <w:jc w:val="center"/>
                  </w:pPr>
                  <w:r>
                    <w:t xml:space="preserve">51.500</w:t>
                  </w:r>
                </w:p>
              </w:tc>
              <w:tc>
                <w:tcPr/>
                <w:p>
                  <w:pPr>
                    <w:pStyle w:val="Compact"/>
                    <w:jc w:val="right"/>
                    <w:jc w:val="center"/>
                  </w:pPr>
                  <w:r>
                    <w:t xml:space="preserve">199.00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1.028</w:t>
                  </w:r>
                </w:p>
              </w:tc>
              <w:tc>
                <w:tcPr/>
                <w:p>
                  <w:pPr>
                    <w:pStyle w:val="Compact"/>
                    <w:jc w:val="right"/>
                    <w:jc w:val="center"/>
                  </w:pPr>
                  <w:r>
                    <w:t xml:space="preserve">0.074</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1.25</w:t>
                  </w:r>
                </w:p>
              </w:tc>
            </w:tr>
          </w:tbl>
          <w:bookmarkEnd w:id="26"/>
          <w:p/>
        </w:tc>
      </w:tr>
    </w:tbl>
    <w:p>
      <w:pPr>
        <w:pStyle w:val="BodyText"/>
      </w:pPr>
      <w:r>
        <w:t xml:space="preserve">Finally, because the matcher is deterministic the two engines select the same</w:t>
      </w:r>
      <w:r>
        <w:t xml:space="preserve"> </w:t>
      </w:r>
      <w:r>
        <w:t xml:space="preserve">matched (word, condition) pairs rather than merely similar ones (the seeded trial</w:t>
      </w:r>
      <w:r>
        <w:t xml:space="preserve"> </w:t>
      </w:r>
      <w:r>
        <w:t xml:space="preserve">order differs, as the R and Python random-number generators do). Across the five</w:t>
      </w:r>
      <w:r>
        <w:t xml:space="preserve"> </w:t>
      </w:r>
      <w:r>
        <w:t xml:space="preserve">matched word contrasts</w:t>
      </w:r>
      <w:r>
        <w:t xml:space="preserve"> </w:t>
      </w:r>
      <w:r>
        <w:t xml:space="preserve">all 800 selected</w:t>
      </w:r>
      <w:r>
        <w:t xml:space="preserve"> </w:t>
      </w:r>
      <w:r>
        <w:t xml:space="preserve">(word, condition) pairs were identical between the R and the Python engine, and</w:t>
      </w:r>
      <w:r>
        <w:t xml:space="preserve"> </w:t>
      </w:r>
      <w:r>
        <w:t xml:space="preserve">every statistic they report agrees to the precision shown.</w:t>
      </w:r>
      <w:r>
        <w:t xml:space="preserve"> </w:t>
      </w:r>
      <w:hyperlink w:anchor="tbl-parity">
        <w:r>
          <w:rPr>
            <w:rStyle w:val="Hyperlink"/>
          </w:rPr>
          <w:t xml:space="preserve">Table 6</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to the</w:t>
      </w:r>
      <w:r>
        <w:t xml:space="preserve"> </w:t>
      </w:r>
      <w:r>
        <w:t xml:space="preserve">precision shown.</w:t>
      </w:r>
    </w:p>
    <w:tbl>
      <w:tblPr>
        <w:tblStyle w:val="Table"/>
        <w:tblW w:type="pct" w:w="5000"/>
        <w:tblLayout w:type="fixed"/>
        <w:tblLook w:firstRow="0" w:lastRow="0" w:firstColumn="0" w:lastColumn="0" w:noHBand="0" w:noVBand="0" w:val="0000"/>
      </w:tblPr>
      <w:tblGrid>
        <w:gridCol w:w="7920"/>
      </w:tblGrid>
      <w:tr>
        <w:tc>
          <w:tcPr/>
          <w:bookmarkStart w:id="27" w:name="tbl-parity"/>
          <w:p>
            <w:pPr>
              <w:jc w:val="center"/>
            </w:pPr>
            <w:pPr>
              <w:jc w:val="left"/>
              <w:spacing w:before="200"/>
              <w:pStyle w:val="ImageCaption"/>
            </w:pPr>
            <w:r>
              <w:t xml:space="preserve">Table 6:</w:t>
            </w:r>
            <w:r>
              <w:t xml:space="preserve"> </w:t>
            </w:r>
            <w:r>
              <w:rPr>
                <w:i/>
                <w:iCs/>
              </w:rPr>
              <w:t xml:space="preserve">Cross-Engine Parity for the English Frequency Contrast.</w:t>
            </w:r>
            <w:r>
              <w:t xml:space="preserve"> </w:t>
            </w:r>
            <w:r>
              <w:rPr>
                <w:i/>
                <w:iCs/>
              </w:rPr>
              <w:t xml:space="preserve">Note.</w:t>
            </w:r>
            <w:r>
              <w:t xml:space="preserve"> </w:t>
            </w:r>
            <w:r>
              <w:t xml:space="preserve">Each dimension’s standardised mean difference (Cohen’s</w:t>
            </w:r>
            <w:r>
              <w:t xml:space="preserve"> </w:t>
            </w:r>
            <w:r>
              <w:rPr>
                <w:i/>
                <w:iCs/>
              </w:rPr>
              <w:t xml:space="preserve">d</w:t>
            </w:r>
            <w:r>
              <w:t xml:space="preserve">) against the anchor, computed independently by the R and Python engines.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w:t>
                  </w:r>
                </w:p>
              </w:tc>
              <w:tc>
                <w:tcPr/>
                <w:p>
                  <w:pPr>
                    <w:pStyle w:val="Compact"/>
                    <w:jc w:val="right"/>
                    <w:jc w:val="center"/>
                  </w:pPr>
                  <w:r>
                    <w:t xml:space="preserve">0.027</w:t>
                  </w:r>
                </w:p>
              </w:tc>
              <w:tc>
                <w:tcPr/>
                <w:p>
                  <w:pPr>
                    <w:pStyle w:val="Compact"/>
                    <w:jc w:val="right"/>
                    <w:jc w:val="center"/>
                  </w:pPr>
                  <w:r>
                    <w:t xml:space="preserve">0.027</w:t>
                  </w:r>
                </w:p>
              </w:tc>
            </w:tr>
            <w:tr>
              <w:tc>
                <w:tcPr/>
                <w:p>
                  <w:pPr>
                    <w:pStyle w:val="Compact"/>
                    <w:jc w:val="left"/>
                    <w:jc w:val="center"/>
                  </w:pPr>
                  <w:r>
                    <w:t xml:space="preserve">Frequency (Zipf)</w:t>
                  </w:r>
                </w:p>
              </w:tc>
              <w:tc>
                <w:tcPr/>
                <w:p>
                  <w:pPr>
                    <w:pStyle w:val="Compact"/>
                    <w:jc w:val="right"/>
                    <w:jc w:val="center"/>
                  </w:pPr>
                  <w:r>
                    <w:t xml:space="preserve">5.272</w:t>
                  </w:r>
                </w:p>
              </w:tc>
              <w:tc>
                <w:tcPr/>
                <w:p>
                  <w:pPr>
                    <w:pStyle w:val="Compact"/>
                    <w:jc w:val="right"/>
                    <w:jc w:val="center"/>
                  </w:pPr>
                  <w:r>
                    <w:t xml:space="preserve">5.272</w:t>
                  </w:r>
                </w:p>
              </w:tc>
            </w:tr>
            <w:tr>
              <w:tc>
                <w:tcPr/>
                <w:p>
                  <w:pPr>
                    <w:pStyle w:val="Compact"/>
                    <w:jc w:val="left"/>
                    <w:jc w:val="center"/>
                  </w:pPr>
                  <w:r>
                    <w:t xml:space="preserve">Neighbourhood N</w:t>
                  </w:r>
                </w:p>
              </w:tc>
              <w:tc>
                <w:tcPr/>
                <w:p>
                  <w:pPr>
                    <w:pStyle w:val="Compact"/>
                    <w:jc w:val="right"/>
                    <w:jc w:val="center"/>
                  </w:pPr>
                  <w:r>
                    <w:t xml:space="preserve">0.038</w:t>
                  </w:r>
                </w:p>
              </w:tc>
              <w:tc>
                <w:tcPr/>
                <w:p>
                  <w:pPr>
                    <w:pStyle w:val="Compact"/>
                    <w:jc w:val="right"/>
                    <w:jc w:val="center"/>
                  </w:pPr>
                  <w:r>
                    <w:t xml:space="preserve">0.038</w:t>
                  </w:r>
                </w:p>
              </w:tc>
            </w:tr>
            <w:tr>
              <w:tc>
                <w:tcPr/>
                <w:p>
                  <w:pPr>
                    <w:pStyle w:val="Compact"/>
                    <w:jc w:val="left"/>
                    <w:jc w:val="center"/>
                  </w:pPr>
                  <w:r>
                    <w:t xml:space="preserve">OLD20</w:t>
                  </w:r>
                </w:p>
              </w:tc>
              <w:tc>
                <w:tcPr/>
                <w:p>
                  <w:pPr>
                    <w:pStyle w:val="Compact"/>
                    <w:jc w:val="right"/>
                    <w:jc w:val="center"/>
                  </w:pPr>
                  <w:r>
                    <w:t xml:space="preserve">0.009</w:t>
                  </w:r>
                </w:p>
              </w:tc>
              <w:tc>
                <w:tcPr/>
                <w:p>
                  <w:pPr>
                    <w:pStyle w:val="Compact"/>
                    <w:jc w:val="right"/>
                    <w:jc w:val="center"/>
                  </w:pPr>
                  <w:r>
                    <w:t xml:space="preserve">0.009</w:t>
                  </w:r>
                </w:p>
              </w:tc>
            </w:tr>
          </w:tbl>
          <w:bookmarkEnd w:id="27"/>
          <w:p/>
        </w:tc>
      </w:tr>
    </w:tbl>
    <w:bookmarkEnd w:id="28"/>
    <w:bookmarkStart w:id="29" w:name="beyond-word-lists-three-paradigms"/>
    <w:p>
      <w:pPr>
        <w:pStyle w:val="Heading2"/>
      </w:pPr>
      <w:r>
        <w:t xml:space="preserve">Beyond word lists: three paradigms</w:t>
      </w:r>
    </w:p>
    <w:p>
      <w:pPr>
        <w:pStyle w:val="FirstParagraph"/>
      </w:pPr>
      <w:r>
        <w:t xml:space="preserve">The same engine builds tasks that are not word lists. Three further demonstrations,</w:t>
      </w:r>
      <w:r>
        <w:t xml:space="preserve"> </w:t>
      </w:r>
      <w:r>
        <w:t xml:space="preserve">each in English, exercise a different stimulus structure and trial procedure</w:t>
      </w:r>
      <w:r>
        <w:t xml:space="preserve"> </w:t>
      </w:r>
      <w:r>
        <w:t xml:space="preserve">through the trial-event model. A lexical-decision design contrasts</w:t>
      </w:r>
      <w:r>
        <w:t xml:space="preserve"> </w:t>
      </w:r>
      <w:r>
        <w:t xml:space="preserve">60 real words with 60 pseudowords generated to match them in</w:t>
      </w:r>
      <w:r>
        <w:t xml:space="preserve"> </w:t>
      </w:r>
      <w:r>
        <w:t xml:space="preserve">length; the generated non-words are orthographically legal and absent from the</w:t>
      </w:r>
      <w:r>
        <w:t xml:space="preserve"> </w:t>
      </w:r>
      <w:r>
        <w:t xml:space="preserve">corpus, and length is equated by construction (Cohen’s</w:t>
      </w:r>
      <w:r>
        <w:t xml:space="preserve"> </w:t>
      </w:r>
      <w:r>
        <w:rPr>
          <w:i/>
          <w:iCs/>
        </w:rPr>
        <w:t xml:space="preserve">d</w:t>
      </w:r>
      <w:r>
        <w:t xml:space="preserve"> </w:t>
      </w:r>
      <w:r>
        <w:t xml:space="preserve">=</w:t>
      </w:r>
      <w:r>
        <w:t xml:space="preserve"> </w:t>
      </w:r>
      <w:r>
        <w:t xml:space="preserve">0.00). A priming design draws 12</w:t>
      </w:r>
      <w:r>
        <w:t xml:space="preserve"> </w:t>
      </w:r>
      <w:r>
        <w:t xml:space="preserve">prime–target pairs from an item table and contrasts related with unrelated primes,</w:t>
      </w:r>
      <w:r>
        <w:t xml:space="preserve"> </w:t>
      </w:r>
      <w:r>
        <w:t xml:space="preserve">its trial inserting a brief prime and a mask before the onset-locked target. A</w:t>
      </w:r>
      <w:r>
        <w:t xml:space="preserve"> </w:t>
      </w:r>
      <w:r>
        <w:t xml:space="preserve">self-paced reading design presents 10 sentences region by region, the</w:t>
      </w:r>
      <w:r>
        <w:t xml:space="preserve"> </w:t>
      </w:r>
      <w:r>
        <w:t xml:space="preserve">grammatical–ungrammatical manipulation falling on the onset-locked critical region</w:t>
      </w:r>
      <w:r>
        <w:t xml:space="preserve"> </w:t>
      </w:r>
      <w:r>
        <w:t xml:space="preserve">and followed by a comprehension question. Each design compiles from the same event</w:t>
      </w:r>
      <w:r>
        <w:t xml:space="preserve"> </w:t>
      </w:r>
      <w:r>
        <w:t xml:space="preserve">list to a runnable</w:t>
      </w:r>
      <w:r>
        <w:t xml:space="preserve"> </w:t>
      </w:r>
      <w:r>
        <w:t xml:space="preserve">‘PsychoPy’</w:t>
      </w:r>
      <w:r>
        <w:t xml:space="preserve"> </w:t>
      </w:r>
      <w:r>
        <w:t xml:space="preserve">script, a valid</w:t>
      </w:r>
      <w:r>
        <w:t xml:space="preserve"> </w:t>
      </w:r>
      <w:r>
        <w:t xml:space="preserve">‘OpenSesame’</w:t>
      </w:r>
      <w:r>
        <w:t xml:space="preserve"> </w:t>
      </w:r>
      <w:r>
        <w:t xml:space="preserve">experiment and a</w:t>
      </w:r>
      <w:r>
        <w:t xml:space="preserve"> </w:t>
      </w:r>
      <w:r>
        <w:t xml:space="preserve">browser-based</w:t>
      </w:r>
      <w:r>
        <w:t xml:space="preserve"> </w:t>
      </w:r>
      <w:r>
        <w:t xml:space="preserve">‘jsPsych’</w:t>
      </w:r>
      <w:r>
        <w:t xml:space="preserve"> </w:t>
      </w:r>
      <w:r>
        <w:t xml:space="preserve">experiment, and the R and Python engines</w:t>
      </w:r>
      <w:r>
        <w:t xml:space="preserve"> </w:t>
      </w:r>
      <w:r>
        <w:t xml:space="preserve">select identical materials in every case,</w:t>
      </w:r>
      <w:r>
        <w:t xml:space="preserve"> </w:t>
      </w:r>
      <w:r>
        <w:t xml:space="preserve">including, for lexical decision, the very same deterministically generated</w:t>
      </w:r>
      <w:r>
        <w:t xml:space="preserve"> </w:t>
      </w:r>
      <w:r>
        <w:t xml:space="preserve">pseudowords.</w:t>
      </w:r>
    </w:p>
    <w:bookmarkEnd w:id="29"/>
    <w:bookmarkStart w:id="31" w:name="reproducing-published-designs"/>
    <w:p>
      <w:pPr>
        <w:pStyle w:val="Heading2"/>
      </w:pPr>
      <w:r>
        <w:t xml:space="preserve">Reproducing published designs</w:t>
      </w:r>
    </w:p>
    <w:p>
      <w:pPr>
        <w:pStyle w:val="FirstParagraph"/>
      </w:pPr>
      <w:r>
        <w:t xml:space="preserve">The demonstrations so far are illustrative. To show that</w:t>
      </w:r>
      <w:r>
        <w:t xml:space="preserve"> </w:t>
      </w:r>
      <w:r>
        <w:t xml:space="preserve">‘lexsync’</w:t>
      </w:r>
      <w:r>
        <w:t xml:space="preserve"> </w:t>
      </w:r>
      <w:r>
        <w:t xml:space="preserve">reproduces</w:t>
      </w:r>
      <w:r>
        <w:t xml:space="preserve"> </w:t>
      </w:r>
      <w:r>
        <w:t xml:space="preserve">designs from the published literature, we recreated three studies that span the</w:t>
      </w:r>
      <w:r>
        <w:t xml:space="preserve"> </w:t>
      </w:r>
      <w:r>
        <w:t xml:space="preserve">workflow’s range: the artificial-grammar study the package originates from, a</w:t>
      </w:r>
      <w:r>
        <w:t xml:space="preserve"> </w:t>
      </w:r>
      <w:r>
        <w:t xml:space="preserve">classic factorial lexical-decision design, and a masked-priming design. Each was</w:t>
      </w:r>
      <w:r>
        <w:t xml:space="preserve"> </w:t>
      </w:r>
      <w:r>
        <w:t xml:space="preserve">rebuilt to the original’s matching</w:t>
      </w:r>
      <w:r>
        <w:t xml:space="preserve"> </w:t>
      </w:r>
      <w:r>
        <w:rPr>
          <w:i/>
          <w:iCs/>
        </w:rPr>
        <w:t xml:space="preserve">criteria</w:t>
      </w:r>
      <w:r>
        <w:t xml:space="preserve"> </w:t>
      </w:r>
      <w:r>
        <w:t xml:space="preserve">(its manipulated and controlled</w:t>
      </w:r>
      <w:r>
        <w:t xml:space="preserve"> </w:t>
      </w:r>
      <w:r>
        <w:t xml:space="preserve">dimensions and their tolerances) from a contemporary, redistributable corpus,</w:t>
      </w:r>
      <w:r>
        <w:t xml:space="preserve"> </w:t>
      </w:r>
      <w:r>
        <w:t xml:space="preserve">rather than by copying the authors’ word lists.</w:t>
      </w:r>
      <w:r>
        <w:t xml:space="preserve"> </w:t>
      </w:r>
      <w:hyperlink w:anchor="tbl-repro">
        <w:r>
          <w:rPr>
            <w:rStyle w:val="Hyperlink"/>
          </w:rPr>
          <w:t xml:space="preserve">Table 7</w:t>
        </w:r>
      </w:hyperlink>
      <w:r>
        <w:t xml:space="preserve"> </w:t>
      </w:r>
      <w:r>
        <w:t xml:space="preserve">summarises the three,</w:t>
      </w:r>
      <w:r>
        <w:t xml:space="preserve"> </w:t>
      </w:r>
      <w:r>
        <w:t xml:space="preserve">and the two engines reproduce each one identically.</w:t>
      </w:r>
    </w:p>
    <w:tbl>
      <w:tblPr>
        <w:tblStyle w:val="Table"/>
        <w:tblW w:type="pct" w:w="5000"/>
        <w:tblLayout w:type="fixed"/>
        <w:tblLook w:firstRow="0" w:lastRow="0" w:firstColumn="0" w:lastColumn="0" w:noHBand="0" w:noVBand="0" w:val="0000"/>
      </w:tblPr>
      <w:tblGrid>
        <w:gridCol w:w="7920"/>
      </w:tblGrid>
      <w:tr>
        <w:tc>
          <w:tcPr/>
          <w:bookmarkStart w:id="30" w:name="tbl-repro"/>
          <w:p>
            <w:pPr>
              <w:jc w:val="center"/>
            </w:pPr>
            <w:pPr>
              <w:jc w:val="left"/>
              <w:spacing w:before="200"/>
              <w:pStyle w:val="ImageCaption"/>
            </w:pPr>
            <w:r>
              <w:t xml:space="preserve">Table 7:</w:t>
            </w:r>
            <w:r>
              <w:t xml:space="preserve"> </w:t>
            </w:r>
            <w:r>
              <w:rPr>
                <w:i/>
                <w:iCs/>
              </w:rPr>
              <w:t xml:space="preserve">Three Published Designs Reproduced to Criteria.</w:t>
            </w:r>
            <w:r>
              <w:t xml:space="preserve"> </w:t>
            </w:r>
            <w:r>
              <w:rPr>
                <w:i/>
                <w:iCs/>
              </w:rPr>
              <w:t xml:space="preserve">Note.</w:t>
            </w:r>
            <w:r>
              <w:t xml:space="preserve"> </w:t>
            </w:r>
            <w:r>
              <w:t xml:space="preserve">For each reproduction: the structure rebuilt, the number of generated items, and the largest standardised mean difference (Cohen’s</w:t>
            </w:r>
            <w:r>
              <w:t xml:space="preserve"> </w:t>
            </w:r>
            <w:r>
              <w:rPr>
                <w:i/>
                <w:iCs/>
              </w:rPr>
              <w:t xml:space="preserve">d</w:t>
            </w:r>
            <w:r>
              <w:t xml:space="preserve">) remaining on a controlled (matched) dimension. The manipulations are large by construction; for Andrews these are frequency and neighbourhood size, reported in the text. The Rastle design is a priming layout with no corpus-matched control dimension.</w:t>
            </w:r>
          </w:p>
          <w:tbl>
            <w:tblPr>
              <w:tblStyle w:val="Table"/>
              <w:tblW w:type="pct" w:w="5000"/>
              <w:tblLayout w:type="fixed"/>
              <w:tblLook w:firstRow="1" w:lastRow="0" w:firstColumn="0" w:lastColumn="0" w:noHBand="0" w:noVBand="0" w:val="0020"/>
            </w:tblPr>
            <w:tblGrid>
              <w:gridCol w:w="1616"/>
              <w:gridCol w:w="4202"/>
              <w:gridCol w:w="323"/>
              <w:gridCol w:w="1777"/>
            </w:tblGrid>
            <w:tr>
              <w:trPr>
                <w:tblHeader w:val="on"/>
              </w:trPr>
              <w:tc>
                <w:tcPr/>
                <w:p>
                  <w:pPr>
                    <w:pStyle w:val="Compact"/>
                    <w:jc w:val="left"/>
                    <w:jc w:val="center"/>
                  </w:pPr>
                  <w:r>
                    <w:t xml:space="preserve">Reproduction</w:t>
                  </w:r>
                </w:p>
              </w:tc>
              <w:tc>
                <w:tcPr/>
                <w:p>
                  <w:pPr>
                    <w:pStyle w:val="Compact"/>
                    <w:jc w:val="left"/>
                    <w:jc w:val="center"/>
                  </w:pPr>
                  <w:r>
                    <w:t xml:space="preserve">Design rebuilt</w:t>
                  </w:r>
                </w:p>
              </w:tc>
              <w:tc>
                <w:tcPr/>
                <w:p>
                  <w:pPr>
                    <w:pStyle w:val="Compact"/>
                    <w:jc w:val="right"/>
                    <w:jc w:val="center"/>
                  </w:pPr>
                  <w:r>
                    <w:t xml:space="preserve">Items</w:t>
                  </w:r>
                </w:p>
              </w:tc>
              <w:tc>
                <w:tcPr/>
                <w:p>
                  <w:pPr>
                    <w:pStyle w:val="Compact"/>
                    <w:jc w:val="right"/>
                    <w:jc w:val="center"/>
                  </w:pPr>
                  <w:r>
                    <w:t xml:space="preserve">Largest controlled |d|</w:t>
                  </w:r>
                </w:p>
              </w:tc>
            </w:tr>
            <w:tr>
              <w:tc>
                <w:tcPr/>
                <w:p>
                  <w:pPr>
                    <w:pStyle w:val="Compact"/>
                    <w:jc w:val="left"/>
                    <w:jc w:val="center"/>
                  </w:pPr>
                  <w:r>
                    <w:t xml:space="preserve">González Alonso et al. (2025)</w:t>
                  </w:r>
                </w:p>
              </w:tc>
              <w:tc>
                <w:tcPr/>
                <w:p>
                  <w:pPr>
                    <w:pStyle w:val="Compact"/>
                    <w:jc w:val="left"/>
                    <w:jc w:val="center"/>
                  </w:pPr>
                  <w:r>
                    <w:t xml:space="preserve">Gender assignment: feminine vs masculine, matched on frequency and length</w:t>
                  </w:r>
                </w:p>
              </w:tc>
              <w:tc>
                <w:tcPr/>
                <w:p>
                  <w:pPr>
                    <w:pStyle w:val="Compact"/>
                    <w:jc w:val="right"/>
                    <w:jc w:val="center"/>
                  </w:pPr>
                  <w:r>
                    <w:t xml:space="preserve">96</w:t>
                  </w:r>
                </w:p>
              </w:tc>
              <w:tc>
                <w:tcPr/>
                <w:p>
                  <w:pPr>
                    <w:pStyle w:val="Compact"/>
                    <w:jc w:val="right"/>
                    <w:jc w:val="center"/>
                  </w:pPr>
                  <w:r>
                    <w:t xml:space="preserve">0.02</w:t>
                  </w:r>
                </w:p>
              </w:tc>
            </w:tr>
            <w:tr>
              <w:tc>
                <w:tcPr/>
                <w:p>
                  <w:pPr>
                    <w:pStyle w:val="Compact"/>
                    <w:jc w:val="left"/>
                    <w:jc w:val="center"/>
                  </w:pPr>
                  <w:r>
                    <w:t xml:space="preserve">Andrews (1989)</w:t>
                  </w:r>
                </w:p>
              </w:tc>
              <w:tc>
                <w:tcPr/>
                <w:p>
                  <w:pPr>
                    <w:pStyle w:val="Compact"/>
                    <w:jc w:val="left"/>
                    <w:jc w:val="center"/>
                  </w:pPr>
                  <w:r>
                    <w:t xml:space="preserve">Frequency x neighbourhood size: 2x2 lexical decision, cells matched on length</w:t>
                  </w:r>
                </w:p>
              </w:tc>
              <w:tc>
                <w:tcPr/>
                <w:p>
                  <w:pPr>
                    <w:pStyle w:val="Compact"/>
                    <w:jc w:val="right"/>
                    <w:jc w:val="center"/>
                  </w:pPr>
                  <w:r>
                    <w:t xml:space="preserve">72</w:t>
                  </w:r>
                </w:p>
              </w:tc>
              <w:tc>
                <w:tcPr/>
                <w:p>
                  <w:pPr>
                    <w:pStyle w:val="Compact"/>
                    <w:jc w:val="right"/>
                    <w:jc w:val="center"/>
                  </w:pPr>
                  <w:r>
                    <w:t xml:space="preserve">0.21</w:t>
                  </w:r>
                </w:p>
              </w:tc>
            </w:tr>
            <w:tr>
              <w:tc>
                <w:tcPr/>
                <w:p>
                  <w:pPr>
                    <w:pStyle w:val="Compact"/>
                    <w:jc w:val="left"/>
                    <w:jc w:val="center"/>
                  </w:pPr>
                  <w:r>
                    <w:t xml:space="preserve">Rastle, Davis &amp; New (2004)</w:t>
                  </w:r>
                </w:p>
              </w:tc>
              <w:tc>
                <w:tcPr/>
                <w:p>
                  <w:pPr>
                    <w:pStyle w:val="Compact"/>
                    <w:jc w:val="left"/>
                    <w:jc w:val="center"/>
                  </w:pPr>
                  <w:r>
                    <w:t xml:space="preserve">Masked priming: transparent / opaque / orthographic, vs unrelated baseline</w:t>
                  </w:r>
                </w:p>
              </w:tc>
              <w:tc>
                <w:tcPr/>
                <w:p>
                  <w:pPr>
                    <w:pStyle w:val="Compact"/>
                    <w:jc w:val="right"/>
                    <w:jc w:val="center"/>
                  </w:pPr>
                  <w:r>
                    <w:t xml:space="preserve">24</w:t>
                  </w:r>
                </w:p>
              </w:tc>
              <w:tc>
                <w:tcPr/>
                <w:p>
                  <w:pPr>
                    <w:pStyle w:val="Compact"/>
                    <w:jc w:val="right"/>
                    <w:jc w:val="center"/>
                  </w:pPr>
                  <w:r>
                    <w:t xml:space="preserve">—</w:t>
                  </w:r>
                </w:p>
              </w:tc>
            </w:tr>
          </w:tbl>
          <w:bookmarkEnd w:id="30"/>
          <w:p/>
        </w:tc>
      </w:tr>
    </w:tbl>
    <w:p>
      <w:pPr>
        <w:pStyle w:val="BodyText"/>
      </w:pPr>
      <w:r>
        <w:t xml:space="preserve">The origin study</w:t>
      </w:r>
      <w:r>
        <w:t xml:space="preserve"> </w:t>
      </w:r>
      <w:r>
        <w:t xml:space="preserve">(González Alonso et al., 2025)</w:t>
      </w:r>
      <w:r>
        <w:t xml:space="preserve"> </w:t>
      </w:r>
      <w:r>
        <w:t xml:space="preserve">administered a natural-language</w:t>
      </w:r>
      <w:r>
        <w:t xml:space="preserve"> </w:t>
      </w:r>
      <w:r>
        <w:t xml:space="preserve">gender-assignment task in which corpus nouns, half feminine and half masculine,</w:t>
      </w:r>
      <w:r>
        <w:t xml:space="preserve"> </w:t>
      </w:r>
      <w:r>
        <w:t xml:space="preserve">were matched to the study’s nouns on word frequency (within mean ±</w:t>
      </w:r>
      <w:r>
        <w:t xml:space="preserve"> </w:t>
      </w:r>
      <w:r>
        <w:rPr>
          <w:i/>
          <w:iCs/>
        </w:rPr>
        <w:t xml:space="preserve">SD</w:t>
      </w:r>
      <w:r>
        <w:t xml:space="preserve">/9) and</w:t>
      </w:r>
      <w:r>
        <w:t xml:space="preserve"> </w:t>
      </w:r>
      <w:r>
        <w:t xml:space="preserve">number of letters (within mean ± 2</w:t>
      </w:r>
      <w:r>
        <w:t xml:space="preserve"> </w:t>
      </w:r>
      <w:r>
        <w:rPr>
          <w:i/>
          <w:iCs/>
        </w:rPr>
        <w:t xml:space="preserve">SD</w:t>
      </w:r>
      <w:r>
        <w:t xml:space="preserve">).</w:t>
      </w:r>
      <w:r>
        <w:t xml:space="preserve"> </w:t>
      </w:r>
      <w:r>
        <w:t xml:space="preserve">‘lexsync’</w:t>
      </w:r>
      <w:r>
        <w:t xml:space="preserve"> </w:t>
      </w:r>
      <w:r>
        <w:t xml:space="preserve">reproduces this design</w:t>
      </w:r>
      <w:r>
        <w:t xml:space="preserve"> </w:t>
      </w:r>
      <w:r>
        <w:t xml:space="preserve">directly: the same per-dimension tolerance windows are declared in the design file</w:t>
      </w:r>
      <w:r>
        <w:t xml:space="preserve"> </w:t>
      </w:r>
      <w:r>
        <w:t xml:space="preserve">and applied by the matcher, and feminine and masculine words are equated on</w:t>
      </w:r>
      <w:r>
        <w:t xml:space="preserve"> </w:t>
      </w:r>
      <w:r>
        <w:t xml:space="preserve">frequency and length to a largest controlled Cohen’s</w:t>
      </w:r>
      <w:r>
        <w:t xml:space="preserve"> </w:t>
      </w:r>
      <w:r>
        <w:rPr>
          <w:i/>
          <w:iCs/>
        </w:rPr>
        <w:t xml:space="preserve">d</w:t>
      </w:r>
      <w:r>
        <w:t xml:space="preserve"> </w:t>
      </w:r>
      <w:r>
        <w:t xml:space="preserve">of</w:t>
      </w:r>
      <w:r>
        <w:t xml:space="preserve"> </w:t>
      </w:r>
      <w:r>
        <w:t xml:space="preserve">0.02 across 96 items. Because the bundled</w:t>
      </w:r>
      <w:r>
        <w:t xml:space="preserve"> </w:t>
      </w:r>
      <w:r>
        <w:t xml:space="preserve">Spanish corpus carries no lexical-gender field, gender is approximated by the</w:t>
      </w:r>
      <w:r>
        <w:t xml:space="preserve"> </w:t>
      </w:r>
      <w:r>
        <w:t xml:space="preserve">canonical ending (</w:t>
      </w:r>
      <w:r>
        <w:rPr>
          <w:i/>
          <w:iCs/>
        </w:rPr>
        <w:t xml:space="preserve">-a</w:t>
      </w:r>
      <w:r>
        <w:t xml:space="preserve">,</w:t>
      </w:r>
      <w:r>
        <w:t xml:space="preserve"> </w:t>
      </w:r>
      <w:r>
        <w:rPr>
          <w:i/>
          <w:iCs/>
        </w:rPr>
        <w:t xml:space="preserve">-o</w:t>
      </w:r>
      <w:r>
        <w:t xml:space="preserve">) rather than looked up as the original did in EsPal</w:t>
      </w:r>
      <w:r>
        <w:t xml:space="preserve"> </w:t>
      </w:r>
      <w:r>
        <w:t xml:space="preserve">(Duchon et al., 2013)</w:t>
      </w:r>
      <w:r>
        <w:t xml:space="preserve">; the demonstration is therefore of the matched selection and</w:t>
      </w:r>
      <w:r>
        <w:t xml:space="preserve"> </w:t>
      </w:r>
      <w:r>
        <w:t xml:space="preserve">its realised control, the part</w:t>
      </w:r>
      <w:r>
        <w:t xml:space="preserve"> </w:t>
      </w:r>
      <w:r>
        <w:t xml:space="preserve">‘lexsync’</w:t>
      </w:r>
      <w:r>
        <w:t xml:space="preserve"> </w:t>
      </w:r>
      <w:r>
        <w:t xml:space="preserve">automates, not of the authors’ exact</w:t>
      </w:r>
      <w:r>
        <w:t xml:space="preserve"> </w:t>
      </w:r>
      <w:r>
        <w:t xml:space="preserve">items.</w:t>
      </w:r>
    </w:p>
    <w:p>
      <w:pPr>
        <w:pStyle w:val="BodyText"/>
      </w:pPr>
      <w:r>
        <w:t xml:space="preserve">Andrews (1989)</w:t>
      </w:r>
      <w:r>
        <w:t xml:space="preserve"> </w:t>
      </w:r>
      <w:r>
        <w:t xml:space="preserve">crossed word frequency with</w:t>
      </w:r>
      <w:r>
        <w:t xml:space="preserve"> </w:t>
      </w:r>
      <w:r>
        <w:t xml:space="preserve">orthographic neighbourhood size in a 2 × 2 lexical-decision design, holding length</w:t>
      </w:r>
      <w:r>
        <w:t xml:space="preserve"> </w:t>
      </w:r>
      <w:r>
        <w:t xml:space="preserve">constant, and found that a large neighbourhood facilitates low-frequency words</w:t>
      </w:r>
      <w:r>
        <w:t xml:space="preserve"> </w:t>
      </w:r>
      <w:r>
        <w:t xml:space="preserve">disproportionately.</w:t>
      </w:r>
      <w:r>
        <w:t xml:space="preserve"> </w:t>
      </w:r>
      <w:r>
        <w:t xml:space="preserve">‘lexsync’</w:t>
      </w:r>
      <w:r>
        <w:t xml:space="preserve"> </w:t>
      </w:r>
      <w:r>
        <w:t xml:space="preserve">rebuilds the factorial structure over short words,</w:t>
      </w:r>
      <w:r>
        <w:t xml:space="preserve"> </w:t>
      </w:r>
      <w:r>
        <w:t xml:space="preserve">equating all four cells on length (largest controlled</w:t>
      </w:r>
      <w:r>
        <w:t xml:space="preserve"> </w:t>
      </w:r>
      <w:r>
        <w:rPr>
          <w:i/>
          <w:iCs/>
        </w:rPr>
        <w:t xml:space="preserve">d</w:t>
      </w:r>
      <w:r>
        <w:t xml:space="preserve"> </w:t>
      </w:r>
      <w:r>
        <w:t xml:space="preserve">=</w:t>
      </w:r>
      <w:r>
        <w:t xml:space="preserve"> </w:t>
      </w:r>
      <w:r>
        <w:t xml:space="preserve">0.21) while separating the manipulated dimensions</w:t>
      </w:r>
      <w:r>
        <w:t xml:space="preserve"> </w:t>
      </w:r>
      <w:r>
        <w:t xml:space="preserve">widely. Frequency</w:t>
      </w:r>
      <w:r>
        <w:t xml:space="preserve"> </w:t>
      </w:r>
      <w:r>
        <w:rPr>
          <w:i/>
          <w:iCs/>
        </w:rPr>
        <w:t xml:space="preserve">d</w:t>
      </w:r>
      <w:r>
        <w:t xml:space="preserve"> </w:t>
      </w:r>
      <w:r>
        <w:t xml:space="preserve">reaches 5.2 and neighbourhood</w:t>
      </w:r>
      <w:r>
        <w:t xml:space="preserve"> </w:t>
      </w:r>
      <w:r>
        <w:rPr>
          <w:i/>
          <w:iCs/>
        </w:rPr>
        <w:t xml:space="preserve">d</w:t>
      </w:r>
      <w:r>
        <w:t xml:space="preserve"> </w:t>
      </w:r>
      <w:r>
        <w:t xml:space="preserve">reaches 3.3. Frequencies come from a contemporary corpus</w:t>
      </w:r>
      <w:r>
        <w:t xml:space="preserve"> </w:t>
      </w:r>
      <w:r>
        <w:t xml:space="preserve">rather than the Kučera–Francis counts of the original, so the realised bands differ</w:t>
      </w:r>
      <w:r>
        <w:t xml:space="preserve"> </w:t>
      </w:r>
      <w:r>
        <w:t xml:space="preserve">while the factorial design does not.</w:t>
      </w:r>
    </w:p>
    <w:p>
      <w:pPr>
        <w:pStyle w:val="BodyText"/>
      </w:pPr>
      <w:r>
        <w:t xml:space="preserve">Rastle et al. (2004)</w:t>
      </w:r>
      <w:r>
        <w:t xml:space="preserve"> </w:t>
      </w:r>
      <w:r>
        <w:t xml:space="preserve">used masked priming to</w:t>
      </w:r>
      <w:r>
        <w:t xml:space="preserve"> </w:t>
      </w:r>
      <w:r>
        <w:t xml:space="preserve">dissociate three kinds of prime–target relationship, transparent morphological</w:t>
      </w:r>
      <w:r>
        <w:t xml:space="preserve"> </w:t>
      </w:r>
      <w:r>
        <w:t xml:space="preserve">(</w:t>
      </w:r>
      <w:r>
        <w:rPr>
          <w:i/>
          <w:iCs/>
        </w:rPr>
        <w:t xml:space="preserve">cleaner</w:t>
      </w:r>
      <w:r>
        <w:t xml:space="preserve">–CLEAN), opaque morphological (</w:t>
      </w:r>
      <w:r>
        <w:rPr>
          <w:i/>
          <w:iCs/>
        </w:rPr>
        <w:t xml:space="preserve">corner</w:t>
      </w:r>
      <w:r>
        <w:t xml:space="preserve">–CORN) and purely orthographic</w:t>
      </w:r>
      <w:r>
        <w:t xml:space="preserve"> </w:t>
      </w:r>
      <w:r>
        <w:t xml:space="preserve">(</w:t>
      </w:r>
      <w:r>
        <w:rPr>
          <w:i/>
          <w:iCs/>
        </w:rPr>
        <w:t xml:space="preserve">brothel</w:t>
      </w:r>
      <w:r>
        <w:t xml:space="preserve">–BROTH), each against an unrelated baseline, arguing for an early</w:t>
      </w:r>
      <w:r>
        <w:t xml:space="preserve"> </w:t>
      </w:r>
      <w:r>
        <w:t xml:space="preserve">morpho-orthographic segmentation stage blind to meaning.</w:t>
      </w:r>
      <w:r>
        <w:t xml:space="preserve"> </w:t>
      </w:r>
      <w:r>
        <w:t xml:space="preserve">‘lexsync’</w:t>
      </w:r>
      <w:r>
        <w:t xml:space="preserve"> </w:t>
      </w:r>
      <w:r>
        <w:t xml:space="preserve">expresses the</w:t>
      </w:r>
      <w:r>
        <w:t xml:space="preserve"> </w:t>
      </w:r>
      <w:r>
        <w:t xml:space="preserve">design with its priming paradigm: 12 targets are each shown with a</w:t>
      </w:r>
      <w:r>
        <w:t xml:space="preserve"> </w:t>
      </w:r>
      <w:r>
        <w:t xml:space="preserve">related prime of their assigned type and an unrelated, length-matched control,</w:t>
      </w:r>
      <w:r>
        <w:t xml:space="preserve"> </w:t>
      </w:r>
      <w:r>
        <w:t xml:space="preserve">Latin-square counterbalanced across 2 lists so a target appears once</w:t>
      </w:r>
      <w:r>
        <w:t xml:space="preserve"> </w:t>
      </w:r>
      <w:r>
        <w:t xml:space="preserve">per list, with the prime type carried as a between-items factor for analysis. This</w:t>
      </w:r>
      <w:r>
        <w:t xml:space="preserve"> </w:t>
      </w:r>
      <w:r>
        <w:t xml:space="preserve">is a representative item set following the prime-type structure of the original,</w:t>
      </w:r>
      <w:r>
        <w:t xml:space="preserve"> </w:t>
      </w:r>
      <w:r>
        <w:t xml:space="preserve">not its full materials.</w:t>
      </w:r>
    </w:p>
    <w:bookmarkEnd w:id="31"/>
    <w:bookmarkEnd w:id="32"/>
    <w:bookmarkStart w:id="33"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principal contribution is integration. Multidimensional matching</w:t>
      </w:r>
      <w:r>
        <w:t xml:space="preserve"> </w:t>
      </w:r>
      <w:r>
        <w:t xml:space="preserve">exists in</w:t>
      </w:r>
      <w:r>
        <w:t xml:space="preserve"> </w:t>
      </w:r>
      <w:r>
        <w:t xml:space="preserve">‘LexOPS’</w:t>
      </w:r>
      <w:r>
        <w:t xml:space="preserve"> </w:t>
      </w:r>
      <w:r>
        <w:t xml:space="preserve">and</w:t>
      </w:r>
      <w:r>
        <w:t xml:space="preserve"> </w:t>
      </w:r>
      <w:r>
        <w:t xml:space="preserve">‘LIBRA’</w:t>
      </w:r>
      <w:r>
        <w:t xml:space="preserve">, and precise 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selects identical matched</w:t>
      </w:r>
      <w:r>
        <w:t xml:space="preserve"> </w:t>
      </w:r>
      <w:r>
        <w:t xml:space="preserve">(word, condition) sets in the R and Python engines, with the reported match</w:t>
      </w:r>
      <w:r>
        <w:t xml:space="preserve"> </w:t>
      </w:r>
      <w:r>
        <w:t xml:space="preserve">statistics agreeing to the precision shown; only the seeded trial order, which</w:t>
      </w:r>
      <w:r>
        <w:t xml:space="preserve"> </w:t>
      </w:r>
      <w:r>
        <w:t xml:space="preserve">depends on each language’s random-number generator, differs. A laboratory can</w:t>
      </w:r>
      <w:r>
        <w:t xml:space="preserve"> </w:t>
      </w:r>
      <w:r>
        <w:t xml:space="preserve">therefore adopt</w:t>
      </w:r>
      <w:r>
        <w:t xml:space="preserve"> </w:t>
      </w:r>
      <w:r>
        <w:t xml:space="preserve">‘lexsync’</w:t>
      </w:r>
      <w:r>
        <w:t xml:space="preserve"> </w:t>
      </w:r>
      <w:r>
        <w:t xml:space="preserve">in whichever ecosystem it prefers without fear of</w:t>
      </w:r>
      <w:r>
        <w:t xml:space="preserve"> </w:t>
      </w:r>
      <w:r>
        <w:t xml:space="preserve">divergent stimulus selection. Second, both</w:t>
      </w:r>
      <w:r>
        <w:t xml:space="preserve"> </w:t>
      </w:r>
      <w:r>
        <w:t xml:space="preserve">laboratory targets upgrade the sequence-ordered triggers of the original</w:t>
      </w:r>
      <w:r>
        <w:t xml:space="preserve"> </w:t>
      </w:r>
      <w:r>
        <w:t xml:space="preserve">workflow to onset-aligned markers (flip-locked in</w:t>
      </w:r>
      <w:r>
        <w:t xml:space="preserve"> </w:t>
      </w:r>
      <w:r>
        <w:t xml:space="preserve">‘PsychoPy’</w:t>
      </w:r>
      <w:r>
        <w:t xml:space="preserve">, and written</w:t>
      </w:r>
      <w:r>
        <w:t xml:space="preserve"> </w:t>
      </w:r>
      <w:r>
        <w:t xml:space="preserve">immediately after the refresh-blocking</w:t>
      </w:r>
      <w:r>
        <w:t xml:space="preserve"> </w:t>
      </w:r>
      <w:r>
        <w:rPr>
          <w:rStyle w:val="VerbatimChar"/>
        </w:rPr>
        <w:t xml:space="preserve">show()</w:t>
      </w:r>
      <w:r>
        <w:t xml:space="preserve"> </w:t>
      </w:r>
      <w:r>
        <w:t xml:space="preserve">in</w:t>
      </w:r>
      <w:r>
        <w:t xml:space="preserve"> </w:t>
      </w:r>
      <w:r>
        <w:t xml:space="preserve">‘OpenSesame’</w:t>
      </w:r>
      <w:r>
        <w:t xml:space="preserve">), a concrete</w:t>
      </w:r>
      <w:r>
        <w:t xml:space="preserve"> </w:t>
      </w:r>
      <w:r>
        <w:t xml:space="preserve">methodological improvement for ERP research.</w:t>
      </w:r>
    </w:p>
    <w:p>
      <w:pPr>
        <w:pStyle w:val="BodyText"/>
      </w:pPr>
      <w:r>
        <w:t xml:space="preserve">Some limitations remain. The Chinese demonstration shows that the pipeline</w:t>
      </w:r>
      <w:r>
        <w:t xml:space="preserve"> </w:t>
      </w:r>
      <w:r>
        <w:t xml:space="preserve">generalises to a logographic script (corpus access, dimension derivation,</w:t>
      </w:r>
      <w:r>
        <w:t xml:space="preserve"> </w:t>
      </w:r>
      <w:r>
        <w:t xml:space="preserve">matching, counterbalancing and CJK-font script generation all work unchanged),</w:t>
      </w:r>
      <w:r>
        <w:t xml:space="preserve"> </w:t>
      </w:r>
      <w:r>
        <w:t xml:space="preserve">but the neighbourhood measures it equates there (Coltheart’s N and OLD20) are</w:t>
      </w:r>
      <w:r>
        <w:t xml:space="preserve"> </w:t>
      </w:r>
      <w:r>
        <w:t xml:space="preserve">computed at the character level. They do not capture the sub-character structure</w:t>
      </w:r>
      <w:r>
        <w:t xml:space="preserve"> </w:t>
      </w:r>
      <w:r>
        <w:t xml:space="preserve">that also shapes Chinese reading, such as radical, stroke-count and</w:t>
      </w:r>
      <w:r>
        <w:t xml:space="preserve"> </w:t>
      </w:r>
      <w:r>
        <w:t xml:space="preserve">phonetic-radical information. Such measures are not intrinsic to the method; they</w:t>
      </w:r>
      <w:r>
        <w:t xml:space="preserve"> </w:t>
      </w:r>
      <w:r>
        <w:t xml:space="preserve">enter as additional script-specific dimensions through the same extensible</w:t>
      </w:r>
      <w:r>
        <w:t xml:space="preserve"> </w:t>
      </w:r>
      <w:r>
        <w:t xml:space="preserve">dimension system, and supplying them is left to future work. A photodiode check</w:t>
      </w:r>
      <w:r>
        <w:t xml:space="preserve"> </w:t>
      </w:r>
      <w:r>
        <w:t xml:space="preserve">remains advisable for any onset-critical study, as for any software trigger. The</w:t>
      </w:r>
      <w:r>
        <w:t xml:space="preserve"> </w:t>
      </w:r>
      <w:r>
        <w:t xml:space="preserve">example item tables for the paired and sentence paradigms are deliberately small,</w:t>
      </w:r>
      <w:r>
        <w:t xml:space="preserve"> </w:t>
      </w:r>
      <w:r>
        <w:t xml:space="preserve">intended to exercise and document the pipeline rather than to constitute validated</w:t>
      </w:r>
      <w:r>
        <w:t xml:space="preserve"> </w:t>
      </w:r>
      <w:r>
        <w:t xml:space="preserve">materials; researchers supply their own.</w:t>
      </w:r>
    </w:p>
    <w:p>
      <w:pPr>
        <w:pStyle w:val="BodyText"/>
      </w:pPr>
      <w:r>
        <w:t xml:space="preserve">Several further extensions follow directly from the motivation and slot into the</w:t>
      </w:r>
      <w:r>
        <w:t xml:space="preserve"> </w:t>
      </w:r>
      <w:r>
        <w:t xml:space="preserve">existing module structure. The web target above could be joined by a</w:t>
      </w:r>
      <w:r>
        <w:t xml:space="preserve"> </w:t>
      </w:r>
      <w:r>
        <w:t xml:space="preserve">‘PCIbex’</w:t>
      </w:r>
      <w:r>
        <w:t xml:space="preserve"> </w:t>
      </w:r>
      <w:r>
        <w:t xml:space="preserve">reading study and by client-side hardware synchronisation (WebSerial or a</w:t>
      </w:r>
      <w:r>
        <w:t xml:space="preserve"> </w:t>
      </w:r>
      <w:r>
        <w:t xml:space="preserve">photodiode patch), so that online studies inherit the same onset markers the</w:t>
      </w:r>
      <w:r>
        <w:t xml:space="preserve"> </w:t>
      </w:r>
      <w:r>
        <w:t xml:space="preserve">laboratory targets write. The dimension set, already broadened beyond orthography</w:t>
      </w:r>
      <w:r>
        <w:t xml:space="preserve"> </w:t>
      </w:r>
      <w:r>
        <w:t xml:space="preserve">to an orthographic syllable estimate and a corpus-derived bigram-frequency</w:t>
      </w:r>
      <w:r>
        <w:t xml:space="preserve"> </w:t>
      </w:r>
      <w:r>
        <w:t xml:space="preserve">(phonotactic-probability) measure, could grow further to predictability dimensions</w:t>
      </w:r>
      <w:r>
        <w:t xml:space="preserve"> </w:t>
      </w:r>
      <w:r>
        <w:t xml:space="preserve">(n-gram or language-model surprisal); semantic dimensions such as concreteness, age</w:t>
      </w:r>
      <w:r>
        <w:t xml:space="preserve"> </w:t>
      </w:r>
      <w:r>
        <w:t xml:space="preserve">of acquisition and valence are already reachable through the norm-table connector,</w:t>
      </w:r>
      <w:r>
        <w:t xml:space="preserve"> </w:t>
      </w:r>
      <w:r>
        <w:t xml:space="preserve">the norm data being fetched separately because their licences vary. Sampling matched</w:t>
      </w:r>
      <w:r>
        <w:t xml:space="preserve"> </w:t>
      </w:r>
      <w:r>
        <w:t xml:space="preserve">item sets per participant, rather than per study, would extend the resampling</w:t>
      </w:r>
      <w:r>
        <w:t xml:space="preserve"> </w:t>
      </w:r>
      <w:r>
        <w:t xml:space="preserve">already provided.</w:t>
      </w:r>
    </w:p>
    <w:bookmarkEnd w:id="33"/>
    <w:bookmarkStart w:id="35"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A browser application for</w:t>
      </w:r>
      <w:r>
        <w:t xml:space="preserve"> </w:t>
      </w:r>
      <w:r>
        <w:t xml:space="preserve">each engine (a Shiny app for the R package and a Streamlit app for the Python one)</w:t>
      </w:r>
      <w:r>
        <w:t xml:space="preserve"> </w:t>
      </w:r>
      <w:r>
        <w:t xml:space="preserve">lets a researcher assemble a design, run the verified pipeline and export the design</w:t>
      </w:r>
      <w:r>
        <w:t xml:space="preserve"> </w:t>
      </w:r>
      <w:r>
        <w:t xml:space="preserve">configuration together with the R, Python and command-line code that reproduces it,</w:t>
      </w:r>
      <w:r>
        <w:t xml:space="preserve"> </w:t>
      </w:r>
      <w:r>
        <w:t xml:space="preserve">so the interface itself yields shareable, reproducible artefacts.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34"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 paradigm, add an entry to the registry in</w:t>
      </w:r>
      <w:r>
        <w:t xml:space="preserve"> </w:t>
      </w:r>
      <w:r>
        <w:rPr>
          <w:rStyle w:val="VerbatimChar"/>
        </w:rPr>
        <w:t xml:space="preserve">paradigms</w:t>
      </w:r>
      <w:r>
        <w:t xml:space="preserve"> </w:t>
      </w:r>
      <w:r>
        <w:t xml:space="preserve">giving its default</w:t>
      </w:r>
      <w:r>
        <w:t xml:space="preserve"> </w:t>
      </w:r>
      <w:r>
        <w:t xml:space="preserve">event sequence, the trial fields it requires and its counterbalancing recipe, and</w:t>
      </w:r>
      <w:r>
        <w:t xml:space="preserve"> </w:t>
      </w:r>
      <w:r>
        <w:t xml:space="preserve">all three presentation backends then render it with no further code. To add a</w:t>
      </w:r>
      <w:r>
        <w:t xml:space="preserve"> </w:t>
      </w:r>
      <w:r>
        <w:t xml:space="preserve">lexical dimension, compute it in</w:t>
      </w:r>
      <w:r>
        <w:t xml:space="preserve"> </w:t>
      </w:r>
      <w:r>
        <w:rPr>
          <w:rStyle w:val="VerbatimChar"/>
        </w:rPr>
        <w:t xml:space="preserve">querying</w:t>
      </w:r>
      <w:r>
        <w:t xml:space="preserve"> </w:t>
      </w:r>
      <w:r>
        <w:t xml:space="preserve">(alongside</w:t>
      </w:r>
      <w:r>
        <w:t xml:space="preserve"> </w:t>
      </w:r>
      <w:r>
        <w:rPr>
          <w:rStyle w:val="VerbatimChar"/>
        </w:rPr>
        <w:t xml:space="preserve">add_neighbourhood</w:t>
      </w:r>
      <w:r>
        <w:t xml:space="preserve">) and</w:t>
      </w:r>
      <w:r>
        <w:t xml:space="preserve"> </w:t>
      </w:r>
      <w:r>
        <w:t xml:space="preserve">list it in the dimension table in</w:t>
      </w:r>
      <w:r>
        <w:t xml:space="preserve"> </w:t>
      </w:r>
      <w:r>
        <w:rPr>
          <w:rStyle w:val="VerbatimChar"/>
        </w:rPr>
        <w:t xml:space="preserve">config/schema.yaml</w:t>
      </w:r>
      <w:r>
        <w:t xml:space="preserve">, in both packages. To add</w:t>
      </w:r>
      <w:r>
        <w:t xml:space="preserve"> </w:t>
      </w:r>
      <w:r>
        <w:t xml:space="preserve">a presentation target, 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w:t>
      </w:r>
      <w:r>
        <w:t xml:space="preserve">that</w:t>
      </w:r>
      <w:r>
        <w:t xml:space="preserve"> </w:t>
      </w:r>
      <w:r>
        <w:t xml:space="preserve">walks the same rendered event list. To add a corpus or language, add an entry to</w:t>
      </w:r>
      <w:r>
        <w:t xml:space="preserve"> </w:t>
      </w:r>
      <w:r>
        <w:rPr>
          <w:rStyle w:val="VerbatimChar"/>
        </w:rPr>
        <w:t xml:space="preserve">corpora/registry.yaml</w:t>
      </w:r>
      <w:r>
        <w:t xml:space="preserve">, and no code change is required for SUBTLEX-family or</w:t>
      </w:r>
      <w:r>
        <w:t xml:space="preserve"> </w:t>
      </w:r>
      <w:r>
        <w:t xml:space="preserve">‘wordfreq’</w:t>
      </w:r>
      <w:r>
        <w:t xml:space="preserve"> </w:t>
      </w:r>
      <w:r>
        <w:t xml:space="preserve">sources.</w:t>
      </w:r>
    </w:p>
    <w:p>
      <w:r>
        <w:br w:type="page"/>
      </w:r>
    </w:p>
    <w:bookmarkEnd w:id="34"/>
    <w:bookmarkEnd w:id="35"/>
    <w:bookmarkStart w:id="99" w:name="references"/>
    <w:p>
      <w:pPr>
        <w:pStyle w:val="Heading1"/>
      </w:pPr>
      <w:r>
        <w:t xml:space="preserve">References</w:t>
      </w:r>
    </w:p>
    <w:bookmarkStart w:id="98" w:name="refs"/>
    <w:bookmarkStart w:id="37" w:name="ref-andrews1989frequency"/>
    <w:p>
      <w:pPr>
        <w:pStyle w:val="Bibliography"/>
      </w:pPr>
      <w:r>
        <w:t xml:space="preserve">Andrews, S. (1989). Frequency and neighborhood effects on lexical access: Activation or search?</w:t>
      </w:r>
      <w:r>
        <w:t xml:space="preserve"> </w:t>
      </w:r>
      <w:r>
        <w:rPr>
          <w:i/>
          <w:iCs/>
        </w:rPr>
        <w:t xml:space="preserve">Journal of Experimental Psychology: Learning, Memory, and Cognition</w:t>
      </w:r>
      <w:r>
        <w:t xml:space="preserve">,</w:t>
      </w:r>
      <w:r>
        <w:t xml:space="preserve"> </w:t>
      </w:r>
      <w:r>
        <w:rPr>
          <w:i/>
          <w:iCs/>
        </w:rPr>
        <w:t xml:space="preserve">15</w:t>
      </w:r>
      <w:r>
        <w:t xml:space="preserve">(5), 802–814.</w:t>
      </w:r>
      <w:r>
        <w:t xml:space="preserve"> </w:t>
      </w:r>
      <w:hyperlink r:id="rId36">
        <w:r>
          <w:rPr>
            <w:rStyle w:val="Hyperlink"/>
          </w:rPr>
          <w:t xml:space="preserve">https://doi.org/10.1037/0278-7393.15.5.802</w:t>
        </w:r>
      </w:hyperlink>
    </w:p>
    <w:bookmarkEnd w:id="37"/>
    <w:bookmarkStart w:id="39" w:name="ref-bochynska2023reproducible"/>
    <w:p>
      <w:pPr>
        <w:pStyle w:val="Bibliography"/>
      </w:pPr>
      <w:r>
        <w:t xml:space="preserve">Bochynska, A., Keeble, L., Halfacre, C., Casillas, J. V., Champagne, I.-A., Chen, K., Röthlisberger, M., Buchanan, E. M., &amp; Roettger, T. B. (2023). Reproducible research practices and transparency across linguistics.</w:t>
      </w:r>
      <w:r>
        <w:t xml:space="preserve"> </w:t>
      </w:r>
      <w:r>
        <w:rPr>
          <w:i/>
          <w:iCs/>
        </w:rPr>
        <w:t xml:space="preserve">Glossa Psycholinguistics</w:t>
      </w:r>
      <w:r>
        <w:t xml:space="preserve">,</w:t>
      </w:r>
      <w:r>
        <w:t xml:space="preserve"> </w:t>
      </w:r>
      <w:r>
        <w:rPr>
          <w:i/>
          <w:iCs/>
        </w:rPr>
        <w:t xml:space="preserve">2</w:t>
      </w:r>
      <w:r>
        <w:t xml:space="preserve">(1).</w:t>
      </w:r>
      <w:r>
        <w:t xml:space="preserve"> </w:t>
      </w:r>
      <w:hyperlink r:id="rId38">
        <w:r>
          <w:rPr>
            <w:rStyle w:val="Hyperlink"/>
          </w:rPr>
          <w:t xml:space="preserve">https://doi.org/10.5070/G6011239</w:t>
        </w:r>
      </w:hyperlink>
    </w:p>
    <w:bookmarkEnd w:id="39"/>
    <w:bookmarkStart w:id="41" w:name="ref-brysbaert2009subtlexus"/>
    <w:p>
      <w:pPr>
        <w:pStyle w:val="Bibliography"/>
      </w:pPr>
      <w:r>
        <w:t xml:space="preserve">Brysbaert, M., &amp; New, B. (2009). 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41</w:t>
      </w:r>
      <w:r>
        <w:t xml:space="preserve">(4), 977–990.</w:t>
      </w:r>
      <w:r>
        <w:t xml:space="preserve"> </w:t>
      </w:r>
      <w:hyperlink r:id="rId40">
        <w:r>
          <w:rPr>
            <w:rStyle w:val="Hyperlink"/>
          </w:rPr>
          <w:t xml:space="preserve">https://doi.org/10.3758/BRM.41.4.977</w:t>
        </w:r>
      </w:hyperlink>
    </w:p>
    <w:bookmarkEnd w:id="41"/>
    <w:bookmarkStart w:id="43" w:name="ref-cai2010subtlexch"/>
    <w:p>
      <w:pPr>
        <w:pStyle w:val="Bibliography"/>
      </w:pPr>
      <w:r>
        <w:t xml:space="preserve">Cai, Q., &amp; Brysbaert, M. (2010).</w:t>
      </w:r>
      <w:r>
        <w:t xml:space="preserve"> </w:t>
      </w:r>
      <w:r>
        <w:t xml:space="preserve">SUBTLEX-CH</w:t>
      </w:r>
      <w:r>
        <w:t xml:space="preserve">:</w:t>
      </w:r>
      <w:r>
        <w:t xml:space="preserve"> </w:t>
      </w:r>
      <w:r>
        <w:t xml:space="preserve">Chinese</w:t>
      </w:r>
      <w:r>
        <w:t xml:space="preserve"> </w:t>
      </w:r>
      <w:r>
        <w:t xml:space="preserve">word and character frequencies based on film subtitles.</w:t>
      </w:r>
      <w:r>
        <w:t xml:space="preserve"> </w:t>
      </w:r>
      <w:r>
        <w:rPr>
          <w:i/>
          <w:iCs/>
        </w:rPr>
        <w:t xml:space="preserve">PLoS ONE</w:t>
      </w:r>
      <w:r>
        <w:t xml:space="preserve">,</w:t>
      </w:r>
      <w:r>
        <w:t xml:space="preserve"> </w:t>
      </w:r>
      <w:r>
        <w:rPr>
          <w:i/>
          <w:iCs/>
        </w:rPr>
        <w:t xml:space="preserve">5</w:t>
      </w:r>
      <w:r>
        <w:t xml:space="preserve">(6), e10729.</w:t>
      </w:r>
      <w:r>
        <w:t xml:space="preserve"> </w:t>
      </w:r>
      <w:hyperlink r:id="rId42">
        <w:r>
          <w:rPr>
            <w:rStyle w:val="Hyperlink"/>
          </w:rPr>
          <w:t xml:space="preserve">https://doi.org/10.1371/journal.pone.0010729</w:t>
        </w:r>
      </w:hyperlink>
    </w:p>
    <w:bookmarkEnd w:id="43"/>
    <w:bookmarkStart w:id="45" w:name="ref-clark1973language"/>
    <w:p>
      <w:pPr>
        <w:pStyle w:val="Bibliography"/>
      </w:pPr>
      <w:r>
        <w:t xml:space="preserve">Clark, H. H. (1973). The language-as-fixed-effect fallacy:</w:t>
      </w:r>
      <w:r>
        <w:t xml:space="preserve"> </w:t>
      </w:r>
      <w:r>
        <w:t xml:space="preserve">A</w:t>
      </w:r>
      <w:r>
        <w:t xml:space="preserve"> </w:t>
      </w:r>
      <w:r>
        <w:t xml:space="preserve">critique of language statistics in psychological research.</w:t>
      </w:r>
      <w:r>
        <w:t xml:space="preserve"> </w:t>
      </w:r>
      <w:r>
        <w:rPr>
          <w:i/>
          <w:iCs/>
        </w:rPr>
        <w:t xml:space="preserve">Journal of Verbal Learning and Verbal Behavior</w:t>
      </w:r>
      <w:r>
        <w:t xml:space="preserve">,</w:t>
      </w:r>
      <w:r>
        <w:t xml:space="preserve"> </w:t>
      </w:r>
      <w:r>
        <w:rPr>
          <w:i/>
          <w:iCs/>
        </w:rPr>
        <w:t xml:space="preserve">12</w:t>
      </w:r>
      <w:r>
        <w:t xml:space="preserve">(4), 335–359.</w:t>
      </w:r>
      <w:r>
        <w:t xml:space="preserve"> </w:t>
      </w:r>
      <w:hyperlink r:id="rId44">
        <w:r>
          <w:rPr>
            <w:rStyle w:val="Hyperlink"/>
          </w:rPr>
          <w:t xml:space="preserve">https://doi.org/10.1016/S0022-5371(73)80014-3</w:t>
        </w:r>
      </w:hyperlink>
    </w:p>
    <w:bookmarkEnd w:id="45"/>
    <w:bookmarkStart w:id="46" w:name="ref-coltheart1977access"/>
    <w:p>
      <w:pPr>
        <w:pStyle w:val="Bibliography"/>
      </w:pPr>
      <w:r>
        <w:t xml:space="preserve">Coltheart, M., Davelaar, E., Jonasson, J. T., &amp; Besner, D. (1977). Access to the internal lexicon. In S. Dornic (Ed.),</w:t>
      </w:r>
      <w:r>
        <w:t xml:space="preserve"> </w:t>
      </w:r>
      <w:r>
        <w:rPr>
          <w:i/>
          <w:iCs/>
        </w:rPr>
        <w:t xml:space="preserve">Attention and performance</w:t>
      </w:r>
      <w:r>
        <w:rPr>
          <w:i/>
          <w:iCs/>
        </w:rPr>
        <w:t xml:space="preserve"> </w:t>
      </w:r>
      <w:r>
        <w:rPr>
          <w:i/>
          <w:iCs/>
        </w:rPr>
        <w:t xml:space="preserve">VI</w:t>
      </w:r>
      <w:r>
        <w:t xml:space="preserve"> </w:t>
      </w:r>
      <w:r>
        <w:t xml:space="preserve">(pp. 535–555). Erlbaum.</w:t>
      </w:r>
    </w:p>
    <w:bookmarkEnd w:id="46"/>
    <w:bookmarkStart w:id="48" w:name="ref-coretta2023multidimensional"/>
    <w:p>
      <w:pPr>
        <w:pStyle w:val="Bibliography"/>
      </w:pPr>
      <w:r>
        <w:t xml:space="preserve">Coretta, S., Casillas, J. V., Roessig, S., et al.</w:t>
      </w:r>
      <w:r>
        <w:t xml:space="preserve"> (2023). Multidimensional signals and analytic flexibility:</w:t>
      </w:r>
      <w:r>
        <w:t xml:space="preserve"> </w:t>
      </w:r>
      <w:r>
        <w:t xml:space="preserve">Estimating</w:t>
      </w:r>
      <w:r>
        <w:t xml:space="preserve"> </w:t>
      </w:r>
      <w:r>
        <w:t xml:space="preserve">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47">
        <w:r>
          <w:rPr>
            <w:rStyle w:val="Hyperlink"/>
          </w:rPr>
          <w:t xml:space="preserve">https://doi.org/10.1177/25152459231162567</w:t>
        </w:r>
      </w:hyperlink>
    </w:p>
    <w:bookmarkEnd w:id="48"/>
    <w:bookmarkStart w:id="49" w:name="ref-cuetos2011subtlexesp"/>
    <w:p>
      <w:pPr>
        <w:pStyle w:val="Bibliography"/>
      </w:pPr>
      <w:r>
        <w:t xml:space="preserve">Cuetos, F., González-Nosti, M., Barbón, A., &amp; Brysbaert, M. (2011).</w:t>
      </w:r>
      <w:r>
        <w:t xml:space="preserve"> </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w:t>
      </w:r>
      <w:r>
        <w:t xml:space="preserve"> </w:t>
      </w:r>
      <w:r>
        <w:rPr>
          <w:i/>
          <w:iCs/>
        </w:rPr>
        <w:t xml:space="preserve">32</w:t>
      </w:r>
      <w:r>
        <w:t xml:space="preserve">(2), 133–143.</w:t>
      </w:r>
    </w:p>
    <w:bookmarkEnd w:id="49"/>
    <w:bookmarkStart w:id="51" w:name="ref-duchon2013espal"/>
    <w:p>
      <w:pPr>
        <w:pStyle w:val="Bibliography"/>
      </w:pPr>
      <w:r>
        <w:t xml:space="preserve">Duchon, A., Perea, M., Sebastián-Gallés, N., Martí, A., &amp; Carreiras, M. (2013).</w:t>
      </w:r>
      <w:r>
        <w:t xml:space="preserve"> </w:t>
      </w:r>
      <w:r>
        <w:t xml:space="preserve">EsPal</w:t>
      </w:r>
      <w:r>
        <w:t xml:space="preserve">: One-stop shopping for</w:t>
      </w:r>
      <w:r>
        <w:t xml:space="preserve"> </w:t>
      </w:r>
      <w:r>
        <w:t xml:space="preserve">Spanish</w:t>
      </w:r>
      <w:r>
        <w:t xml:space="preserve"> </w:t>
      </w:r>
      <w:r>
        <w:t xml:space="preserve">word properties.</w:t>
      </w:r>
      <w:r>
        <w:t xml:space="preserve"> </w:t>
      </w:r>
      <w:r>
        <w:rPr>
          <w:i/>
          <w:iCs/>
        </w:rPr>
        <w:t xml:space="preserve">Behavior Research Methods</w:t>
      </w:r>
      <w:r>
        <w:t xml:space="preserve">,</w:t>
      </w:r>
      <w:r>
        <w:t xml:space="preserve"> </w:t>
      </w:r>
      <w:r>
        <w:rPr>
          <w:i/>
          <w:iCs/>
        </w:rPr>
        <w:t xml:space="preserve">45</w:t>
      </w:r>
      <w:r>
        <w:t xml:space="preserve">(4), 1246–1258.</w:t>
      </w:r>
      <w:r>
        <w:t xml:space="preserve"> </w:t>
      </w:r>
      <w:hyperlink r:id="rId50">
        <w:r>
          <w:rPr>
            <w:rStyle w:val="Hyperlink"/>
          </w:rPr>
          <w:t xml:space="preserve">https://doi.org/10.3758/s13428-013-0326-1</w:t>
        </w:r>
      </w:hyperlink>
    </w:p>
    <w:bookmarkEnd w:id="51"/>
    <w:bookmarkStart w:id="53" w:name="ref-gonzalezalonso2025l3"/>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52">
        <w:r>
          <w:rPr>
            <w:rStyle w:val="Hyperlink"/>
          </w:rPr>
          <w:t xml:space="preserve">https://doi.org/10.1080/14790718.2024.2415993</w:t>
        </w:r>
      </w:hyperlink>
    </w:p>
    <w:bookmarkEnd w:id="53"/>
    <w:bookmarkStart w:id="55" w:name="ref-gu1993comparison"/>
    <w:p>
      <w:pPr>
        <w:pStyle w:val="Bibliography"/>
      </w:pPr>
      <w:r>
        <w:t xml:space="preserve">Gu, X. S., &amp; Rosenbaum, P. R. (1993). Comparison of multivariate matching methods: Structures, distances, and algorithms.</w:t>
      </w:r>
      <w:r>
        <w:t xml:space="preserve"> </w:t>
      </w:r>
      <w:r>
        <w:rPr>
          <w:i/>
          <w:iCs/>
        </w:rPr>
        <w:t xml:space="preserve">Journal of Computational and Graphical Statistics</w:t>
      </w:r>
      <w:r>
        <w:t xml:space="preserve">,</w:t>
      </w:r>
      <w:r>
        <w:t xml:space="preserve"> </w:t>
      </w:r>
      <w:r>
        <w:rPr>
          <w:i/>
          <w:iCs/>
        </w:rPr>
        <w:t xml:space="preserve">2</w:t>
      </w:r>
      <w:r>
        <w:t xml:space="preserve">(4), 405–420.</w:t>
      </w:r>
      <w:r>
        <w:t xml:space="preserve"> </w:t>
      </w:r>
      <w:hyperlink r:id="rId54">
        <w:r>
          <w:rPr>
            <w:rStyle w:val="Hyperlink"/>
          </w:rPr>
          <w:t xml:space="preserve">https://doi.org/10.1080/10618600.1993.10474623</w:t>
        </w:r>
      </w:hyperlink>
    </w:p>
    <w:bookmarkEnd w:id="55"/>
    <w:bookmarkStart w:id="57" w:name="ref-hansen2006optimal"/>
    <w:p>
      <w:pPr>
        <w:pStyle w:val="Bibliography"/>
      </w:pPr>
      <w:r>
        <w:t xml:space="preserve">Hansen, B. B., &amp; Klopfer, S. O. (2006). Optimal full matching and related designs via network flows.</w:t>
      </w:r>
      <w:r>
        <w:t xml:space="preserve"> </w:t>
      </w:r>
      <w:r>
        <w:rPr>
          <w:i/>
          <w:iCs/>
        </w:rPr>
        <w:t xml:space="preserve">Journal of Computational and Graphical Statistics</w:t>
      </w:r>
      <w:r>
        <w:t xml:space="preserve">,</w:t>
      </w:r>
      <w:r>
        <w:t xml:space="preserve"> </w:t>
      </w:r>
      <w:r>
        <w:rPr>
          <w:i/>
          <w:iCs/>
        </w:rPr>
        <w:t xml:space="preserve">15</w:t>
      </w:r>
      <w:r>
        <w:t xml:space="preserve">(3), 609–627.</w:t>
      </w:r>
      <w:r>
        <w:t xml:space="preserve"> </w:t>
      </w:r>
      <w:hyperlink r:id="rId56">
        <w:r>
          <w:rPr>
            <w:rStyle w:val="Hyperlink"/>
          </w:rPr>
          <w:t xml:space="preserve">https://doi.org/10.1198/106186006X137047</w:t>
        </w:r>
      </w:hyperlink>
    </w:p>
    <w:bookmarkEnd w:id="57"/>
    <w:bookmarkStart w:id="59" w:name="ref-vanheuven2014subtlexuk"/>
    <w:p>
      <w:pPr>
        <w:pStyle w:val="Bibliography"/>
      </w:pPr>
      <w:r>
        <w:t xml:space="preserve">Heuven, W. J. B. van, Mandera, P., Keuleers, E., &amp; Brysbaert, M. (2014).</w:t>
      </w:r>
      <w:r>
        <w:t xml:space="preserve"> </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w:t>
      </w:r>
      <w:r>
        <w:t xml:space="preserve"> </w:t>
      </w:r>
      <w:r>
        <w:rPr>
          <w:i/>
          <w:iCs/>
        </w:rPr>
        <w:t xml:space="preserve">67</w:t>
      </w:r>
      <w:r>
        <w:t xml:space="preserve">(6), 1176–1190.</w:t>
      </w:r>
      <w:r>
        <w:t xml:space="preserve"> </w:t>
      </w:r>
      <w:hyperlink r:id="rId58">
        <w:r>
          <w:rPr>
            <w:rStyle w:val="Hyperlink"/>
          </w:rPr>
          <w:t xml:space="preserve">https://doi.org/10.1080/17470218.2013.850521</w:t>
        </w:r>
      </w:hyperlink>
    </w:p>
    <w:bookmarkEnd w:id="59"/>
    <w:bookmarkStart w:id="61" w:name="ref-itkonen2024lastu"/>
    <w:p>
      <w:pPr>
        <w:pStyle w:val="Bibliography"/>
      </w:pPr>
      <w:r>
        <w:t xml:space="preserve">Itkonen, S., Häikiö, T., Vainio, S., &amp; Lehtonen, M. (2024).</w:t>
      </w:r>
      <w:r>
        <w:t xml:space="preserve"> </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w:t>
      </w:r>
      <w:r>
        <w:t xml:space="preserve"> </w:t>
      </w:r>
      <w:r>
        <w:rPr>
          <w:i/>
          <w:iCs/>
        </w:rPr>
        <w:t xml:space="preserve">56</w:t>
      </w:r>
      <w:r>
        <w:t xml:space="preserve">(6), 6165–6178.</w:t>
      </w:r>
      <w:r>
        <w:t xml:space="preserve"> </w:t>
      </w:r>
      <w:hyperlink r:id="rId60">
        <w:r>
          <w:rPr>
            <w:rStyle w:val="Hyperlink"/>
          </w:rPr>
          <w:t xml:space="preserve">https://doi.org/10.3758/s13428-024-02347-x</w:t>
        </w:r>
      </w:hyperlink>
    </w:p>
    <w:bookmarkEnd w:id="61"/>
    <w:bookmarkStart w:id="63" w:name="ref-keuleers2010wuggy"/>
    <w:p>
      <w:pPr>
        <w:pStyle w:val="Bibliography"/>
      </w:pPr>
      <w:r>
        <w:t xml:space="preserve">Keuleers, E., &amp; Brysbaert, M. (2010). Wuggy:</w:t>
      </w:r>
      <w:r>
        <w:t xml:space="preserve"> </w:t>
      </w:r>
      <w:r>
        <w:t xml:space="preserve">A</w:t>
      </w:r>
      <w:r>
        <w:t xml:space="preserve"> </w:t>
      </w:r>
      <w:r>
        <w:t xml:space="preserve">multilingual pseudoword generator.</w:t>
      </w:r>
      <w:r>
        <w:t xml:space="preserve"> </w:t>
      </w:r>
      <w:r>
        <w:rPr>
          <w:i/>
          <w:iCs/>
        </w:rPr>
        <w:t xml:space="preserve">Behavior Research Methods</w:t>
      </w:r>
      <w:r>
        <w:t xml:space="preserve">,</w:t>
      </w:r>
      <w:r>
        <w:t xml:space="preserve"> </w:t>
      </w:r>
      <w:r>
        <w:rPr>
          <w:i/>
          <w:iCs/>
        </w:rPr>
        <w:t xml:space="preserve">42</w:t>
      </w:r>
      <w:r>
        <w:t xml:space="preserve">(3), 627–633.</w:t>
      </w:r>
      <w:r>
        <w:t xml:space="preserve"> </w:t>
      </w:r>
      <w:hyperlink r:id="rId62">
        <w:r>
          <w:rPr>
            <w:rStyle w:val="Hyperlink"/>
          </w:rPr>
          <w:t xml:space="preserve">https://doi.org/10.3758/BRM.42.3.627</w:t>
        </w:r>
      </w:hyperlink>
    </w:p>
    <w:bookmarkEnd w:id="63"/>
    <w:bookmarkStart w:id="65" w:name="ref-kuperman2015virtual"/>
    <w:p>
      <w:pPr>
        <w:pStyle w:val="Bibliography"/>
      </w:pPr>
      <w:r>
        <w:t xml:space="preserve">Kuperman, V. (2015). Virtual experiments in megastudies: A case study of language and emotion.</w:t>
      </w:r>
      <w:r>
        <w:t xml:space="preserve"> </w:t>
      </w:r>
      <w:r>
        <w:rPr>
          <w:i/>
          <w:iCs/>
        </w:rPr>
        <w:t xml:space="preserve">Quarterly Journal of Experimental Psychology</w:t>
      </w:r>
      <w:r>
        <w:t xml:space="preserve">,</w:t>
      </w:r>
      <w:r>
        <w:t xml:space="preserve"> </w:t>
      </w:r>
      <w:r>
        <w:rPr>
          <w:i/>
          <w:iCs/>
        </w:rPr>
        <w:t xml:space="preserve">68</w:t>
      </w:r>
      <w:r>
        <w:t xml:space="preserve">(8), 1693–1710.</w:t>
      </w:r>
      <w:r>
        <w:t xml:space="preserve"> </w:t>
      </w:r>
      <w:hyperlink r:id="rId64">
        <w:r>
          <w:rPr>
            <w:rStyle w:val="Hyperlink"/>
          </w:rPr>
          <w:t xml:space="preserve">https://doi.org/10.1080/17470218.2014.989865</w:t>
        </w:r>
      </w:hyperlink>
    </w:p>
    <w:bookmarkEnd w:id="65"/>
    <w:bookmarkStart w:id="67" w:name="ref-lakens2017equivalence"/>
    <w:p>
      <w:pPr>
        <w:pStyle w:val="Bibliography"/>
      </w:pPr>
      <w:r>
        <w:t xml:space="preserve">Lakens, D. (2017). 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66">
        <w:r>
          <w:rPr>
            <w:rStyle w:val="Hyperlink"/>
          </w:rPr>
          <w:t xml:space="preserve">https://doi.org/10.1177/1948550617697177</w:t>
        </w:r>
      </w:hyperlink>
    </w:p>
    <w:bookmarkEnd w:id="67"/>
    <w:bookmarkStart w:id="69" w:name="ref-libennowell2019danger"/>
    <w:p>
      <w:pPr>
        <w:pStyle w:val="Bibliography"/>
      </w:pPr>
      <w:r>
        <w:t xml:space="preserve">Liben-Nowell, D., Strand, J., Sharp, A., Wexler, T., &amp; Woods, K. (2019). The danger of testing by selecting controlled subsets, with applications to spoken-word recognition.</w:t>
      </w:r>
      <w:r>
        <w:t xml:space="preserve"> </w:t>
      </w:r>
      <w:r>
        <w:rPr>
          <w:i/>
          <w:iCs/>
        </w:rPr>
        <w:t xml:space="preserve">Journal of Cognition</w:t>
      </w:r>
      <w:r>
        <w:t xml:space="preserve">,</w:t>
      </w:r>
      <w:r>
        <w:t xml:space="preserve"> </w:t>
      </w:r>
      <w:r>
        <w:rPr>
          <w:i/>
          <w:iCs/>
        </w:rPr>
        <w:t xml:space="preserve">2</w:t>
      </w:r>
      <w:r>
        <w:t xml:space="preserve">(1), 2.</w:t>
      </w:r>
      <w:r>
        <w:t xml:space="preserve"> </w:t>
      </w:r>
      <w:hyperlink r:id="rId68">
        <w:r>
          <w:rPr>
            <w:rStyle w:val="Hyperlink"/>
          </w:rPr>
          <w:t xml:space="preserve">https://doi.org/10.5334/joc.51</w:t>
        </w:r>
      </w:hyperlink>
    </w:p>
    <w:bookmarkEnd w:id="69"/>
    <w:bookmarkStart w:id="71" w:name="ref-lintz2021libra"/>
    <w:p>
      <w:pPr>
        <w:pStyle w:val="Bibliography"/>
      </w:pPr>
      <w:r>
        <w:t xml:space="preserve">Lintz, E. N., Lim, P. C., &amp; Johnson, M. R. (2021). A new tool for equating lexical stimuli across experimental conditions.</w:t>
      </w:r>
      <w:r>
        <w:t xml:space="preserve"> </w:t>
      </w:r>
      <w:r>
        <w:rPr>
          <w:i/>
          <w:iCs/>
        </w:rPr>
        <w:t xml:space="preserve">MethodsX</w:t>
      </w:r>
      <w:r>
        <w:t xml:space="preserve">,</w:t>
      </w:r>
      <w:r>
        <w:t xml:space="preserve"> </w:t>
      </w:r>
      <w:r>
        <w:rPr>
          <w:i/>
          <w:iCs/>
        </w:rPr>
        <w:t xml:space="preserve">8</w:t>
      </w:r>
      <w:r>
        <w:t xml:space="preserve">, 101545.</w:t>
      </w:r>
      <w:r>
        <w:t xml:space="preserve"> </w:t>
      </w:r>
      <w:hyperlink r:id="rId70">
        <w:r>
          <w:rPr>
            <w:rStyle w:val="Hyperlink"/>
          </w:rPr>
          <w:t xml:space="preserve">https://doi.org/10.1016/j.mex.2021.101545</w:t>
        </w:r>
      </w:hyperlink>
    </w:p>
    <w:bookmarkEnd w:id="71"/>
    <w:bookmarkStart w:id="73" w:name="ref-mathot2012opensesame"/>
    <w:p>
      <w:pPr>
        <w:pStyle w:val="Bibliography"/>
      </w:pPr>
      <w:r>
        <w:t xml:space="preserve">Mathôt, S., Schreij, D., &amp; Theeuwes, J. (2012).</w:t>
      </w:r>
      <w:r>
        <w:t xml:space="preserve"> </w:t>
      </w:r>
      <w:r>
        <w:t xml:space="preserve">OpenSesame</w:t>
      </w:r>
      <w:r>
        <w:t xml:space="preserv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72">
        <w:r>
          <w:rPr>
            <w:rStyle w:val="Hyperlink"/>
          </w:rPr>
          <w:t xml:space="preserve">https://doi.org/10.3758/s13428-011-0168-7</w:t>
        </w:r>
      </w:hyperlink>
    </w:p>
    <w:bookmarkEnd w:id="73"/>
    <w:bookmarkStart w:id="75" w:name="ref-peirce2019psychopy2"/>
    <w:p>
      <w:pPr>
        <w:pStyle w:val="Bibliography"/>
      </w:pPr>
      <w:r>
        <w:t xml:space="preserve">Peirce, J., Gray, J. R., Simpson, S., MacAskill, M., Höchenberger, R., Sogo, H., Kastman, E., &amp; Lindeløv, J. K. (2019).</w:t>
      </w:r>
      <w:r>
        <w:t xml:space="preserve"> </w:t>
      </w:r>
      <w:r>
        <w:t xml:space="preserve">PsychoPy2</w:t>
      </w:r>
      <w:r>
        <w:t xml:space="preserve">: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74">
        <w:r>
          <w:rPr>
            <w:rStyle w:val="Hyperlink"/>
          </w:rPr>
          <w:t xml:space="preserve">https://doi.org/10.3758/s13428-018-01193-y</w:t>
        </w:r>
      </w:hyperlink>
    </w:p>
    <w:bookmarkEnd w:id="75"/>
    <w:bookmarkStart w:id="77" w:name="ref-rastle2004broth"/>
    <w:p>
      <w:pPr>
        <w:pStyle w:val="Bibliography"/>
      </w:pPr>
      <w:r>
        <w:t xml:space="preserve">Rastle, K., Davis, M. H., &amp; New, B. (2004). The broth in my brother’s brothel: Morpho-orthographic segmentation in visual word recognition.</w:t>
      </w:r>
      <w:r>
        <w:t xml:space="preserve"> </w:t>
      </w:r>
      <w:r>
        <w:rPr>
          <w:i/>
          <w:iCs/>
        </w:rPr>
        <w:t xml:space="preserve">Psychonomic Bulletin &amp; Review</w:t>
      </w:r>
      <w:r>
        <w:t xml:space="preserve">,</w:t>
      </w:r>
      <w:r>
        <w:t xml:space="preserve"> </w:t>
      </w:r>
      <w:r>
        <w:rPr>
          <w:i/>
          <w:iCs/>
        </w:rPr>
        <w:t xml:space="preserve">11</w:t>
      </w:r>
      <w:r>
        <w:t xml:space="preserve">(6), 1090–1098.</w:t>
      </w:r>
      <w:r>
        <w:t xml:space="preserve"> </w:t>
      </w:r>
      <w:hyperlink r:id="rId76">
        <w:r>
          <w:rPr>
            <w:rStyle w:val="Hyperlink"/>
          </w:rPr>
          <w:t xml:space="preserve">https://doi.org/10.3758/BF03196742</w:t>
        </w:r>
      </w:hyperlink>
    </w:p>
    <w:bookmarkEnd w:id="77"/>
    <w:bookmarkStart w:id="79" w:name="ref-roettger2019degrees"/>
    <w:p>
      <w:pPr>
        <w:pStyle w:val="Bibliography"/>
      </w:pPr>
      <w:r>
        <w:t xml:space="preserve">Roettger, T. B. (2019). Researcher degrees of freedom in phonetic research.</w:t>
      </w:r>
      <w:r>
        <w:t xml:space="preserve"> </w:t>
      </w:r>
      <w:r>
        <w:rPr>
          <w:i/>
          <w:iCs/>
        </w:rPr>
        <w:t xml:space="preserve">Laboratory Phonology</w:t>
      </w:r>
      <w:r>
        <w:t xml:space="preserve">,</w:t>
      </w:r>
      <w:r>
        <w:t xml:space="preserve"> </w:t>
      </w:r>
      <w:r>
        <w:rPr>
          <w:i/>
          <w:iCs/>
        </w:rPr>
        <w:t xml:space="preserve">10</w:t>
      </w:r>
      <w:r>
        <w:t xml:space="preserve">(1).</w:t>
      </w:r>
      <w:r>
        <w:t xml:space="preserve"> </w:t>
      </w:r>
      <w:hyperlink r:id="rId78">
        <w:r>
          <w:rPr>
            <w:rStyle w:val="Hyperlink"/>
          </w:rPr>
          <w:t xml:space="preserve">https://doi.org/10.5334/labphon.147</w:t>
        </w:r>
      </w:hyperlink>
    </w:p>
    <w:bookmarkEnd w:id="79"/>
    <w:bookmarkStart w:id="81" w:name="ref-roettger2019emergent"/>
    <w:p>
      <w:pPr>
        <w:pStyle w:val="Bibliography"/>
      </w:pPr>
      <w:r>
        <w:t xml:space="preserve">Roettger, T. B., Winter, B., &amp; Baayen, H. (2019). Emergent data analysis in phonetic sciences:</w:t>
      </w:r>
      <w:r>
        <w:t xml:space="preserve"> </w:t>
      </w:r>
      <w:r>
        <w:t xml:space="preserve">Towards</w:t>
      </w:r>
      <w:r>
        <w:t xml:space="preserve"> </w:t>
      </w:r>
      <w:r>
        <w:t xml:space="preserve">pluralism and reproducibility.</w:t>
      </w:r>
      <w:r>
        <w:t xml:space="preserve"> </w:t>
      </w:r>
      <w:r>
        <w:rPr>
          <w:i/>
          <w:iCs/>
        </w:rPr>
        <w:t xml:space="preserve">Journal of Phonetics</w:t>
      </w:r>
      <w:r>
        <w:t xml:space="preserve">,</w:t>
      </w:r>
      <w:r>
        <w:t xml:space="preserve"> </w:t>
      </w:r>
      <w:r>
        <w:rPr>
          <w:i/>
          <w:iCs/>
        </w:rPr>
        <w:t xml:space="preserve">73</w:t>
      </w:r>
      <w:r>
        <w:t xml:space="preserve">, 1–7.</w:t>
      </w:r>
      <w:r>
        <w:t xml:space="preserve"> </w:t>
      </w:r>
      <w:hyperlink r:id="rId80">
        <w:r>
          <w:rPr>
            <w:rStyle w:val="Hyperlink"/>
          </w:rPr>
          <w:t xml:space="preserve">https://doi.org/10.1016/j.wocn.2018.12.001</w:t>
        </w:r>
      </w:hyperlink>
    </w:p>
    <w:bookmarkEnd w:id="81"/>
    <w:bookmarkStart w:id="83" w:name="ref-rubin1980bias"/>
    <w:p>
      <w:pPr>
        <w:pStyle w:val="Bibliography"/>
      </w:pPr>
      <w:r>
        <w:t xml:space="preserve">Rubin, D. B. (1980). Bias reduction using</w:t>
      </w:r>
      <w:r>
        <w:t xml:space="preserve"> </w:t>
      </w:r>
      <w:r>
        <w:t xml:space="preserve">Mahalanobis</w:t>
      </w:r>
      <w:r>
        <w:t xml:space="preserve">-metric matching.</w:t>
      </w:r>
      <w:r>
        <w:t xml:space="preserve"> </w:t>
      </w:r>
      <w:r>
        <w:rPr>
          <w:i/>
          <w:iCs/>
        </w:rPr>
        <w:t xml:space="preserve">Biometrics</w:t>
      </w:r>
      <w:r>
        <w:t xml:space="preserve">,</w:t>
      </w:r>
      <w:r>
        <w:t xml:space="preserve"> </w:t>
      </w:r>
      <w:r>
        <w:rPr>
          <w:i/>
          <w:iCs/>
        </w:rPr>
        <w:t xml:space="preserve">36</w:t>
      </w:r>
      <w:r>
        <w:t xml:space="preserve">(2), 293–298.</w:t>
      </w:r>
      <w:r>
        <w:t xml:space="preserve"> </w:t>
      </w:r>
      <w:hyperlink r:id="rId82">
        <w:r>
          <w:rPr>
            <w:rStyle w:val="Hyperlink"/>
          </w:rPr>
          <w:t xml:space="preserve">https://doi.org/10.2307/2529981</w:t>
        </w:r>
      </w:hyperlink>
    </w:p>
    <w:bookmarkEnd w:id="83"/>
    <w:bookmarkStart w:id="85" w:name="ref-sassenhagen2016nuisance"/>
    <w:p>
      <w:pPr>
        <w:pStyle w:val="Bibliography"/>
      </w:pPr>
      <w:r>
        <w:t xml:space="preserve">Sassenhagen, J., &amp; Alday, P. M. (2016). A common misapplication of statistical inference:</w:t>
      </w:r>
      <w:r>
        <w:t xml:space="preserve"> </w:t>
      </w:r>
      <w:r>
        <w:t xml:space="preserve">Nuisance</w:t>
      </w:r>
      <w:r>
        <w:t xml:space="preserve"> </w:t>
      </w:r>
      <w:r>
        <w:t xml:space="preserve">control with null-hypothesis significance tests.</w:t>
      </w:r>
      <w:r>
        <w:t xml:space="preserve"> </w:t>
      </w:r>
      <w:r>
        <w:rPr>
          <w:i/>
          <w:iCs/>
        </w:rPr>
        <w:t xml:space="preserve">Brain and Language</w:t>
      </w:r>
      <w:r>
        <w:t xml:space="preserve">,</w:t>
      </w:r>
      <w:r>
        <w:t xml:space="preserve"> </w:t>
      </w:r>
      <w:r>
        <w:rPr>
          <w:i/>
          <w:iCs/>
        </w:rPr>
        <w:t xml:space="preserve">162</w:t>
      </w:r>
      <w:r>
        <w:t xml:space="preserve">, 42–45.</w:t>
      </w:r>
      <w:r>
        <w:t xml:space="preserve"> </w:t>
      </w:r>
      <w:hyperlink r:id="rId84">
        <w:r>
          <w:rPr>
            <w:rStyle w:val="Hyperlink"/>
          </w:rPr>
          <w:t xml:space="preserve">https://doi.org/10.1016/j.bandl.2016.08.001</w:t>
        </w:r>
      </w:hyperlink>
    </w:p>
    <w:bookmarkEnd w:id="85"/>
    <w:bookmarkStart w:id="87" w:name="ref-speer2022wordfreq"/>
    <w:p>
      <w:pPr>
        <w:pStyle w:val="Bibliography"/>
      </w:pPr>
      <w:r>
        <w:t xml:space="preserve">Speer, R. (2022).</w:t>
      </w:r>
      <w:r>
        <w:t xml:space="preserve"> </w:t>
      </w:r>
      <w:r>
        <w:rPr>
          <w:i/>
          <w:iCs/>
        </w:rPr>
        <w:t xml:space="preserve">rspeer/wordfreq</w:t>
      </w:r>
      <w:r>
        <w:rPr>
          <w:i/>
          <w:iCs/>
        </w:rPr>
        <w:t xml:space="preserve">: v3.0</w:t>
      </w:r>
      <w:r>
        <w:t xml:space="preserve">. Zenodo.</w:t>
      </w:r>
      <w:r>
        <w:t xml:space="preserve"> </w:t>
      </w:r>
      <w:hyperlink r:id="rId86">
        <w:r>
          <w:rPr>
            <w:rStyle w:val="Hyperlink"/>
          </w:rPr>
          <w:t xml:space="preserve">https://doi.org/10.5281/zenodo.7199437</w:t>
        </w:r>
      </w:hyperlink>
    </w:p>
    <w:bookmarkEnd w:id="87"/>
    <w:bookmarkStart w:id="89" w:name="ref-stuart2010matching"/>
    <w:p>
      <w:pPr>
        <w:pStyle w:val="Bibliography"/>
      </w:pPr>
      <w:r>
        <w:t xml:space="preserve">Stuart, E. A. (2010). Matching methods for causal inference: A review and a look forward.</w:t>
      </w:r>
      <w:r>
        <w:t xml:space="preserve"> </w:t>
      </w:r>
      <w:r>
        <w:rPr>
          <w:i/>
          <w:iCs/>
        </w:rPr>
        <w:t xml:space="preserve">Statistical Science</w:t>
      </w:r>
      <w:r>
        <w:t xml:space="preserve">,</w:t>
      </w:r>
      <w:r>
        <w:t xml:space="preserve"> </w:t>
      </w:r>
      <w:r>
        <w:rPr>
          <w:i/>
          <w:iCs/>
        </w:rPr>
        <w:t xml:space="preserve">25</w:t>
      </w:r>
      <w:r>
        <w:t xml:space="preserve">(1), 1–21.</w:t>
      </w:r>
      <w:r>
        <w:t xml:space="preserve"> </w:t>
      </w:r>
      <w:hyperlink r:id="rId88">
        <w:r>
          <w:rPr>
            <w:rStyle w:val="Hyperlink"/>
          </w:rPr>
          <w:t xml:space="preserve">https://doi.org/10.1214/09-STS313</w:t>
        </w:r>
      </w:hyperlink>
    </w:p>
    <w:bookmarkEnd w:id="89"/>
    <w:bookmarkStart w:id="91" w:name="ref-taylor2020lexops"/>
    <w:p>
      <w:pPr>
        <w:pStyle w:val="Bibliography"/>
      </w:pPr>
      <w:r>
        <w:t xml:space="preserve">Taylor, J. E., Beith, A., &amp; Sereno, S. C. (2020).</w:t>
      </w:r>
      <w:r>
        <w:t xml:space="preserve"> </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w:t>
      </w:r>
      <w:r>
        <w:t xml:space="preserve"> </w:t>
      </w:r>
      <w:r>
        <w:rPr>
          <w:i/>
          <w:iCs/>
        </w:rPr>
        <w:t xml:space="preserve">52</w:t>
      </w:r>
      <w:r>
        <w:t xml:space="preserve">(6), 2372–2382.</w:t>
      </w:r>
      <w:r>
        <w:t xml:space="preserve"> </w:t>
      </w:r>
      <w:hyperlink r:id="rId90">
        <w:r>
          <w:rPr>
            <w:rStyle w:val="Hyperlink"/>
          </w:rPr>
          <w:t xml:space="preserve">https://doi.org/10.3758/s13428-020-01389-1</w:t>
        </w:r>
      </w:hyperlink>
    </w:p>
    <w:bookmarkEnd w:id="91"/>
    <w:bookmarkStart w:id="93" w:name="ref-wilkinson2016fair"/>
    <w:p>
      <w:pPr>
        <w:pStyle w:val="Bibliography"/>
      </w:pPr>
      <w:r>
        <w:t xml:space="preserve">Wilkinson, M. D., Dumontier, M., Aalbersberg, Ij. J., et al.</w:t>
      </w:r>
      <w:r>
        <w:t xml:space="preserve"> (2016).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92">
        <w:r>
          <w:rPr>
            <w:rStyle w:val="Hyperlink"/>
          </w:rPr>
          <w:t xml:space="preserve">https://doi.org/10.1038/sdata.2016.18</w:t>
        </w:r>
      </w:hyperlink>
    </w:p>
    <w:bookmarkEnd w:id="93"/>
    <w:bookmarkStart w:id="95" w:name="ref-yarkoni2020generalizability"/>
    <w:p>
      <w:pPr>
        <w:pStyle w:val="Bibliography"/>
      </w:pPr>
      <w:r>
        <w:t xml:space="preserve">Yarkoni, T. (2022).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94">
        <w:r>
          <w:rPr>
            <w:rStyle w:val="Hyperlink"/>
          </w:rPr>
          <w:t xml:space="preserve">https://doi.org/10.1017/S0140525X20001685</w:t>
        </w:r>
      </w:hyperlink>
    </w:p>
    <w:bookmarkEnd w:id="95"/>
    <w:bookmarkStart w:id="97" w:name="ref-yarkoni2008old20"/>
    <w:p>
      <w:pPr>
        <w:pStyle w:val="Bibliography"/>
      </w:pPr>
      <w:r>
        <w:t xml:space="preserve">Yarkoni, T., Balota, D., &amp; Yap, M. (2008). 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w:t>
      </w:r>
      <w:r>
        <w:t xml:space="preserve"> </w:t>
      </w:r>
      <w:r>
        <w:rPr>
          <w:i/>
          <w:iCs/>
        </w:rPr>
        <w:t xml:space="preserve">15</w:t>
      </w:r>
      <w:r>
        <w:t xml:space="preserve">(5), 971–979.</w:t>
      </w:r>
      <w:r>
        <w:t xml:space="preserve"> </w:t>
      </w:r>
      <w:hyperlink r:id="rId96">
        <w:r>
          <w:rPr>
            <w:rStyle w:val="Hyperlink"/>
          </w:rPr>
          <w:t xml:space="preserve">https://doi.org/10.3758/pbr.15.5.971</w:t>
        </w:r>
      </w:hyperlink>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doi.org/10.1016/S0022-5371(73)80014-3" TargetMode="External" /><Relationship Type="http://schemas.openxmlformats.org/officeDocument/2006/relationships/hyperlink" Id="rId84" Target="https://doi.org/10.1016/j.bandl.2016.08.001" TargetMode="External" /><Relationship Type="http://schemas.openxmlformats.org/officeDocument/2006/relationships/hyperlink" Id="rId70" Target="https://doi.org/10.1016/j.mex.2021.101545" TargetMode="External" /><Relationship Type="http://schemas.openxmlformats.org/officeDocument/2006/relationships/hyperlink" Id="rId80" Target="https://doi.org/10.1016/j.wocn.2018.12.001" TargetMode="External" /><Relationship Type="http://schemas.openxmlformats.org/officeDocument/2006/relationships/hyperlink" Id="rId94" Target="https://doi.org/10.1017/S0140525X20001685" TargetMode="External" /><Relationship Type="http://schemas.openxmlformats.org/officeDocument/2006/relationships/hyperlink" Id="rId36" Target="https://doi.org/10.1037/0278-7393.15.5.802" TargetMode="External" /><Relationship Type="http://schemas.openxmlformats.org/officeDocument/2006/relationships/hyperlink" Id="rId92" Target="https://doi.org/10.1038/sdata.2016.18" TargetMode="External" /><Relationship Type="http://schemas.openxmlformats.org/officeDocument/2006/relationships/hyperlink" Id="rId54" Target="https://doi.org/10.1080/10618600.1993.10474623" TargetMode="External" /><Relationship Type="http://schemas.openxmlformats.org/officeDocument/2006/relationships/hyperlink" Id="rId52" Target="https://doi.org/10.1080/14790718.2024.2415993" TargetMode="External" /><Relationship Type="http://schemas.openxmlformats.org/officeDocument/2006/relationships/hyperlink" Id="rId58" Target="https://doi.org/10.1080/17470218.2013.850521" TargetMode="External" /><Relationship Type="http://schemas.openxmlformats.org/officeDocument/2006/relationships/hyperlink" Id="rId64" Target="https://doi.org/10.1080/17470218.2014.989865" TargetMode="External" /><Relationship Type="http://schemas.openxmlformats.org/officeDocument/2006/relationships/hyperlink" Id="rId66" Target="https://doi.org/10.1177/1948550617697177" TargetMode="External" /><Relationship Type="http://schemas.openxmlformats.org/officeDocument/2006/relationships/hyperlink" Id="rId47" Target="https://doi.org/10.1177/25152459231162567" TargetMode="External" /><Relationship Type="http://schemas.openxmlformats.org/officeDocument/2006/relationships/hyperlink" Id="rId56" Target="https://doi.org/10.1198/106186006X137047" TargetMode="External" /><Relationship Type="http://schemas.openxmlformats.org/officeDocument/2006/relationships/hyperlink" Id="rId88" Target="https://doi.org/10.1214/09-STS313" TargetMode="External" /><Relationship Type="http://schemas.openxmlformats.org/officeDocument/2006/relationships/hyperlink" Id="rId42" Target="https://doi.org/10.1371/journal.pone.0010729" TargetMode="External" /><Relationship Type="http://schemas.openxmlformats.org/officeDocument/2006/relationships/hyperlink" Id="rId82" Target="https://doi.org/10.2307/2529981" TargetMode="External" /><Relationship Type="http://schemas.openxmlformats.org/officeDocument/2006/relationships/hyperlink" Id="rId76" Target="https://doi.org/10.3758/BF03196742" TargetMode="External" /><Relationship Type="http://schemas.openxmlformats.org/officeDocument/2006/relationships/hyperlink" Id="rId40" Target="https://doi.org/10.3758/BRM.41.4.977" TargetMode="External" /><Relationship Type="http://schemas.openxmlformats.org/officeDocument/2006/relationships/hyperlink" Id="rId62" Target="https://doi.org/10.3758/BRM.42.3.627" TargetMode="External" /><Relationship Type="http://schemas.openxmlformats.org/officeDocument/2006/relationships/hyperlink" Id="rId96" Target="https://doi.org/10.3758/pbr.15.5.971" TargetMode="External" /><Relationship Type="http://schemas.openxmlformats.org/officeDocument/2006/relationships/hyperlink" Id="rId72" Target="https://doi.org/10.3758/s13428-011-0168-7" TargetMode="External" /><Relationship Type="http://schemas.openxmlformats.org/officeDocument/2006/relationships/hyperlink" Id="rId50" Target="https://doi.org/10.3758/s13428-013-0326-1" TargetMode="External" /><Relationship Type="http://schemas.openxmlformats.org/officeDocument/2006/relationships/hyperlink" Id="rId74" Target="https://doi.org/10.3758/s13428-018-01193-y" TargetMode="External" /><Relationship Type="http://schemas.openxmlformats.org/officeDocument/2006/relationships/hyperlink" Id="rId90" Target="https://doi.org/10.3758/s13428-020-01389-1" TargetMode="External" /><Relationship Type="http://schemas.openxmlformats.org/officeDocument/2006/relationships/hyperlink" Id="rId60" Target="https://doi.org/10.3758/s13428-024-02347-x" TargetMode="External" /><Relationship Type="http://schemas.openxmlformats.org/officeDocument/2006/relationships/hyperlink" Id="rId38" Target="https://doi.org/10.5070/G6011239" TargetMode="External" /><Relationship Type="http://schemas.openxmlformats.org/officeDocument/2006/relationships/hyperlink" Id="rId86" Target="https://doi.org/10.5281/zenodo.7199437" TargetMode="External" /><Relationship Type="http://schemas.openxmlformats.org/officeDocument/2006/relationships/hyperlink" Id="rId68" Target="https://doi.org/10.5334/joc.51" TargetMode="External" /><Relationship Type="http://schemas.openxmlformats.org/officeDocument/2006/relationships/hyperlink" Id="rId78" Target="https://doi.org/10.5334/labphon.147"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16/S0022-5371(73)80014-3" TargetMode="External" /><Relationship Type="http://schemas.openxmlformats.org/officeDocument/2006/relationships/hyperlink" Id="rId84" Target="https://doi.org/10.1016/j.bandl.2016.08.001" TargetMode="External" /><Relationship Type="http://schemas.openxmlformats.org/officeDocument/2006/relationships/hyperlink" Id="rId70" Target="https://doi.org/10.1016/j.mex.2021.101545" TargetMode="External" /><Relationship Type="http://schemas.openxmlformats.org/officeDocument/2006/relationships/hyperlink" Id="rId80" Target="https://doi.org/10.1016/j.wocn.2018.12.001" TargetMode="External" /><Relationship Type="http://schemas.openxmlformats.org/officeDocument/2006/relationships/hyperlink" Id="rId94" Target="https://doi.org/10.1017/S0140525X20001685" TargetMode="External" /><Relationship Type="http://schemas.openxmlformats.org/officeDocument/2006/relationships/hyperlink" Id="rId36" Target="https://doi.org/10.1037/0278-7393.15.5.802" TargetMode="External" /><Relationship Type="http://schemas.openxmlformats.org/officeDocument/2006/relationships/hyperlink" Id="rId92" Target="https://doi.org/10.1038/sdata.2016.18" TargetMode="External" /><Relationship Type="http://schemas.openxmlformats.org/officeDocument/2006/relationships/hyperlink" Id="rId54" Target="https://doi.org/10.1080/10618600.1993.10474623" TargetMode="External" /><Relationship Type="http://schemas.openxmlformats.org/officeDocument/2006/relationships/hyperlink" Id="rId52" Target="https://doi.org/10.1080/14790718.2024.2415993" TargetMode="External" /><Relationship Type="http://schemas.openxmlformats.org/officeDocument/2006/relationships/hyperlink" Id="rId58" Target="https://doi.org/10.1080/17470218.2013.850521" TargetMode="External" /><Relationship Type="http://schemas.openxmlformats.org/officeDocument/2006/relationships/hyperlink" Id="rId64" Target="https://doi.org/10.1080/17470218.2014.989865" TargetMode="External" /><Relationship Type="http://schemas.openxmlformats.org/officeDocument/2006/relationships/hyperlink" Id="rId66" Target="https://doi.org/10.1177/1948550617697177" TargetMode="External" /><Relationship Type="http://schemas.openxmlformats.org/officeDocument/2006/relationships/hyperlink" Id="rId47" Target="https://doi.org/10.1177/25152459231162567" TargetMode="External" /><Relationship Type="http://schemas.openxmlformats.org/officeDocument/2006/relationships/hyperlink" Id="rId56" Target="https://doi.org/10.1198/106186006X137047" TargetMode="External" /><Relationship Type="http://schemas.openxmlformats.org/officeDocument/2006/relationships/hyperlink" Id="rId88" Target="https://doi.org/10.1214/09-STS313" TargetMode="External" /><Relationship Type="http://schemas.openxmlformats.org/officeDocument/2006/relationships/hyperlink" Id="rId42" Target="https://doi.org/10.1371/journal.pone.0010729" TargetMode="External" /><Relationship Type="http://schemas.openxmlformats.org/officeDocument/2006/relationships/hyperlink" Id="rId82" Target="https://doi.org/10.2307/2529981" TargetMode="External" /><Relationship Type="http://schemas.openxmlformats.org/officeDocument/2006/relationships/hyperlink" Id="rId76" Target="https://doi.org/10.3758/BF03196742" TargetMode="External" /><Relationship Type="http://schemas.openxmlformats.org/officeDocument/2006/relationships/hyperlink" Id="rId40" Target="https://doi.org/10.3758/BRM.41.4.977" TargetMode="External" /><Relationship Type="http://schemas.openxmlformats.org/officeDocument/2006/relationships/hyperlink" Id="rId62" Target="https://doi.org/10.3758/BRM.42.3.627" TargetMode="External" /><Relationship Type="http://schemas.openxmlformats.org/officeDocument/2006/relationships/hyperlink" Id="rId96" Target="https://doi.org/10.3758/pbr.15.5.971" TargetMode="External" /><Relationship Type="http://schemas.openxmlformats.org/officeDocument/2006/relationships/hyperlink" Id="rId72" Target="https://doi.org/10.3758/s13428-011-0168-7" TargetMode="External" /><Relationship Type="http://schemas.openxmlformats.org/officeDocument/2006/relationships/hyperlink" Id="rId50" Target="https://doi.org/10.3758/s13428-013-0326-1" TargetMode="External" /><Relationship Type="http://schemas.openxmlformats.org/officeDocument/2006/relationships/hyperlink" Id="rId74" Target="https://doi.org/10.3758/s13428-018-01193-y" TargetMode="External" /><Relationship Type="http://schemas.openxmlformats.org/officeDocument/2006/relationships/hyperlink" Id="rId90" Target="https://doi.org/10.3758/s13428-020-01389-1" TargetMode="External" /><Relationship Type="http://schemas.openxmlformats.org/officeDocument/2006/relationships/hyperlink" Id="rId60" Target="https://doi.org/10.3758/s13428-024-02347-x" TargetMode="External" /><Relationship Type="http://schemas.openxmlformats.org/officeDocument/2006/relationships/hyperlink" Id="rId38" Target="https://doi.org/10.5070/G6011239" TargetMode="External" /><Relationship Type="http://schemas.openxmlformats.org/officeDocument/2006/relationships/hyperlink" Id="rId86" Target="https://doi.org/10.5281/zenodo.7199437" TargetMode="External" /><Relationship Type="http://schemas.openxmlformats.org/officeDocument/2006/relationships/hyperlink" Id="rId68" Target="https://doi.org/10.5334/joc.51" TargetMode="External" /><Relationship Type="http://schemas.openxmlformats.org/officeDocument/2006/relationships/hyperlink" Id="rId78" Target="https://doi.org/10.5334/labphon.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2026-07-16T14:44:58Z</dcterms:created>
  <dcterms:modified xsi:type="dcterms:W3CDTF">2026-07-16T14:44:58Z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‘OpenSesame’ and browser-based ‘jsPsych’ experiments. The two laboratory targets time-lock their electroencephalography triggers to stimulus onset. The trial is described declaratively as a sequence of events, so the same engine builds factorial word studies, lexical decision with generated pseudowords, priming and self-paced reading from configuration rather than code. The default matching methods and the pseudoword generation are deterministic, so the two engines select the same stimuli. We demonstrate this on twelve worked examples in English, Spanish and Mandarin Chinese (across word, pseudoword, paired and sentence stimuli), one of which shows that the workflow extends to a logographic writing system, while three reproduce published designs from the literature. The generation step requires no presentation software and no hardware, which keeps the whole workflow reproducible. ‘lexsync’ is general-purpose and treats the stimulus set as a reproducible artefact, distributed under open licences with a machine-readable corpus registry.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2026-07-16</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